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20"/>
              </w:rPr>
              <w:t>Al 18 de octubre se cerraron los sprints 0 a 4 de los nueve planificados: 26 historias y 127 puntos aceptados, con 349,5 de 353 horas consumidas. La caja vende por peso y por unidad y opera sin conexión; el panel web administra catálogo, precios y usuarios por rol; la aplicación móvil registra amasijos y avisa a la caja cuando un lote está listo. Se publicaron las versiones v0.1.0, v0.2.0 y v0.3.0.</w:t>
            </w:r>
          </w:p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20"/>
              </w:rPr>
              <w:t>Está cumplido el objetivo de la caja sin conexión y avanzan el modelo de datos, la aplicación móvil, el panel web y el plan de pruebas. Hubo ajustes en un objetivo y en la metodología, descritos abajo.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20"/>
              </w:rPr>
              <w:t>Se ajusta el objetivo de la capa de abstracción de dispositivos: ya no se verifica con un controlador real de balanza. La balanza de la panadería es de un fabricante propietario y el 9 de octubre se descartó su lectura; el ingreso manual de peso queda como modo definitivo. Los demás objetivos se mantienen.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20"/>
              </w:rPr>
              <w:t>Se mantiene Scrum con sprints de dos semanas. Ajustes: el plan de pruebas se adelantó de las semanas 17 y 18 al Sprint 2, las tareas no superan ocho horas, se redujo el compromiso de puntos después del Sprint 1 y los impedimentos de hardware tienen fecha límite.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20"/>
              </w:rPr>
              <w:t>Artefactos Scrum de los sprints 0 a 4 (backlog, tablero, burndown, registro de impedimentos y acta de revisión firmada por el Product Owner y la contraparte), el incremento funcionando y el plan de pruebas con cinco casos aprobados: CP-PLT-01, CP-POS-01, CP-SYN-01, CP-ADM-01 y CP-PRD-01.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20"/>
              </w:rPr>
              <w:t>La calidad se resguarda con revisión de código por pares, pruebas automatizadas sin fallos, criterios de aceptación verificados y la aceptación de cada historia por la contraparte.</w:t>
            </w:r>
          </w:p>
        </w:tc>
      </w:tr>
    </w:tbl>
    <w:tbl>
      <w:tblPr>
        <w:tblStyle w:val="Tablaconcuadrcula"/>
        <w:tblW w:w="9640" w:type="dxa"/>
        <w:tblInd w:w="-71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  <w:cantSplit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keepNext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  <w:cantSplit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keepNext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keepNext/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100"/>
        <w:gridCol w:w="1168"/>
      </w:tblGrid>
      <w:tr w:rsidR="00FD5149" w:rsidRPr="006E3B0D" w14:paraId="66FA4353" w14:textId="77777777" w:rsidTr="00EA0C09">
        <w:trPr>
          <w:trHeight w:val="415"/>
          <w:cantSplit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  <w:cantSplit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00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168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Gestionar proyectos informáticos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Análisis y definición del proyecto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Plantillas de la asignatura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S1 a S4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Diego Maldonado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Contraparte con poca disponibilidad</w:t>
            </w:r>
          </w:p>
        </w:tc>
        <w:tc>
          <w:tcPr>
            <w:tcW w:w="110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Completado</w:t>
            </w:r>
          </w:p>
        </w:tc>
        <w:tc>
          <w:tcPr>
            <w:tcW w:w="1168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Sin ajustes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Construir el modelo arquitectónico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Sprint 0: arquitectura y validación técnica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Azure, Docker, integración continua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S1 a S2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Fernando Belmar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Sin balanza física disponible</w:t>
            </w:r>
          </w:p>
        </w:tc>
        <w:tc>
          <w:tcPr>
            <w:tcW w:w="110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Ajustada</w:t>
            </w:r>
          </w:p>
        </w:tc>
        <w:tc>
          <w:tcPr>
            <w:tcW w:w="1168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Peso manual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Construir modelos de datos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Modelo de datos y sincronización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PostgreSQL, SQLite, Room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S3 a S8 y S17 a S18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Juan Pablo Pérez y Rodrigo Mancilla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Multisucursal pendiente para el Sprint 8</w:t>
            </w:r>
          </w:p>
        </w:tc>
        <w:tc>
          <w:tcPr>
            <w:tcW w:w="110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En curso</w:t>
            </w:r>
          </w:p>
        </w:tc>
        <w:tc>
          <w:tcPr>
            <w:tcW w:w="1168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Sin ajustes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Sprints 1 a 4: caja, sincronización, panel web y app móvil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Kotlin Multiplatform, React, Android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S3 a S10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Equipo de desarrollo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Impresora y cajón sin validar en dispositivo físico</w:t>
            </w:r>
          </w:p>
        </w:tc>
        <w:tc>
          <w:tcPr>
            <w:tcW w:w="110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Completado</w:t>
            </w:r>
          </w:p>
        </w:tc>
        <w:tc>
          <w:tcPr>
            <w:tcW w:w="1168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Comprobante en pantalla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Integración de dispositivos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Impresora, cajón, lector de códigos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S1 a S10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Diego Maldonado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El responsable no cumplió con sus compromisos</w:t>
            </w:r>
          </w:p>
        </w:tc>
        <w:tc>
          <w:tcPr>
            <w:tcW w:w="110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Con retraso</w:t>
            </w:r>
          </w:p>
        </w:tc>
        <w:tc>
          <w:tcPr>
            <w:tcW w:w="1168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Balanza descartada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Sprints 5 y 6: inventario e indicadores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App móvil, panel web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S11 a S14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Equipo de desarrollo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Hito H2 el 1 de noviembre</w:t>
            </w:r>
          </w:p>
        </w:tc>
        <w:tc>
          <w:tcPr>
            <w:tcW w:w="110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No iniciado</w:t>
            </w:r>
          </w:p>
        </w:tc>
        <w:tc>
          <w:tcPr>
            <w:tcW w:w="1168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Sin ajustes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Desarrollar la transformación de datos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Sprint 7: predicción de demanda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Datos públicos, Azure Machine Learning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S15 a S16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Diego Maldonado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Sin historial propio de la panadería</w:t>
            </w:r>
          </w:p>
        </w:tc>
        <w:tc>
          <w:tcPr>
            <w:tcW w:w="110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No iniciado</w:t>
            </w:r>
          </w:p>
        </w:tc>
        <w:tc>
          <w:tcPr>
            <w:tcW w:w="1168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Sin ajustes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Realizar pruebas de certificación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Plan de pruebas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Agile test plan, pruebas automatizadas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S5 a S18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Juan Pablo Pérez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Cinco casos aprobados</w:t>
            </w:r>
          </w:p>
        </w:tc>
        <w:tc>
          <w:tcPr>
            <w:tcW w:w="110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En curso</w:t>
            </w:r>
          </w:p>
        </w:tc>
        <w:tc>
          <w:tcPr>
            <w:tcW w:w="1168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Adelantado al Sprint 2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Realizar pruebas de certificación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Sprint 8: validación, verificación y cierre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Entorno completo, plan de pruebas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b w:val="0"/>
                <w:i w:val="0"/>
                <w:color w:val="000000"/>
                <w:sz w:val="16"/>
              </w:rPr>
              <w:t>S17 a S18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Rodrigo Mancilla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Coincide con el cierre académico</w:t>
            </w:r>
          </w:p>
        </w:tc>
        <w:tc>
          <w:tcPr>
            <w:tcW w:w="110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No iniciado</w:t>
            </w:r>
          </w:p>
        </w:tc>
        <w:tc>
          <w:tcPr>
            <w:tcW w:w="1168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 w:val="0"/>
                <w:i w:val="0"/>
                <w:color w:val="000000"/>
                <w:sz w:val="16"/>
              </w:rPr>
              <w:t>Sin ajustes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  <w:cantSplit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keepNext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  <w:cantSplit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keepNext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keepNext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b w:val="0"/>
                <w:i w:val="0"/>
                <w:color w:val="000000"/>
                <w:sz w:val="20"/>
              </w:rPr>
              <w:t xml:space="preserve"> Facilitaron el avance la experiencia del equipo en Kotlin Multiplatform y Azure, los controladores simulados, que permitieron desarrollar y demostrar sin hardware, y las pruebas automatizadas, que detectaron fallos de sincronización antes de cada prueba. Dificultaron el avance la falta de hardware y el incumplimiento del responsable de esas pruebas: se fijó el 9 de octubre como fecha límite y se descartó la lectura de la balanza. La disponibilidad acotada de la contraparte se abordó con validaciones por videollamada.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>
              <w:rPr>
                <w:b w:val="0"/>
                <w:i w:val="0"/>
                <w:color w:val="000000"/>
                <w:sz w:val="20"/>
              </w:rPr>
              <w:t xml:space="preserve"> Se eliminó la lectura de la balanza y su video comprometido para el Sprint 0, porque la balanza de la panadería es de un fabricante propietario; el ingreso manual de peso queda como modo definitivo. El plan de pruebas se adelantó al Sprint 2 para acumular evidencia por sprint, y se agregó la historia HU-SYN-0006 al detectar en pruebas que una venta rechazada podía perderse.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b w:val="0"/>
                <w:i w:val="0"/>
                <w:color w:val="000000"/>
                <w:sz w:val="20"/>
              </w:rPr>
              <w:t xml:space="preserve"> Está retrasada la validación de la impresora y el cajón en un dispositivo físico. El 23 de octubre se acuerda con la contraparte el hardware que se mantiene; mientras tanto, el comprobante en pantalla y el cajón simulado permiten operar la caja. Los sprints 5 a 8 no han comenzado, pero siguen en las fechas planificadas.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