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7F313DAB" w14:textId="77777777" w:rsidR="004F2A8B" w:rsidRPr="00931701" w:rsidRDefault="004F2A8B" w:rsidP="3D28A338">
            <w:pPr>
              <w:spacing w:after="120"/>
              <w:jc w:val="both"/>
              <w:rPr>
                <w:rFonts w:eastAsiaTheme="majorEastAsia"/>
                <w:color w:val="767171" w:themeColor="background2" w:themeShade="80"/>
                <w:sz w:val="24"/>
                <w:szCs w:val="24"/>
              </w:rPr>
            </w:pPr>
          </w:p>
          <w:p w14:paraId="7F313DAB" w14:textId="77777777" w:rsidR="004F2A8B" w:rsidRPr="00931701" w:rsidRDefault="004F2A8B" w:rsidP="3D28A338">
            <w:pPr>
              <w:spacing w:after="120"/>
              <w:jc w:val="both"/>
              <w:rPr>
                <w:rFonts w:eastAsiaTheme="majorEastAsia"/>
                <w:color w:val="767171" w:themeColor="background2" w:themeShade="80"/>
                <w:sz w:val="24"/>
                <w:szCs w:val="24"/>
              </w:rPr>
            </w:pPr>
            <w:r>
              <w:rPr>
                <w:b w:val="0"/>
                <w:i w:val="0"/>
                <w:sz w:val="22"/>
              </w:rPr>
              <w:t>En general sí. Cerramos los sprints 0, 1 y 2 en las fechas de la carta Gantt, y el Sprint 3, que va por la mitad, avanza según lo planificado. Lo que no cumplimos a tiempo es la evidencia de hardware: el video de la balanza correspondía al Sprint 0, y recién desde el 22 de septiembre contamos con una balanza con salida serial. Las pruebas están en curso y el video sigue pendiente.</w:t>
            </w:r>
          </w:p>
          <w:p w14:paraId="7F313DAB" w14:textId="77777777" w:rsidR="004F2A8B" w:rsidRPr="00931701" w:rsidRDefault="004F2A8B" w:rsidP="3D28A338">
            <w:pPr>
              <w:spacing w:after="120"/>
              <w:jc w:val="both"/>
              <w:rPr>
                <w:rFonts w:eastAsiaTheme="majorEastAsia"/>
                <w:color w:val="767171" w:themeColor="background2" w:themeShade="80"/>
                <w:sz w:val="24"/>
                <w:szCs w:val="24"/>
              </w:rPr>
            </w:pPr>
            <w:r>
              <w:rPr>
                <w:b w:val="0"/>
                <w:i w:val="0"/>
                <w:sz w:val="22"/>
              </w:rPr>
              <w:t>Nos facilitó tener integración continua desde el primer sprint y haber decidido temprano que el ingreso manual de peso fuera un modo soportado, porque así la caja pudo avanzar sin esperar la balanza. Nos dificultaron el acceso al hardware y la distancia con la panadería, que está en Cabildo.</w:t>
            </w: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106E7A8" w14:textId="77777777" w:rsidR="004F2A8B" w:rsidRPr="003B466F" w:rsidRDefault="004F2A8B" w:rsidP="3D28A338">
            <w:pPr>
              <w:spacing w:after="120"/>
              <w:jc w:val="both"/>
              <w:rPr>
                <w:rFonts w:eastAsiaTheme="majorEastAsia"/>
                <w:color w:val="767171" w:themeColor="background2" w:themeShade="80"/>
                <w:sz w:val="24"/>
                <w:szCs w:val="24"/>
              </w:rPr>
            </w:pPr>
          </w:p>
          <w:p w14:paraId="2106E7A8" w14:textId="77777777" w:rsidR="004F2A8B" w:rsidRPr="003B466F" w:rsidRDefault="004F2A8B" w:rsidP="3D28A338">
            <w:pPr>
              <w:spacing w:after="120"/>
              <w:jc w:val="both"/>
              <w:rPr>
                <w:rFonts w:eastAsiaTheme="majorEastAsia"/>
                <w:color w:val="767171" w:themeColor="background2" w:themeShade="80"/>
                <w:sz w:val="24"/>
                <w:szCs w:val="24"/>
              </w:rPr>
            </w:pPr>
            <w:r>
              <w:rPr>
                <w:b w:val="0"/>
                <w:i w:val="0"/>
                <w:sz w:val="22"/>
              </w:rPr>
              <w:t>La falta de balanza la registramos como impedimento desde el Sprint 0, con Diego como responsable. Mientras tanto, la caja siguió funcionando con ingreso manual de peso y probamos la lectura con una captura sintética de la balanza. Cuando por fin conseguimos una balanza, el cable USB fallaba y la conexión se cortaba; lo resolvimos comprando un cable nuevo.</w:t>
            </w:r>
          </w:p>
          <w:p w14:paraId="2106E7A8" w14:textId="77777777" w:rsidR="004F2A8B" w:rsidRPr="003B466F" w:rsidRDefault="004F2A8B" w:rsidP="3D28A338">
            <w:pPr>
              <w:spacing w:after="120"/>
              <w:jc w:val="both"/>
              <w:rPr>
                <w:rFonts w:eastAsiaTheme="majorEastAsia"/>
                <w:color w:val="767171" w:themeColor="background2" w:themeShade="80"/>
                <w:sz w:val="24"/>
                <w:szCs w:val="24"/>
              </w:rPr>
            </w:pPr>
            <w:r>
              <w:rPr>
                <w:b w:val="0"/>
                <w:i w:val="0"/>
                <w:sz w:val="22"/>
              </w:rPr>
              <w:t>Con la contraparte trabajamos por videollamada y dejamos un acta de cada sesión. Para la sincronización escribimos pruebas automatizadas de los distintos escenarios antes de la prueba de campo, lo que nos permitió corregir varios errores antes de la revisión.</w:t>
            </w: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3EAFB452" w14:textId="7207A9F2" w:rsidR="004F2A8B" w:rsidRPr="003B466F" w:rsidRDefault="004F2A8B" w:rsidP="3D28A338">
            <w:pPr>
              <w:spacing w:after="120"/>
              <w:jc w:val="both"/>
              <w:rPr>
                <w:rFonts w:eastAsiaTheme="majorEastAsia"/>
                <w:color w:val="767171" w:themeColor="background2" w:themeShade="80"/>
                <w:sz w:val="24"/>
                <w:szCs w:val="24"/>
              </w:rPr>
            </w:pPr>
          </w:p>
          <w:p w14:paraId="3EAFB452" w14:textId="7207A9F2" w:rsidR="004F2A8B" w:rsidRPr="003B466F" w:rsidRDefault="004F2A8B" w:rsidP="3D28A338">
            <w:pPr>
              <w:spacing w:after="120"/>
              <w:jc w:val="both"/>
              <w:rPr>
                <w:rFonts w:eastAsiaTheme="majorEastAsia"/>
                <w:color w:val="767171" w:themeColor="background2" w:themeShade="80"/>
                <w:sz w:val="24"/>
                <w:szCs w:val="24"/>
              </w:rPr>
            </w:pPr>
            <w:r>
              <w:rPr>
                <w:b w:val="0"/>
                <w:i w:val="0"/>
                <w:sz w:val="22"/>
              </w:rPr>
              <w:t>Evaluamos el avance como bueno. Todas las historias comprometidas se aceptaron en las revisiones, aunque algunas con reserva por la balanza, y registramos por escrito lo que quedó pendiente.</w:t>
            </w:r>
          </w:p>
          <w:p w14:paraId="3EAFB452" w14:textId="7207A9F2" w:rsidR="004F2A8B" w:rsidRPr="003B466F" w:rsidRDefault="004F2A8B" w:rsidP="3D28A338">
            <w:pPr>
              <w:spacing w:after="120"/>
              <w:jc w:val="both"/>
              <w:rPr>
                <w:rFonts w:eastAsiaTheme="majorEastAsia"/>
                <w:color w:val="767171" w:themeColor="background2" w:themeShade="80"/>
                <w:sz w:val="24"/>
                <w:szCs w:val="24"/>
              </w:rPr>
            </w:pPr>
            <w:r>
              <w:rPr>
                <w:b w:val="0"/>
                <w:i w:val="0"/>
                <w:sz w:val="22"/>
              </w:rPr>
              <w:t>Debemos mejorar el cumplimiento de las tareas asignadas. El impedimento del hardware tiene responsable desde el Sprint 0 y sigue abierto porque esa tarea no se ha completado. También queremos dejar al menos un día de margen entre las pruebas y la revisión de cada sprint.</w:t>
            </w: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1670D69E" w14:textId="77777777" w:rsidR="004F2A8B" w:rsidRPr="003B466F" w:rsidRDefault="004F2A8B" w:rsidP="3D28A338">
            <w:pPr>
              <w:spacing w:after="120"/>
              <w:jc w:val="both"/>
              <w:rPr>
                <w:rFonts w:eastAsiaTheme="majorEastAsia"/>
                <w:color w:val="767171" w:themeColor="background2" w:themeShade="80"/>
                <w:sz w:val="24"/>
                <w:szCs w:val="24"/>
              </w:rPr>
            </w:pPr>
          </w:p>
          <w:p w14:paraId="1670D69E" w14:textId="77777777" w:rsidR="004F2A8B" w:rsidRPr="003B466F" w:rsidRDefault="004F2A8B" w:rsidP="3D28A338">
            <w:pPr>
              <w:spacing w:after="120"/>
              <w:jc w:val="both"/>
              <w:rPr>
                <w:rFonts w:eastAsiaTheme="majorEastAsia"/>
                <w:color w:val="767171" w:themeColor="background2" w:themeShade="80"/>
                <w:sz w:val="24"/>
                <w:szCs w:val="24"/>
              </w:rPr>
            </w:pPr>
            <w:r>
              <w:rPr>
                <w:b w:val="0"/>
                <w:i w:val="0"/>
                <w:sz w:val="22"/>
              </w:rPr>
              <w:t>Nos inquieta el tiempo que queda. Faltan producción, inventario, indicadores, predicción de demanda y la operación multisucursal, y el atraso de la balanza ya nos quitó margen.</w:t>
            </w:r>
          </w:p>
          <w:p w14:paraId="1670D69E" w14:textId="77777777" w:rsidR="004F2A8B" w:rsidRPr="003B466F" w:rsidRDefault="004F2A8B" w:rsidP="3D28A338">
            <w:pPr>
              <w:spacing w:after="120"/>
              <w:jc w:val="both"/>
              <w:rPr>
                <w:rFonts w:eastAsiaTheme="majorEastAsia"/>
                <w:color w:val="767171" w:themeColor="background2" w:themeShade="80"/>
                <w:sz w:val="24"/>
                <w:szCs w:val="24"/>
              </w:rPr>
            </w:pPr>
            <w:r>
              <w:rPr>
                <w:b w:val="0"/>
                <w:i w:val="0"/>
                <w:sz w:val="22"/>
              </w:rPr>
              <w:t>Al docente le preguntaríamos si la evaluación del modelo de predicción sobre datos públicos, comparada contra una línea base, es suficiente, o si espera también resultados con datos de la panadería.</w:t>
            </w: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4B25577F" w14:textId="77777777" w:rsidR="004F2A8B" w:rsidRDefault="004F2A8B" w:rsidP="3D28A338">
            <w:pPr>
              <w:spacing w:after="120"/>
              <w:jc w:val="both"/>
              <w:rPr>
                <w:rFonts w:eastAsiaTheme="majorEastAsia"/>
                <w:color w:val="767171" w:themeColor="background2" w:themeShade="80"/>
                <w:sz w:val="24"/>
                <w:szCs w:val="24"/>
              </w:rPr>
            </w:pPr>
          </w:p>
          <w:p w14:paraId="4B25577F" w14:textId="77777777" w:rsidR="004F2A8B" w:rsidRDefault="004F2A8B" w:rsidP="3D28A338">
            <w:pPr>
              <w:spacing w:after="120"/>
              <w:jc w:val="both"/>
              <w:rPr>
                <w:rFonts w:eastAsiaTheme="majorEastAsia"/>
                <w:color w:val="767171" w:themeColor="background2" w:themeShade="80"/>
                <w:sz w:val="24"/>
                <w:szCs w:val="24"/>
              </w:rPr>
            </w:pPr>
            <w:r>
              <w:rPr>
                <w:b w:val="0"/>
                <w:i w:val="0"/>
                <w:sz w:val="22"/>
              </w:rPr>
              <w:t>Sí. El trabajo de sincronización y de hardware se ha concentrado en Fernando, y en la retrospectiva del Sprint 2 acordamos repartirlo: Rodrigo toma parte de la sincronización y la prueba de eventos en la nube.</w:t>
            </w:r>
          </w:p>
          <w:p w14:paraId="4B25577F" w14:textId="77777777" w:rsidR="004F2A8B" w:rsidRDefault="004F2A8B" w:rsidP="3D28A338">
            <w:pPr>
              <w:spacing w:after="120"/>
              <w:jc w:val="both"/>
              <w:rPr>
                <w:rFonts w:eastAsiaTheme="majorEastAsia"/>
                <w:color w:val="767171" w:themeColor="background2" w:themeShade="80"/>
                <w:sz w:val="24"/>
                <w:szCs w:val="24"/>
              </w:rPr>
            </w:pPr>
            <w:r>
              <w:rPr>
                <w:b w:val="0"/>
                <w:i w:val="0"/>
                <w:sz w:val="22"/>
              </w:rPr>
              <w:t>Además hay una actividad que no estaba en la carta Gantt: reunir y archivar la evidencia de cada sprint (videos, capturas y actas). La asumen Diego y Juan Pablo.</w:t>
            </w: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bookmarkStart w:id="0" w:name="_GoBack"/>
            <w:bookmarkEnd w:id="0"/>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4F1699EE" w14:textId="77777777" w:rsidR="004F2A8B" w:rsidRDefault="004F2A8B" w:rsidP="3D28A338">
            <w:pPr>
              <w:spacing w:after="120"/>
              <w:jc w:val="both"/>
              <w:rPr>
                <w:rFonts w:eastAsiaTheme="majorEastAsia"/>
                <w:color w:val="767171" w:themeColor="background2" w:themeShade="80"/>
                <w:sz w:val="24"/>
                <w:szCs w:val="24"/>
              </w:rPr>
            </w:pPr>
          </w:p>
          <w:p w14:paraId="4F1699EE" w14:textId="77777777" w:rsidR="004F2A8B" w:rsidRDefault="004F2A8B" w:rsidP="3D28A338">
            <w:pPr>
              <w:spacing w:after="120"/>
              <w:jc w:val="both"/>
              <w:rPr>
                <w:rFonts w:eastAsiaTheme="majorEastAsia"/>
                <w:color w:val="767171" w:themeColor="background2" w:themeShade="80"/>
                <w:sz w:val="24"/>
                <w:szCs w:val="24"/>
              </w:rPr>
            </w:pPr>
            <w:r>
              <w:rPr>
                <w:b w:val="0"/>
                <w:i w:val="0"/>
                <w:sz w:val="22"/>
              </w:rPr>
              <w:t>Lo evaluamos de forma positiva. Mantuvimos las reuniones diarias, cada retrospectiva terminó en acciones con responsable y fecha, y la comunicación con la contraparte quedó por escrito.</w:t>
            </w:r>
          </w:p>
          <w:p w14:paraId="4F1699EE" w14:textId="77777777" w:rsidR="004F2A8B" w:rsidRDefault="004F2A8B" w:rsidP="3D28A338">
            <w:pPr>
              <w:spacing w:after="120"/>
              <w:jc w:val="both"/>
              <w:rPr>
                <w:rFonts w:eastAsiaTheme="majorEastAsia"/>
                <w:color w:val="767171" w:themeColor="background2" w:themeShade="80"/>
                <w:sz w:val="24"/>
                <w:szCs w:val="24"/>
              </w:rPr>
            </w:pPr>
            <w:r>
              <w:rPr>
                <w:b w:val="0"/>
                <w:i w:val="0"/>
                <w:sz w:val="22"/>
              </w:rPr>
              <w:t>Nos falta cumplir mejor esas acciones: la tarea del hardware lleva varios sprints abierta. También queremos equilibrar la carga entre los cuatro integrantes.</w:t>
            </w: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B585EE" w14:textId="77777777" w:rsidR="00A322B2" w:rsidRDefault="00A322B2" w:rsidP="00DF38AE">
      <w:pPr>
        <w:spacing w:after="0" w:line="240" w:lineRule="auto"/>
      </w:pPr>
      <w:r>
        <w:separator/>
      </w:r>
    </w:p>
  </w:endnote>
  <w:endnote w:type="continuationSeparator" w:id="0">
    <w:p w14:paraId="4CC4741C" w14:textId="77777777" w:rsidR="00A322B2" w:rsidRDefault="00A322B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C55D98" w14:textId="77777777" w:rsidR="00A322B2" w:rsidRDefault="00A322B2" w:rsidP="00DF38AE">
      <w:pPr>
        <w:spacing w:after="0" w:line="240" w:lineRule="auto"/>
      </w:pPr>
      <w:r>
        <w:separator/>
      </w:r>
    </w:p>
  </w:footnote>
  <w:footnote w:type="continuationSeparator" w:id="0">
    <w:p w14:paraId="354BBEB0" w14:textId="77777777" w:rsidR="00A322B2" w:rsidRDefault="00A322B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8F14D6"/>
    <w:rsid w:val="008F14D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openxmlformats.org/package/2006/metadata/core-properties"/>
    <ds:schemaRef ds:uri="http://schemas.microsoft.com/office/infopath/2007/PartnerControls"/>
    <ds:schemaRef ds:uri="http://purl.org/dc/elements/1.1/"/>
    <ds:schemaRef ds:uri="http://schemas.microsoft.com/office/2006/documentManagement/types"/>
    <ds:schemaRef ds:uri="http://schemas.microsoft.com/office/2006/metadata/properties"/>
    <ds:schemaRef ds:uri="126e8a1c-9ea9-435a-ac89-d06c80d62e30"/>
    <ds:schemaRef ds:uri="http://purl.org/dc/terms/"/>
    <ds:schemaRef ds:uri="http://purl.org/dc/dcmitype/"/>
    <ds:schemaRef ds:uri="http://www.w3.org/XML/1998/namespace"/>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237</Words>
  <Characters>1304</Characters>
  <Application>Microsoft Office Word</Application>
  <DocSecurity>0</DocSecurity>
  <Lines>10</Lines>
  <Paragraphs>3</Paragraphs>
  <ScaleCrop>false</ScaleCrop>
  <Company>Wal-Mart Stores, Inc.</Company>
  <LinksUpToDate>false</LinksUpToDate>
  <CharactersWithSpaces>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Victoria Acevedo D</cp:lastModifiedBy>
  <cp:revision>42</cp:revision>
  <cp:lastPrinted>2019-12-16T20:10:00Z</cp:lastPrinted>
  <dcterms:created xsi:type="dcterms:W3CDTF">2021-12-31T12:50:00Z</dcterms:created>
  <dcterms:modified xsi:type="dcterms:W3CDTF">2023-02-06T15:09:00Z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