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Working title: “When Handedness Differs, Foragers Align: Task Complexity and the Social Consequences of Handedness in Wild Macaques”</w:t>
      </w:r>
    </w:p>
    <w:p w14:paraId="00000002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03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Preliminary author list - Rohit Negi, </w:t>
      </w:r>
      <w:proofErr w:type="spellStart"/>
      <w:r>
        <w:rPr>
          <w:rFonts w:ascii="Calibri" w:eastAsia="Calibri" w:hAnsi="Calibri" w:cs="Calibri"/>
          <w:sz w:val="24"/>
          <w:szCs w:val="24"/>
        </w:rPr>
        <w:t>Suchinda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Malaivijitnond</w:t>
      </w:r>
      <w:proofErr w:type="spellEnd"/>
      <w:r>
        <w:rPr>
          <w:rFonts w:ascii="Calibri" w:eastAsia="Calibri" w:hAnsi="Calibri" w:cs="Calibri"/>
          <w:sz w:val="24"/>
          <w:szCs w:val="24"/>
        </w:rPr>
        <w:t>, Lydia Luncz</w:t>
      </w:r>
    </w:p>
    <w:p w14:paraId="00000004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05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Introduction </w:t>
      </w:r>
    </w:p>
    <w:p w14:paraId="00000006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07" w14:textId="77777777" w:rsidR="00FB0C23" w:rsidRDefault="000F11BA">
      <w:pPr>
        <w:numPr>
          <w:ilvl w:val="0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Handedness in humans and why it is important to study it</w:t>
      </w:r>
    </w:p>
    <w:p w14:paraId="00000008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Across all human societies, there is a strong propensity for behavioral lateralization, most clearly expressed as a population-level right-hand preference for skilled, coordinated, and sequential man</w:t>
      </w:r>
      <w:r>
        <w:rPr>
          <w:rFonts w:ascii="Calibri" w:eastAsia="Calibri" w:hAnsi="Calibri" w:cs="Calibri"/>
          <w:sz w:val="24"/>
          <w:szCs w:val="24"/>
        </w:rPr>
        <w:t xml:space="preserve">ual actions </w:t>
      </w:r>
      <w:hyperlink r:id="rId5">
        <w:r>
          <w:rPr>
            <w:rFonts w:ascii="Calibri" w:eastAsia="Calibri" w:hAnsi="Calibri" w:cs="Calibri"/>
            <w:sz w:val="24"/>
            <w:szCs w:val="24"/>
          </w:rPr>
          <w:t>(</w:t>
        </w:r>
        <w:proofErr w:type="spellStart"/>
        <w:r>
          <w:rPr>
            <w:rFonts w:ascii="Calibri" w:eastAsia="Calibri" w:hAnsi="Calibri" w:cs="Calibri"/>
            <w:sz w:val="24"/>
            <w:szCs w:val="24"/>
          </w:rPr>
          <w:t>Papadatou-Pastou</w:t>
        </w:r>
        <w:proofErr w:type="spellEnd"/>
        <w:r>
          <w:rPr>
            <w:rFonts w:ascii="Calibri" w:eastAsia="Calibri" w:hAnsi="Calibri" w:cs="Calibri"/>
            <w:sz w:val="24"/>
            <w:szCs w:val="24"/>
          </w:rPr>
          <w:t xml:space="preserve"> et al., 2020)</w:t>
        </w:r>
      </w:hyperlink>
      <w:bookmarkStart w:id="0" w:name="_GoBack"/>
      <w:bookmarkEnd w:id="0"/>
      <w:r>
        <w:rPr>
          <w:rFonts w:ascii="Calibri" w:eastAsia="Calibri" w:hAnsi="Calibri" w:cs="Calibri"/>
          <w:sz w:val="24"/>
          <w:szCs w:val="24"/>
        </w:rPr>
        <w:t xml:space="preserve">. This widespread bias is facilitated by lateralized organization of the human brain, which operates contralaterally, meaning that the left hemisphere </w:t>
      </w:r>
      <w:r>
        <w:rPr>
          <w:rFonts w:ascii="Calibri" w:eastAsia="Calibri" w:hAnsi="Calibri" w:cs="Calibri"/>
          <w:sz w:val="24"/>
          <w:szCs w:val="24"/>
        </w:rPr>
        <w:t xml:space="preserve">controls the right side of the body and vice versa </w:t>
      </w:r>
      <w:hyperlink r:id="rId6">
        <w:r>
          <w:rPr>
            <w:rFonts w:ascii="Calibri" w:eastAsia="Calibri" w:hAnsi="Calibri" w:cs="Calibri"/>
            <w:sz w:val="24"/>
            <w:szCs w:val="24"/>
          </w:rPr>
          <w:t>(Mintzberg, 2003)</w:t>
        </w:r>
      </w:hyperlink>
      <w:r>
        <w:rPr>
          <w:rFonts w:ascii="Calibri" w:eastAsia="Calibri" w:hAnsi="Calibri" w:cs="Calibri"/>
          <w:sz w:val="24"/>
          <w:szCs w:val="24"/>
        </w:rPr>
        <w:t>. The left hemisphere, which predominantly governs fine motor sequencing, also supports the core neural systems underlying lan</w:t>
      </w:r>
      <w:r>
        <w:rPr>
          <w:rFonts w:ascii="Calibri" w:eastAsia="Calibri" w:hAnsi="Calibri" w:cs="Calibri"/>
          <w:sz w:val="24"/>
          <w:szCs w:val="24"/>
        </w:rPr>
        <w:t xml:space="preserve">guage </w:t>
      </w:r>
      <w:hyperlink r:id="rId7">
        <w:r>
          <w:rPr>
            <w:rFonts w:ascii="Calibri" w:eastAsia="Calibri" w:hAnsi="Calibri" w:cs="Calibri"/>
            <w:sz w:val="24"/>
            <w:szCs w:val="24"/>
          </w:rPr>
          <w:t>(Dick et al., 2019)</w:t>
        </w:r>
      </w:hyperlink>
      <w:r>
        <w:rPr>
          <w:rFonts w:ascii="Calibri" w:eastAsia="Calibri" w:hAnsi="Calibri" w:cs="Calibri"/>
          <w:sz w:val="24"/>
          <w:szCs w:val="24"/>
        </w:rPr>
        <w:t xml:space="preserve">. Although these two domains are not perfectly coupled, both rely on left-hemispheric specialization, and language may have emerged within a broader neural architecture </w:t>
      </w:r>
      <w:r>
        <w:rPr>
          <w:rFonts w:ascii="Calibri" w:eastAsia="Calibri" w:hAnsi="Calibri" w:cs="Calibri"/>
          <w:sz w:val="24"/>
          <w:szCs w:val="24"/>
        </w:rPr>
        <w:t xml:space="preserve">that was already lateralized in ancestral primates </w:t>
      </w:r>
      <w:hyperlink r:id="rId8">
        <w:r>
          <w:rPr>
            <w:rFonts w:ascii="Calibri" w:eastAsia="Calibri" w:hAnsi="Calibri" w:cs="Calibri"/>
            <w:sz w:val="24"/>
            <w:szCs w:val="24"/>
          </w:rPr>
          <w:t>(Becker et al., 2022; Ocklenburg et al., 2025)</w:t>
        </w:r>
      </w:hyperlink>
      <w:r>
        <w:rPr>
          <w:rFonts w:ascii="Calibri" w:eastAsia="Calibri" w:hAnsi="Calibri" w:cs="Calibri"/>
          <w:sz w:val="24"/>
          <w:szCs w:val="24"/>
        </w:rPr>
        <w:t>. Handedness therefore offers an informative window into the broader neural and evolutionary arch</w:t>
      </w:r>
      <w:r>
        <w:rPr>
          <w:rFonts w:ascii="Calibri" w:eastAsia="Calibri" w:hAnsi="Calibri" w:cs="Calibri"/>
          <w:sz w:val="24"/>
          <w:szCs w:val="24"/>
        </w:rPr>
        <w:t xml:space="preserve">itecture of hemispheric specialization in our species. </w:t>
      </w:r>
    </w:p>
    <w:p w14:paraId="00000009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0A" w14:textId="77777777" w:rsidR="00FB0C23" w:rsidRDefault="000F11BA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Levels of Handedness </w:t>
      </w:r>
    </w:p>
    <w:p w14:paraId="0000000B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Interpreting the evolutionary significance of these patterns requires a clear framework for the levels at which handedness can be expressed. Handedness may occur at three biolog</w:t>
      </w:r>
      <w:r>
        <w:rPr>
          <w:rFonts w:ascii="Calibri" w:eastAsia="Calibri" w:hAnsi="Calibri" w:cs="Calibri"/>
          <w:sz w:val="24"/>
          <w:szCs w:val="24"/>
        </w:rPr>
        <w:t>ical levels: absence of handedness wherein all members of the population prefer to use both the right and the left limb with equal probability; individual-level handedness wherein some individuals only use the right limb, while others only prefer the left,</w:t>
      </w:r>
      <w:r>
        <w:rPr>
          <w:rFonts w:ascii="Calibri" w:eastAsia="Calibri" w:hAnsi="Calibri" w:cs="Calibri"/>
          <w:sz w:val="24"/>
          <w:szCs w:val="24"/>
        </w:rPr>
        <w:t xml:space="preserve"> but there is no asymmetry at the population level and finally population-level handedness wherein the majority of the population prefers one side (</w:t>
      </w:r>
      <w:proofErr w:type="spellStart"/>
      <w:r>
        <w:rPr>
          <w:rFonts w:ascii="Calibri" w:eastAsia="Calibri" w:hAnsi="Calibri" w:cs="Calibri"/>
          <w:sz w:val="24"/>
          <w:szCs w:val="24"/>
        </w:rPr>
        <w:t>Ströckens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et al., 2013). Distinguishing these levels is essential for interpreting comparative patterns and </w:t>
      </w:r>
      <w:r>
        <w:rPr>
          <w:rFonts w:ascii="Calibri" w:eastAsia="Calibri" w:hAnsi="Calibri" w:cs="Calibri"/>
          <w:sz w:val="24"/>
          <w:szCs w:val="24"/>
        </w:rPr>
        <w:t xml:space="preserve">for identifying the selective pressures that shape them. </w:t>
      </w:r>
    </w:p>
    <w:p w14:paraId="0000000C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0D" w14:textId="77777777" w:rsidR="00FB0C23" w:rsidRDefault="000F11BA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First evidence of handedness </w:t>
      </w:r>
    </w:p>
    <w:p w14:paraId="0000000E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These distinctions allow us to interpret the earliest fossil evidence of handedness with greater precision and thereby assess how deeply rooted this specialization is </w:t>
      </w:r>
      <w:r>
        <w:rPr>
          <w:rFonts w:ascii="Calibri" w:eastAsia="Calibri" w:hAnsi="Calibri" w:cs="Calibri"/>
          <w:sz w:val="24"/>
          <w:szCs w:val="24"/>
        </w:rPr>
        <w:t>in the human lineage. The earliest known indication of right-handedness in the hominin lineage dates to approximately 1.8 million years ago and it comes from a single Homo habilis specimen, where the orientation of fine cut-marks and labial striations on t</w:t>
      </w:r>
      <w:r>
        <w:rPr>
          <w:rFonts w:ascii="Calibri" w:eastAsia="Calibri" w:hAnsi="Calibri" w:cs="Calibri"/>
          <w:sz w:val="24"/>
          <w:szCs w:val="24"/>
        </w:rPr>
        <w:t xml:space="preserve">he anterior teeth suggests that a stone tool was consistently used by the right hand while material was pulled across the teeth </w:t>
      </w:r>
      <w:hyperlink r:id="rId9">
        <w:r>
          <w:rPr>
            <w:rFonts w:ascii="Calibri" w:eastAsia="Calibri" w:hAnsi="Calibri" w:cs="Calibri"/>
            <w:sz w:val="24"/>
            <w:szCs w:val="24"/>
          </w:rPr>
          <w:t>(Frayer et al., 2016)</w:t>
        </w:r>
      </w:hyperlink>
      <w:r>
        <w:rPr>
          <w:rFonts w:ascii="Calibri" w:eastAsia="Calibri" w:hAnsi="Calibri" w:cs="Calibri"/>
          <w:sz w:val="24"/>
          <w:szCs w:val="24"/>
        </w:rPr>
        <w:t>. While informative, this single-individual r</w:t>
      </w:r>
      <w:r>
        <w:rPr>
          <w:rFonts w:ascii="Calibri" w:eastAsia="Calibri" w:hAnsi="Calibri" w:cs="Calibri"/>
          <w:sz w:val="24"/>
          <w:szCs w:val="24"/>
        </w:rPr>
        <w:t xml:space="preserve">ecord offers limited insight into population </w:t>
      </w:r>
      <w:r>
        <w:rPr>
          <w:rFonts w:ascii="Calibri" w:eastAsia="Calibri" w:hAnsi="Calibri" w:cs="Calibri"/>
          <w:sz w:val="24"/>
          <w:szCs w:val="24"/>
        </w:rPr>
        <w:lastRenderedPageBreak/>
        <w:t xml:space="preserve">patterns. By contrast, the first clear signs of population-level right-hand bias appear around 500,000 years ago in European pre-modern humans: </w:t>
      </w:r>
      <w:r>
        <w:rPr>
          <w:rFonts w:ascii="Calibri" w:eastAsia="Calibri" w:hAnsi="Calibri" w:cs="Calibri"/>
          <w:i/>
          <w:iCs/>
          <w:sz w:val="24"/>
          <w:szCs w:val="24"/>
        </w:rPr>
        <w:t>Homo antecessor, Homo heidelbergensis, Homo neanderthalensis</w:t>
      </w:r>
      <w:r>
        <w:rPr>
          <w:rFonts w:ascii="Calibri" w:eastAsia="Calibri" w:hAnsi="Calibri" w:cs="Calibri"/>
          <w:sz w:val="24"/>
          <w:szCs w:val="24"/>
        </w:rPr>
        <w:t xml:space="preserve"> where </w:t>
      </w:r>
      <w:r>
        <w:rPr>
          <w:rFonts w:ascii="Calibri" w:eastAsia="Calibri" w:hAnsi="Calibri" w:cs="Calibri"/>
          <w:sz w:val="24"/>
          <w:szCs w:val="24"/>
        </w:rPr>
        <w:t xml:space="preserve">large samples of anterior teeth exhibit systematically oriented non-masticatory striations, the overwhelming majority of which indicate habitual right-hand use </w:t>
      </w:r>
      <w:hyperlink r:id="rId10">
        <w:r>
          <w:rPr>
            <w:rFonts w:ascii="Calibri" w:eastAsia="Calibri" w:hAnsi="Calibri" w:cs="Calibri"/>
            <w:sz w:val="24"/>
            <w:szCs w:val="24"/>
          </w:rPr>
          <w:t>(Frayer et al., 2012)</w:t>
        </w:r>
      </w:hyperlink>
      <w:r>
        <w:rPr>
          <w:rFonts w:ascii="Calibri" w:eastAsia="Calibri" w:hAnsi="Calibri" w:cs="Calibri"/>
          <w:sz w:val="24"/>
          <w:szCs w:val="24"/>
        </w:rPr>
        <w:t>. Together, t</w:t>
      </w:r>
      <w:r>
        <w:rPr>
          <w:rFonts w:ascii="Calibri" w:eastAsia="Calibri" w:hAnsi="Calibri" w:cs="Calibri"/>
          <w:sz w:val="24"/>
          <w:szCs w:val="24"/>
        </w:rPr>
        <w:t>hese findings suggest that population-level right-hand bias predates anatomically modern humans.</w:t>
      </w:r>
    </w:p>
    <w:p w14:paraId="0000000F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10" w14:textId="77777777" w:rsidR="00FB0C23" w:rsidRDefault="000F11BA">
      <w:pPr>
        <w:numPr>
          <w:ilvl w:val="0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Mechanistic foundations (genetics + development)</w:t>
      </w:r>
    </w:p>
    <w:p w14:paraId="00000011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While fossil evidence indicates that population-level right-handedness has deep evolutionary roots, understan</w:t>
      </w:r>
      <w:r>
        <w:rPr>
          <w:rFonts w:ascii="Calibri" w:eastAsia="Calibri" w:hAnsi="Calibri" w:cs="Calibri"/>
          <w:sz w:val="24"/>
          <w:szCs w:val="24"/>
        </w:rPr>
        <w:t>ding how such directional biases arise requires considering the mechanisms that generate and shape manual asymmetries. Genome-wide association studies show that handedness does not follow a simple genetic model; instead, many genetic variants each contribu</w:t>
      </w:r>
      <w:r>
        <w:rPr>
          <w:rFonts w:ascii="Calibri" w:eastAsia="Calibri" w:hAnsi="Calibri" w:cs="Calibri"/>
          <w:sz w:val="24"/>
          <w:szCs w:val="24"/>
        </w:rPr>
        <w:t xml:space="preserve">te small effects, and these predispositions interact with postnatal environmental factors to produce stable adult hand preferences (McManus et al., 2013, </w:t>
      </w:r>
      <w:hyperlink r:id="rId11">
        <w:r>
          <w:rPr>
            <w:rFonts w:ascii="Calibri" w:eastAsia="Calibri" w:hAnsi="Calibri" w:cs="Calibri"/>
            <w:sz w:val="24"/>
            <w:szCs w:val="24"/>
          </w:rPr>
          <w:t>Hopkins et al., 2013)</w:t>
        </w:r>
      </w:hyperlink>
      <w:r>
        <w:rPr>
          <w:rFonts w:ascii="Calibri" w:eastAsia="Calibri" w:hAnsi="Calibri" w:cs="Calibri"/>
          <w:sz w:val="24"/>
          <w:szCs w:val="24"/>
        </w:rPr>
        <w:t>. In broad terms, g</w:t>
      </w:r>
      <w:r>
        <w:rPr>
          <w:rFonts w:ascii="Calibri" w:eastAsia="Calibri" w:hAnsi="Calibri" w:cs="Calibri"/>
          <w:sz w:val="24"/>
          <w:szCs w:val="24"/>
        </w:rPr>
        <w:t>enetic factors establish an initial bias, whereas environmental and developmental inputs shape its expression. These mechanistic insights highlight the possible reasons for individual-level asymmetries, but they do not in themselves explain why humans exhi</w:t>
      </w:r>
      <w:r>
        <w:rPr>
          <w:rFonts w:ascii="Calibri" w:eastAsia="Calibri" w:hAnsi="Calibri" w:cs="Calibri"/>
          <w:sz w:val="24"/>
          <w:szCs w:val="24"/>
        </w:rPr>
        <w:t>bit consistent population-level biases. Accounting for such large-scale patterns requires turning to evolutionary hypotheses that address how directional asymmetries became established and maintained in the human lineage.</w:t>
      </w:r>
    </w:p>
    <w:p w14:paraId="00000012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13" w14:textId="77777777" w:rsidR="00FB0C23" w:rsidRDefault="000F11BA">
      <w:pPr>
        <w:numPr>
          <w:ilvl w:val="0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Evolutionary frameworks underlyin</w:t>
      </w:r>
      <w:r>
        <w:rPr>
          <w:rFonts w:ascii="Calibri" w:eastAsia="Calibri" w:hAnsi="Calibri" w:cs="Calibri"/>
          <w:sz w:val="24"/>
          <w:szCs w:val="24"/>
        </w:rPr>
        <w:t>g handedness</w:t>
      </w:r>
    </w:p>
    <w:p w14:paraId="00000014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number of evolutionary hypotheses have been advanced to explain how such directional asymmetries arose and were maintained in humans. One early account, the posture-origin hypothesis, argued that ancestral primates used the left hand predomi</w:t>
      </w:r>
      <w:r>
        <w:rPr>
          <w:rFonts w:ascii="Calibri" w:eastAsia="Calibri" w:hAnsi="Calibri" w:cs="Calibri"/>
          <w:sz w:val="24"/>
          <w:szCs w:val="24"/>
        </w:rPr>
        <w:t>nantly for postural support during arboreal locomotion, thereby biasing the right hand toward skilled manipulation (</w:t>
      </w:r>
      <w:proofErr w:type="spellStart"/>
      <w:r>
        <w:fldChar w:fldCharType="begin"/>
      </w:r>
      <w:r>
        <w:instrText xml:space="preserve"> HYPERLINK "https://www.zotero.org/google-docs/?6RuHAv" \h </w:instrText>
      </w:r>
      <w:r>
        <w:fldChar w:fldCharType="separate"/>
      </w:r>
      <w:r>
        <w:rPr>
          <w:rFonts w:ascii="Calibri" w:eastAsia="Calibri" w:hAnsi="Calibri" w:cs="Calibri"/>
          <w:sz w:val="24"/>
          <w:szCs w:val="24"/>
        </w:rPr>
        <w:t>MacNeilage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et al., 1987</w:t>
      </w:r>
      <w:r>
        <w:rPr>
          <w:rFonts w:ascii="Calibri" w:eastAsia="Calibri" w:hAnsi="Calibri" w:cs="Calibri"/>
          <w:sz w:val="24"/>
          <w:szCs w:val="24"/>
        </w:rPr>
        <w:fldChar w:fldCharType="end"/>
      </w:r>
      <w:r>
        <w:rPr>
          <w:rFonts w:ascii="Calibri" w:eastAsia="Calibri" w:hAnsi="Calibri" w:cs="Calibri"/>
          <w:sz w:val="24"/>
          <w:szCs w:val="24"/>
        </w:rPr>
        <w:t>). Building on the role of functional demands, the tool</w:t>
      </w:r>
      <w:r>
        <w:rPr>
          <w:rFonts w:ascii="Calibri" w:eastAsia="Calibri" w:hAnsi="Calibri" w:cs="Calibri"/>
          <w:sz w:val="24"/>
          <w:szCs w:val="24"/>
        </w:rPr>
        <w:t xml:space="preserve">-use hypothesis suggests that increasing reliance on stone-tool manufacture and use in early hominins favored consistent recruitment of a dominant hand for precise, repetitive actions </w:t>
      </w:r>
      <w:hyperlink r:id="rId12">
        <w:r>
          <w:rPr>
            <w:rFonts w:ascii="Calibri" w:eastAsia="Calibri" w:hAnsi="Calibri" w:cs="Calibri"/>
            <w:sz w:val="24"/>
            <w:szCs w:val="24"/>
          </w:rPr>
          <w:t>(Napier, 1</w:t>
        </w:r>
        <w:r>
          <w:rPr>
            <w:rFonts w:ascii="Calibri" w:eastAsia="Calibri" w:hAnsi="Calibri" w:cs="Calibri"/>
            <w:sz w:val="24"/>
            <w:szCs w:val="24"/>
          </w:rPr>
          <w:t>962)</w:t>
        </w:r>
      </w:hyperlink>
      <w:r>
        <w:rPr>
          <w:rFonts w:ascii="Calibri" w:eastAsia="Calibri" w:hAnsi="Calibri" w:cs="Calibri"/>
          <w:sz w:val="24"/>
          <w:szCs w:val="24"/>
        </w:rPr>
        <w:t xml:space="preserve">. In contrast to anatomy- and function-based accounts, a cognition based framework, </w:t>
      </w:r>
      <w:hyperlink r:id="rId13">
        <w:r>
          <w:rPr>
            <w:rFonts w:ascii="Calibri" w:eastAsia="Calibri" w:hAnsi="Calibri" w:cs="Calibri"/>
            <w:sz w:val="24"/>
            <w:szCs w:val="24"/>
          </w:rPr>
          <w:t>task complexity theory</w:t>
        </w:r>
      </w:hyperlink>
      <w:r>
        <w:rPr>
          <w:rFonts w:ascii="Calibri" w:eastAsia="Calibri" w:hAnsi="Calibri" w:cs="Calibri"/>
          <w:sz w:val="24"/>
          <w:szCs w:val="24"/>
        </w:rPr>
        <w:t xml:space="preserve">, highlights the role of task complexity </w:t>
      </w:r>
      <w:hyperlink r:id="rId14">
        <w:r>
          <w:rPr>
            <w:rFonts w:ascii="Calibri" w:eastAsia="Calibri" w:hAnsi="Calibri" w:cs="Calibri"/>
            <w:sz w:val="24"/>
            <w:szCs w:val="24"/>
          </w:rPr>
          <w:t xml:space="preserve">(Fagot &amp; </w:t>
        </w:r>
        <w:proofErr w:type="spellStart"/>
        <w:r>
          <w:rPr>
            <w:rFonts w:ascii="Calibri" w:eastAsia="Calibri" w:hAnsi="Calibri" w:cs="Calibri"/>
            <w:sz w:val="24"/>
            <w:szCs w:val="24"/>
          </w:rPr>
          <w:t>Vauclair</w:t>
        </w:r>
        <w:proofErr w:type="spellEnd"/>
        <w:r>
          <w:rPr>
            <w:rFonts w:ascii="Calibri" w:eastAsia="Calibri" w:hAnsi="Calibri" w:cs="Calibri"/>
            <w:sz w:val="24"/>
            <w:szCs w:val="24"/>
          </w:rPr>
          <w:t>, 1991)</w:t>
        </w:r>
      </w:hyperlink>
      <w:r>
        <w:rPr>
          <w:rFonts w:ascii="Calibri" w:eastAsia="Calibri" w:hAnsi="Calibri" w:cs="Calibri"/>
          <w:sz w:val="24"/>
          <w:szCs w:val="24"/>
        </w:rPr>
        <w:t>. This framework distinguishes between two levels of manual lateralization tasks: low (simple) and high-level (complex) tasks, positing that complex tasks require precise motor coordination and complex cognitive p</w:t>
      </w:r>
      <w:r>
        <w:rPr>
          <w:rFonts w:ascii="Calibri" w:eastAsia="Calibri" w:hAnsi="Calibri" w:cs="Calibri"/>
          <w:sz w:val="24"/>
          <w:szCs w:val="24"/>
        </w:rPr>
        <w:t xml:space="preserve">rocesses are more likely to elicit stronger hand preference than simple low-level tasks and have been argued to be the most sensitive measures for detecting population-level hand preferences (see chapter 2 - Ocklenburg &amp; </w:t>
      </w:r>
      <w:proofErr w:type="spellStart"/>
      <w:r>
        <w:rPr>
          <w:rFonts w:ascii="Calibri" w:eastAsia="Calibri" w:hAnsi="Calibri" w:cs="Calibri"/>
          <w:sz w:val="24"/>
          <w:szCs w:val="24"/>
        </w:rPr>
        <w:t>Güntürkün</w:t>
      </w:r>
      <w:proofErr w:type="spellEnd"/>
      <w:r>
        <w:rPr>
          <w:rFonts w:ascii="Calibri" w:eastAsia="Calibri" w:hAnsi="Calibri" w:cs="Calibri"/>
          <w:sz w:val="24"/>
          <w:szCs w:val="24"/>
        </w:rPr>
        <w:t>, 2018a). Although these f</w:t>
      </w:r>
      <w:r>
        <w:rPr>
          <w:rFonts w:ascii="Calibri" w:eastAsia="Calibri" w:hAnsi="Calibri" w:cs="Calibri"/>
          <w:sz w:val="24"/>
          <w:szCs w:val="24"/>
        </w:rPr>
        <w:t xml:space="preserve">rameworks capture important aspects of human manual specialization, they do not explain why similarly </w:t>
      </w:r>
      <w:r>
        <w:rPr>
          <w:rFonts w:ascii="Calibri" w:eastAsia="Calibri" w:hAnsi="Calibri" w:cs="Calibri"/>
          <w:sz w:val="24"/>
          <w:szCs w:val="24"/>
        </w:rPr>
        <w:lastRenderedPageBreak/>
        <w:t>complex behaviors in other species fail to produce comparable population-level biases, an unresolved gap that constrains our understanding of the evolutio</w:t>
      </w:r>
      <w:r>
        <w:rPr>
          <w:rFonts w:ascii="Calibri" w:eastAsia="Calibri" w:hAnsi="Calibri" w:cs="Calibri"/>
          <w:sz w:val="24"/>
          <w:szCs w:val="24"/>
        </w:rPr>
        <w:t>n of handedness.</w:t>
      </w:r>
    </w:p>
    <w:p w14:paraId="00000015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16" w14:textId="77777777" w:rsidR="00FB0C23" w:rsidRDefault="000F11BA">
      <w:pPr>
        <w:numPr>
          <w:ilvl w:val="0"/>
          <w:numId w:val="5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we know about handedness in other primates</w:t>
      </w:r>
    </w:p>
    <w:p w14:paraId="00000017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Despite routinely performing cognitively demanding and highly coordinated manual actions, non-human primates (NHPs hereafter) rarely exhibit population-level handedness. Evidence from compar</w:t>
      </w:r>
      <w:r>
        <w:rPr>
          <w:rFonts w:ascii="Calibri" w:eastAsia="Calibri" w:hAnsi="Calibri" w:cs="Calibri"/>
          <w:sz w:val="24"/>
          <w:szCs w:val="24"/>
        </w:rPr>
        <w:t xml:space="preserve">ative studies supports this pattern: across 38 species of NHPs, individual-level hand preferences are widespread, 82% of subjects in the tube task and 90% in other bimanual tasks show a clear bias, yet average laterality indices remain close to zero </w:t>
      </w:r>
      <w:hyperlink r:id="rId15">
        <w:r>
          <w:rPr>
            <w:rFonts w:ascii="Calibri" w:eastAsia="Calibri" w:hAnsi="Calibri" w:cs="Calibri"/>
            <w:sz w:val="24"/>
            <w:szCs w:val="24"/>
          </w:rPr>
          <w:t>(Soto et al., 2022</w:t>
        </w:r>
      </w:hyperlink>
      <w:hyperlink r:id="rId16">
        <w:r>
          <w:t>)</w:t>
        </w:r>
      </w:hyperlink>
      <w:r>
        <w:rPr>
          <w:rFonts w:ascii="Calibri" w:eastAsia="Calibri" w:hAnsi="Calibri" w:cs="Calibri"/>
          <w:sz w:val="24"/>
          <w:szCs w:val="24"/>
        </w:rPr>
        <w:t xml:space="preserve">. Species-specific work echoes this broader trend: great apes like chimpanzees show robust individual preferences during coordinated feeding and manipulation </w:t>
      </w:r>
      <w:hyperlink r:id="rId17">
        <w:r>
          <w:rPr>
            <w:rFonts w:ascii="Calibri" w:eastAsia="Calibri" w:hAnsi="Calibri" w:cs="Calibri"/>
            <w:sz w:val="24"/>
            <w:szCs w:val="24"/>
          </w:rPr>
          <w:t>(</w:t>
        </w:r>
        <w:proofErr w:type="spellStart"/>
        <w:r>
          <w:rPr>
            <w:rFonts w:ascii="Calibri" w:eastAsia="Calibri" w:hAnsi="Calibri" w:cs="Calibri"/>
            <w:sz w:val="24"/>
            <w:szCs w:val="24"/>
          </w:rPr>
          <w:t>Braccini</w:t>
        </w:r>
        <w:proofErr w:type="spellEnd"/>
        <w:r>
          <w:rPr>
            <w:rFonts w:ascii="Calibri" w:eastAsia="Calibri" w:hAnsi="Calibri" w:cs="Calibri"/>
            <w:sz w:val="24"/>
            <w:szCs w:val="24"/>
          </w:rPr>
          <w:t xml:space="preserve"> et al., 2010; </w:t>
        </w:r>
        <w:proofErr w:type="spellStart"/>
        <w:r>
          <w:rPr>
            <w:rFonts w:ascii="Calibri" w:eastAsia="Calibri" w:hAnsi="Calibri" w:cs="Calibri"/>
            <w:sz w:val="24"/>
            <w:szCs w:val="24"/>
          </w:rPr>
          <w:t>Humle</w:t>
        </w:r>
        <w:proofErr w:type="spellEnd"/>
        <w:r>
          <w:rPr>
            <w:rFonts w:ascii="Calibri" w:eastAsia="Calibri" w:hAnsi="Calibri" w:cs="Calibri"/>
            <w:sz w:val="24"/>
            <w:szCs w:val="24"/>
          </w:rPr>
          <w:t xml:space="preserve"> &amp; Mats</w:t>
        </w:r>
        <w:r>
          <w:rPr>
            <w:rFonts w:ascii="Calibri" w:eastAsia="Calibri" w:hAnsi="Calibri" w:cs="Calibri"/>
            <w:sz w:val="24"/>
            <w:szCs w:val="24"/>
          </w:rPr>
          <w:t>uzawa, 2009)</w:t>
        </w:r>
      </w:hyperlink>
      <w:r>
        <w:rPr>
          <w:rFonts w:ascii="Calibri" w:eastAsia="Calibri" w:hAnsi="Calibri" w:cs="Calibri"/>
          <w:sz w:val="24"/>
          <w:szCs w:val="24"/>
        </w:rPr>
        <w:t xml:space="preserve">, capuchins display strong manual asymmetries during nut-cracking and probing </w:t>
      </w:r>
      <w:hyperlink r:id="rId18">
        <w:r>
          <w:rPr>
            <w:rFonts w:ascii="Calibri" w:eastAsia="Calibri" w:hAnsi="Calibri" w:cs="Calibri"/>
            <w:sz w:val="24"/>
            <w:szCs w:val="24"/>
          </w:rPr>
          <w:t xml:space="preserve">(Meunier &amp; </w:t>
        </w:r>
        <w:proofErr w:type="spellStart"/>
        <w:r>
          <w:rPr>
            <w:rFonts w:ascii="Calibri" w:eastAsia="Calibri" w:hAnsi="Calibri" w:cs="Calibri"/>
            <w:sz w:val="24"/>
            <w:szCs w:val="24"/>
          </w:rPr>
          <w:t>Vauclair</w:t>
        </w:r>
        <w:proofErr w:type="spellEnd"/>
        <w:r>
          <w:rPr>
            <w:rFonts w:ascii="Calibri" w:eastAsia="Calibri" w:hAnsi="Calibri" w:cs="Calibri"/>
            <w:sz w:val="24"/>
            <w:szCs w:val="24"/>
          </w:rPr>
          <w:t xml:space="preserve">, 2007; </w:t>
        </w:r>
        <w:proofErr w:type="spellStart"/>
        <w:r>
          <w:rPr>
            <w:rFonts w:ascii="Calibri" w:eastAsia="Calibri" w:hAnsi="Calibri" w:cs="Calibri"/>
            <w:sz w:val="24"/>
            <w:szCs w:val="24"/>
          </w:rPr>
          <w:t>Spinozzi</w:t>
        </w:r>
        <w:proofErr w:type="spellEnd"/>
        <w:r>
          <w:rPr>
            <w:rFonts w:ascii="Calibri" w:eastAsia="Calibri" w:hAnsi="Calibri" w:cs="Calibri"/>
            <w:sz w:val="24"/>
            <w:szCs w:val="24"/>
          </w:rPr>
          <w:t xml:space="preserve"> &amp; </w:t>
        </w:r>
        <w:proofErr w:type="spellStart"/>
        <w:r>
          <w:rPr>
            <w:rFonts w:ascii="Calibri" w:eastAsia="Calibri" w:hAnsi="Calibri" w:cs="Calibri"/>
            <w:sz w:val="24"/>
            <w:szCs w:val="24"/>
          </w:rPr>
          <w:t>Truppa</w:t>
        </w:r>
        <w:proofErr w:type="spellEnd"/>
        <w:r>
          <w:rPr>
            <w:rFonts w:ascii="Calibri" w:eastAsia="Calibri" w:hAnsi="Calibri" w:cs="Calibri"/>
            <w:sz w:val="24"/>
            <w:szCs w:val="24"/>
          </w:rPr>
          <w:t>, 2002)</w:t>
        </w:r>
      </w:hyperlink>
      <w:r>
        <w:rPr>
          <w:rFonts w:ascii="Calibri" w:eastAsia="Calibri" w:hAnsi="Calibri" w:cs="Calibri"/>
          <w:sz w:val="24"/>
          <w:szCs w:val="24"/>
        </w:rPr>
        <w:t xml:space="preserve">, and macaques exhibit consistent preferences across </w:t>
      </w:r>
      <w:r>
        <w:rPr>
          <w:rFonts w:ascii="Calibri" w:eastAsia="Calibri" w:hAnsi="Calibri" w:cs="Calibri"/>
          <w:sz w:val="24"/>
          <w:szCs w:val="24"/>
        </w:rPr>
        <w:t xml:space="preserve">bimanual coordination, unimanual reaching, and natural foraging behaviors </w:t>
      </w:r>
      <w:hyperlink r:id="rId19">
        <w:r>
          <w:rPr>
            <w:rFonts w:ascii="Calibri" w:eastAsia="Calibri" w:hAnsi="Calibri" w:cs="Calibri"/>
            <w:sz w:val="24"/>
            <w:szCs w:val="24"/>
          </w:rPr>
          <w:t>(</w:t>
        </w:r>
        <w:proofErr w:type="spellStart"/>
        <w:r>
          <w:rPr>
            <w:rFonts w:ascii="Calibri" w:eastAsia="Calibri" w:hAnsi="Calibri" w:cs="Calibri"/>
            <w:sz w:val="24"/>
            <w:szCs w:val="24"/>
          </w:rPr>
          <w:t>Chatagny</w:t>
        </w:r>
        <w:proofErr w:type="spellEnd"/>
        <w:r>
          <w:rPr>
            <w:rFonts w:ascii="Calibri" w:eastAsia="Calibri" w:hAnsi="Calibri" w:cs="Calibri"/>
            <w:sz w:val="24"/>
            <w:szCs w:val="24"/>
          </w:rPr>
          <w:t xml:space="preserve"> et al., 2013; Mangalam et al., 2015)</w:t>
        </w:r>
      </w:hyperlink>
      <w:r>
        <w:rPr>
          <w:rFonts w:ascii="Calibri" w:eastAsia="Calibri" w:hAnsi="Calibri" w:cs="Calibri"/>
          <w:sz w:val="24"/>
          <w:szCs w:val="24"/>
        </w:rPr>
        <w:t>.  Yet in all these taxa, population-level left–right biases are absent or</w:t>
      </w:r>
      <w:r>
        <w:rPr>
          <w:rFonts w:ascii="Calibri" w:eastAsia="Calibri" w:hAnsi="Calibri" w:cs="Calibri"/>
          <w:sz w:val="24"/>
          <w:szCs w:val="24"/>
        </w:rPr>
        <w:t xml:space="preserve"> weakly expressed (but see </w:t>
      </w:r>
      <w:hyperlink r:id="rId20">
        <w:r>
          <w:rPr>
            <w:rFonts w:ascii="Calibri" w:eastAsia="Calibri" w:hAnsi="Calibri" w:cs="Calibri"/>
            <w:sz w:val="24"/>
            <w:szCs w:val="24"/>
          </w:rPr>
          <w:t xml:space="preserve">Hopkins &amp; </w:t>
        </w:r>
        <w:proofErr w:type="spellStart"/>
        <w:r>
          <w:rPr>
            <w:rFonts w:ascii="Calibri" w:eastAsia="Calibri" w:hAnsi="Calibri" w:cs="Calibri"/>
            <w:sz w:val="24"/>
            <w:szCs w:val="24"/>
          </w:rPr>
          <w:t>Meguerditchian</w:t>
        </w:r>
        <w:proofErr w:type="spellEnd"/>
        <w:r>
          <w:rPr>
            <w:rFonts w:ascii="Calibri" w:eastAsia="Calibri" w:hAnsi="Calibri" w:cs="Calibri"/>
            <w:sz w:val="24"/>
            <w:szCs w:val="24"/>
          </w:rPr>
          <w:t>, 2025</w:t>
        </w:r>
      </w:hyperlink>
      <w:r>
        <w:rPr>
          <w:rFonts w:ascii="Calibri" w:eastAsia="Calibri" w:hAnsi="Calibri" w:cs="Calibri"/>
          <w:sz w:val="24"/>
          <w:szCs w:val="24"/>
        </w:rPr>
        <w:t xml:space="preserve">). These findings suggest that while task complexity reliably elicits individual-level lateralization, it is not, on its own, sufficient </w:t>
      </w:r>
      <w:r>
        <w:rPr>
          <w:rFonts w:ascii="Calibri" w:eastAsia="Calibri" w:hAnsi="Calibri" w:cs="Calibri"/>
          <w:sz w:val="24"/>
          <w:szCs w:val="24"/>
        </w:rPr>
        <w:t>to generate species-wide handedness.</w:t>
      </w:r>
    </w:p>
    <w:p w14:paraId="00000018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19" w14:textId="77777777" w:rsidR="00FB0C23" w:rsidRDefault="000F11BA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Long-tailed macaque, why they are a great model system to study the emergence of handedness</w:t>
      </w:r>
    </w:p>
    <w:p w14:paraId="0000001A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Long-tailed macaques (</w:t>
      </w:r>
      <w:proofErr w:type="spellStart"/>
      <w:r>
        <w:rPr>
          <w:rFonts w:ascii="Calibri" w:eastAsia="Calibri" w:hAnsi="Calibri" w:cs="Calibri"/>
          <w:sz w:val="24"/>
          <w:szCs w:val="24"/>
        </w:rPr>
        <w:t>Macaca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fascicularis</w:t>
      </w:r>
      <w:proofErr w:type="spellEnd"/>
      <w:r>
        <w:rPr>
          <w:rFonts w:ascii="Calibri" w:eastAsia="Calibri" w:hAnsi="Calibri" w:cs="Calibri"/>
          <w:sz w:val="24"/>
          <w:szCs w:val="24"/>
        </w:rPr>
        <w:t>) in southern Thailand and Myanmar routinely perform a wide range of manual behaviors that vary greatly in their motor and cognitive demands. These include simple actions such as unimanual reaching and rubbing, as w</w:t>
      </w:r>
      <w:r>
        <w:rPr>
          <w:rFonts w:ascii="Calibri" w:eastAsia="Calibri" w:hAnsi="Calibri" w:cs="Calibri"/>
          <w:sz w:val="24"/>
          <w:szCs w:val="24"/>
        </w:rPr>
        <w:t>ell as more demanding behaviors like coordinated bimanual manipulation, extractive foraging, and stone-tool use to process nuts and marine invertebrates such as oysters (ref.). Oyster processing, in particular, imposes substantial motor challenges: oysters</w:t>
      </w:r>
      <w:r>
        <w:rPr>
          <w:rFonts w:ascii="Calibri" w:eastAsia="Calibri" w:hAnsi="Calibri" w:cs="Calibri"/>
          <w:sz w:val="24"/>
          <w:szCs w:val="24"/>
        </w:rPr>
        <w:t xml:space="preserve"> occur in dense, irregular clusters across a three-dimensional foraging landscape, often requiring macaques to strike at awkward angles, including overhead positions, while avoiding shell fragmentation that can reduce food yield or cause internal injury </w:t>
      </w:r>
      <w:hyperlink r:id="rId21">
        <w:r>
          <w:rPr>
            <w:rFonts w:ascii="Calibri" w:eastAsia="Calibri" w:hAnsi="Calibri" w:cs="Calibri"/>
            <w:sz w:val="24"/>
            <w:szCs w:val="24"/>
          </w:rPr>
          <w:t>(Luncz et al., 2024; Tan, 2017)</w:t>
        </w:r>
      </w:hyperlink>
      <w:r>
        <w:rPr>
          <w:rFonts w:ascii="Calibri" w:eastAsia="Calibri" w:hAnsi="Calibri" w:cs="Calibri"/>
          <w:sz w:val="24"/>
          <w:szCs w:val="24"/>
        </w:rPr>
        <w:t>. Because individuals routinely engage in a continuum of tasks varying in cognitive and motor demands, this species provides a rare opportunity to examine how differ</w:t>
      </w:r>
      <w:r>
        <w:rPr>
          <w:rFonts w:ascii="Calibri" w:eastAsia="Calibri" w:hAnsi="Calibri" w:cs="Calibri"/>
          <w:sz w:val="24"/>
          <w:szCs w:val="24"/>
        </w:rPr>
        <w:t>ences in behavioral demands influence the expression of hand preferences. Their broad manipulative repertoire therefore makes long-tailed macaques a powerful model system for investigating the evolutionary origins of manual lateralization in primates.</w:t>
      </w:r>
    </w:p>
    <w:p w14:paraId="0000001B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1C" w14:textId="77777777" w:rsidR="00FB0C23" w:rsidRDefault="000F11BA">
      <w:pPr>
        <w:numPr>
          <w:ilvl w:val="0"/>
          <w:numId w:val="4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Int</w:t>
      </w:r>
      <w:r>
        <w:rPr>
          <w:rFonts w:ascii="Calibri" w:eastAsia="Calibri" w:hAnsi="Calibri" w:cs="Calibri"/>
          <w:sz w:val="24"/>
          <w:szCs w:val="24"/>
        </w:rPr>
        <w:t xml:space="preserve">roduce the field site of Koh </w:t>
      </w:r>
      <w:proofErr w:type="spellStart"/>
      <w:r>
        <w:rPr>
          <w:rFonts w:ascii="Calibri" w:eastAsia="Calibri" w:hAnsi="Calibri" w:cs="Calibri"/>
          <w:sz w:val="24"/>
          <w:szCs w:val="24"/>
        </w:rPr>
        <w:t>Boi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 what exactly you tested here</w:t>
      </w:r>
    </w:p>
    <w:p w14:paraId="0000001D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We studied a coastal-dwelling group of stone-tool-using long-tailed macaques on the island of Koh </w:t>
      </w:r>
      <w:proofErr w:type="spellStart"/>
      <w:r>
        <w:rPr>
          <w:rFonts w:ascii="Calibri" w:eastAsia="Calibri" w:hAnsi="Calibri" w:cs="Calibri"/>
          <w:sz w:val="24"/>
          <w:szCs w:val="24"/>
        </w:rPr>
        <w:t>Boi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 </w:t>
      </w:r>
      <w:proofErr w:type="spellStart"/>
      <w:r>
        <w:rPr>
          <w:rFonts w:ascii="Calibri" w:eastAsia="Calibri" w:hAnsi="Calibri" w:cs="Calibri"/>
          <w:sz w:val="24"/>
          <w:szCs w:val="24"/>
        </w:rPr>
        <w:t>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Phang</w:t>
      </w:r>
      <w:proofErr w:type="spellEnd"/>
      <w:r>
        <w:rPr>
          <w:rFonts w:ascii="Calibri" w:eastAsia="Calibri" w:hAnsi="Calibri" w:cs="Calibri"/>
          <w:sz w:val="24"/>
          <w:szCs w:val="24"/>
        </w:rPr>
        <w:t>-Nga National Park. Our first aim was to test whether individuals exhibit str</w:t>
      </w:r>
      <w:r>
        <w:rPr>
          <w:rFonts w:ascii="Calibri" w:eastAsia="Calibri" w:hAnsi="Calibri" w:cs="Calibri"/>
          <w:sz w:val="24"/>
          <w:szCs w:val="24"/>
        </w:rPr>
        <w:t>onger and more consistent hand preferences during complex tasks than during simpler manual actions. Because stone-tool-assisted foraging places higher demands on motor control and action sequencing, we predicted that individuals would show clearer hand pre</w:t>
      </w:r>
      <w:r>
        <w:rPr>
          <w:rFonts w:ascii="Calibri" w:eastAsia="Calibri" w:hAnsi="Calibri" w:cs="Calibri"/>
          <w:sz w:val="24"/>
          <w:szCs w:val="24"/>
        </w:rPr>
        <w:t>ferences during these complex behaviors than during low-demand actions such as rubbing or food washing. Consistent with patterns reported in other primate species, we did not expect these individual-level asymmetries to align directionally at the populatio</w:t>
      </w:r>
      <w:r>
        <w:rPr>
          <w:rFonts w:ascii="Calibri" w:eastAsia="Calibri" w:hAnsi="Calibri" w:cs="Calibri"/>
          <w:sz w:val="24"/>
          <w:szCs w:val="24"/>
        </w:rPr>
        <w:t>n level.</w:t>
      </w:r>
    </w:p>
    <w:p w14:paraId="0000001E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1F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Our second aim addressed the question of why population-level biases do or do not emerge, a central issue across primate handedness research. Oyster foraging on Koh </w:t>
      </w:r>
      <w:proofErr w:type="spellStart"/>
      <w:r>
        <w:rPr>
          <w:rFonts w:ascii="Calibri" w:eastAsia="Calibri" w:hAnsi="Calibri" w:cs="Calibri"/>
          <w:sz w:val="24"/>
          <w:szCs w:val="24"/>
        </w:rPr>
        <w:t>Boi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occurs on exposed rocky shores lacking structural refuge, where macaques are </w:t>
      </w:r>
      <w:r>
        <w:rPr>
          <w:rFonts w:ascii="Calibri" w:eastAsia="Calibri" w:hAnsi="Calibri" w:cs="Calibri"/>
          <w:sz w:val="24"/>
          <w:szCs w:val="24"/>
        </w:rPr>
        <w:t xml:space="preserve">vulnerable to avian predators and human disturbance. Such open habitats might prompt individuals to remain in close proximity as an anti-predator strategy (ref). However, this need for proximity must be balanced against the efficiency costs imposed by the </w:t>
      </w:r>
      <w:r>
        <w:rPr>
          <w:rFonts w:ascii="Calibri" w:eastAsia="Calibri" w:hAnsi="Calibri" w:cs="Calibri"/>
          <w:sz w:val="24"/>
          <w:szCs w:val="24"/>
        </w:rPr>
        <w:t>Optimal Foraging Theory (ref). Because oysters adhere to irregular substrates at varying orientations, certain striking angles may be more accessible for left- or right-handed tool users. Thus, one potential resolution to this trade-off could be that indiv</w:t>
      </w:r>
      <w:r>
        <w:rPr>
          <w:rFonts w:ascii="Calibri" w:eastAsia="Calibri" w:hAnsi="Calibri" w:cs="Calibri"/>
          <w:sz w:val="24"/>
          <w:szCs w:val="24"/>
        </w:rPr>
        <w:t>iduals with different hand preferences associate more closely during oyster processing. We therefore tested whether individual handedness predicts fine-scale spatial associations during oyster foraging, allowing us to evaluate whether individual-level asym</w:t>
      </w:r>
      <w:r>
        <w:rPr>
          <w:rFonts w:ascii="Calibri" w:eastAsia="Calibri" w:hAnsi="Calibri" w:cs="Calibri"/>
          <w:sz w:val="24"/>
          <w:szCs w:val="24"/>
        </w:rPr>
        <w:t>metries can structure group-level foraging patterns under specific ecological constraints and, whether such dynamics may offer a plausible pathway through which population-level patterns could emerge.</w:t>
      </w:r>
    </w:p>
    <w:p w14:paraId="00000020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21" w14:textId="77777777" w:rsidR="00FB0C23" w:rsidRDefault="000F11BA">
      <w:pPr>
        <w:numPr>
          <w:ilvl w:val="0"/>
          <w:numId w:val="6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One or two summary sentences bringing it back to the b</w:t>
      </w:r>
      <w:r>
        <w:rPr>
          <w:rFonts w:ascii="Calibri" w:eastAsia="Calibri" w:hAnsi="Calibri" w:cs="Calibri"/>
          <w:sz w:val="24"/>
          <w:szCs w:val="24"/>
        </w:rPr>
        <w:t>igger picture and what monkeys can tell us about the evolution of handedness.</w:t>
      </w:r>
    </w:p>
    <w:p w14:paraId="00000022" w14:textId="77777777" w:rsidR="00FB0C23" w:rsidRDefault="000F11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Together, these aims allow us to identify the factors that generate individual hand preferences and to assess the conditions under which such asymmetries may, or may not, consoli</w:t>
      </w:r>
      <w:r>
        <w:rPr>
          <w:rFonts w:ascii="Calibri" w:eastAsia="Calibri" w:hAnsi="Calibri" w:cs="Calibri"/>
          <w:sz w:val="24"/>
          <w:szCs w:val="24"/>
        </w:rPr>
        <w:t>date into group-level patterns. By evaluating these processes in a tool-using macaque population, our study provides a comparative lens on the evolutionary forces shaping lateralized action in primates and contributes to broader efforts to understand the o</w:t>
      </w:r>
      <w:r>
        <w:rPr>
          <w:rFonts w:ascii="Calibri" w:eastAsia="Calibri" w:hAnsi="Calibri" w:cs="Calibri"/>
          <w:sz w:val="24"/>
          <w:szCs w:val="24"/>
        </w:rPr>
        <w:t>rigins of human handedness.</w:t>
      </w:r>
    </w:p>
    <w:p w14:paraId="00000031" w14:textId="77777777" w:rsidR="00FB0C23" w:rsidRDefault="00FB0C23">
      <w:pPr>
        <w:jc w:val="both"/>
        <w:rPr>
          <w:rFonts w:ascii="Calibri" w:eastAsia="Calibri" w:hAnsi="Calibri" w:cs="Calibri"/>
          <w:sz w:val="24"/>
          <w:szCs w:val="24"/>
        </w:rPr>
      </w:pPr>
    </w:p>
    <w:sectPr w:rsidR="00FB0C23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F57C4F5-F12B-4923-BB96-F6BC9195067E}"/>
    <w:embedItalic r:id="rId2" w:fontKey="{72A48871-5C76-4C7A-9702-57A0959A85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48A555-1E6C-4BE1-BFE9-291F670B08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83E4E"/>
    <w:multiLevelType w:val="multilevel"/>
    <w:tmpl w:val="CBDE7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A734BE"/>
    <w:multiLevelType w:val="multilevel"/>
    <w:tmpl w:val="2BDCE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BB3A69"/>
    <w:multiLevelType w:val="multilevel"/>
    <w:tmpl w:val="01F2E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357FD5"/>
    <w:multiLevelType w:val="multilevel"/>
    <w:tmpl w:val="D5A47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6469FE"/>
    <w:multiLevelType w:val="multilevel"/>
    <w:tmpl w:val="F1C6F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D83023"/>
    <w:multiLevelType w:val="multilevel"/>
    <w:tmpl w:val="EF96E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4E732C"/>
    <w:multiLevelType w:val="multilevel"/>
    <w:tmpl w:val="76C4A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B971EE"/>
    <w:multiLevelType w:val="multilevel"/>
    <w:tmpl w:val="358CBD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A1F2F99"/>
    <w:multiLevelType w:val="multilevel"/>
    <w:tmpl w:val="5FF24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8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C23"/>
    <w:rsid w:val="000F11BA"/>
    <w:rsid w:val="00FB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E156"/>
  <w15:docId w15:val="{1997FC2E-54A2-4A2D-8BEB-FDD9163B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/>
    <w:unhideWhenUsed/>
    <w:rsid w:val="000F1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tero.org/google-docs/?yBWcMK" TargetMode="External"/><Relationship Id="rId13" Type="http://schemas.openxmlformats.org/officeDocument/2006/relationships/hyperlink" Target="https://www.zotero.org/google-docs/?HEDvWe" TargetMode="External"/><Relationship Id="rId18" Type="http://schemas.openxmlformats.org/officeDocument/2006/relationships/hyperlink" Target="https://www.zotero.org/google-docs/?Q1Oq9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zotero.org/google-docs/?DZpDXd" TargetMode="External"/><Relationship Id="rId7" Type="http://schemas.openxmlformats.org/officeDocument/2006/relationships/hyperlink" Target="https://www.zotero.org/google-docs/?fwDadq" TargetMode="External"/><Relationship Id="rId12" Type="http://schemas.openxmlformats.org/officeDocument/2006/relationships/hyperlink" Target="https://www.zotero.org/google-docs/?oxuW0B" TargetMode="External"/><Relationship Id="rId17" Type="http://schemas.openxmlformats.org/officeDocument/2006/relationships/hyperlink" Target="https://www.zotero.org/google-docs/?gpP6j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zotero.org/google-docs/?3nDQK6" TargetMode="External"/><Relationship Id="rId20" Type="http://schemas.openxmlformats.org/officeDocument/2006/relationships/hyperlink" Target="https://www.zotero.org/google-docs/?tZcgUz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zotero.org/google-docs/?p4IhYb" TargetMode="External"/><Relationship Id="rId11" Type="http://schemas.openxmlformats.org/officeDocument/2006/relationships/hyperlink" Target="https://www.zotero.org/google-docs/?H03Kqk" TargetMode="External"/><Relationship Id="rId5" Type="http://schemas.openxmlformats.org/officeDocument/2006/relationships/hyperlink" Target="https://www.zotero.org/google-docs/?xAHLie" TargetMode="External"/><Relationship Id="rId15" Type="http://schemas.openxmlformats.org/officeDocument/2006/relationships/hyperlink" Target="https://www.zotero.org/google-docs/?bFVJg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zotero.org/google-docs/?RvAGee" TargetMode="External"/><Relationship Id="rId19" Type="http://schemas.openxmlformats.org/officeDocument/2006/relationships/hyperlink" Target="https://www.zotero.org/google-docs/?1WMtC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otero.org/google-docs/?mURlse" TargetMode="External"/><Relationship Id="rId14" Type="http://schemas.openxmlformats.org/officeDocument/2006/relationships/hyperlink" Target="https://www.zotero.org/google-docs/?PYvYp5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1835</Words>
  <Characters>10462</Characters>
  <Application>Microsoft Office Word</Application>
  <DocSecurity>0</DocSecurity>
  <Lines>87</Lines>
  <Paragraphs>24</Paragraphs>
  <ScaleCrop>false</ScaleCrop>
  <Company>MPI EVA</Company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Negi</cp:lastModifiedBy>
  <cp:revision>2</cp:revision>
  <dcterms:created xsi:type="dcterms:W3CDTF">2025-12-10T10:02:00Z</dcterms:created>
  <dcterms:modified xsi:type="dcterms:W3CDTF">2025-12-10T10:03:00Z</dcterms:modified>
</cp:coreProperties>
</file>