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17C0928E" w:rsidR="00FB0C23" w:rsidRDefault="000F11BA">
      <w:pPr>
        <w:jc w:val="both"/>
        <w:rPr>
          <w:rFonts w:ascii="Calibri" w:eastAsia="Calibri" w:hAnsi="Calibri" w:cs="Calibri"/>
          <w:sz w:val="24"/>
          <w:szCs w:val="24"/>
        </w:rPr>
      </w:pPr>
      <w:r>
        <w:rPr>
          <w:rFonts w:ascii="Calibri" w:eastAsia="Calibri" w:hAnsi="Calibri" w:cs="Calibri"/>
          <w:sz w:val="24"/>
          <w:szCs w:val="24"/>
        </w:rPr>
        <w:t>Working title: “Task Complexity and the Social Consequences of Handedness in Wild Macaques”</w:t>
      </w:r>
    </w:p>
    <w:p w14:paraId="00000002" w14:textId="77777777" w:rsidR="00FB0C23" w:rsidRDefault="00FB0C23">
      <w:pPr>
        <w:jc w:val="both"/>
        <w:rPr>
          <w:rFonts w:ascii="Calibri" w:eastAsia="Calibri" w:hAnsi="Calibri" w:cs="Calibri"/>
          <w:sz w:val="24"/>
          <w:szCs w:val="24"/>
        </w:rPr>
      </w:pPr>
    </w:p>
    <w:p w14:paraId="00000003" w14:textId="58244860" w:rsidR="00FB0C23" w:rsidRDefault="000F11BA">
      <w:pPr>
        <w:jc w:val="both"/>
        <w:rPr>
          <w:rFonts w:ascii="Calibri" w:eastAsia="Calibri" w:hAnsi="Calibri" w:cs="Calibri"/>
          <w:sz w:val="24"/>
          <w:szCs w:val="24"/>
        </w:rPr>
      </w:pPr>
      <w:r>
        <w:rPr>
          <w:rFonts w:ascii="Calibri" w:eastAsia="Calibri" w:hAnsi="Calibri" w:cs="Calibri"/>
          <w:sz w:val="24"/>
          <w:szCs w:val="24"/>
        </w:rPr>
        <w:t xml:space="preserve">Preliminary author list - Rohit Negi, </w:t>
      </w:r>
      <w:proofErr w:type="spellStart"/>
      <w:r>
        <w:rPr>
          <w:rFonts w:ascii="Calibri" w:eastAsia="Calibri" w:hAnsi="Calibri" w:cs="Calibri"/>
          <w:sz w:val="24"/>
          <w:szCs w:val="24"/>
        </w:rPr>
        <w:t>Suchinda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Malaivijitnond</w:t>
      </w:r>
      <w:proofErr w:type="spellEnd"/>
      <w:r>
        <w:rPr>
          <w:rFonts w:ascii="Calibri" w:eastAsia="Calibri" w:hAnsi="Calibri" w:cs="Calibri"/>
          <w:sz w:val="24"/>
          <w:szCs w:val="24"/>
        </w:rPr>
        <w:t xml:space="preserve">, Lydia </w:t>
      </w:r>
      <w:r w:rsidR="002B434D">
        <w:rPr>
          <w:rFonts w:ascii="Calibri" w:eastAsia="Calibri" w:hAnsi="Calibri" w:cs="Calibri"/>
          <w:sz w:val="24"/>
          <w:szCs w:val="24"/>
        </w:rPr>
        <w:t xml:space="preserve">V. </w:t>
      </w:r>
      <w:proofErr w:type="spellStart"/>
      <w:r>
        <w:rPr>
          <w:rFonts w:ascii="Calibri" w:eastAsia="Calibri" w:hAnsi="Calibri" w:cs="Calibri"/>
          <w:sz w:val="24"/>
          <w:szCs w:val="24"/>
        </w:rPr>
        <w:t>Luncz</w:t>
      </w:r>
      <w:proofErr w:type="spellEnd"/>
    </w:p>
    <w:p w14:paraId="00000004" w14:textId="77777777" w:rsidR="00FB0C23" w:rsidRDefault="00FB0C23">
      <w:pPr>
        <w:jc w:val="both"/>
        <w:rPr>
          <w:rFonts w:ascii="Calibri" w:eastAsia="Calibri" w:hAnsi="Calibri" w:cs="Calibri"/>
          <w:sz w:val="24"/>
          <w:szCs w:val="24"/>
        </w:rPr>
      </w:pPr>
    </w:p>
    <w:p w14:paraId="00000005" w14:textId="77777777" w:rsidR="00FB0C23" w:rsidRDefault="000F11BA">
      <w:pPr>
        <w:jc w:val="both"/>
        <w:rPr>
          <w:rFonts w:ascii="Calibri" w:eastAsia="Calibri" w:hAnsi="Calibri" w:cs="Calibri"/>
          <w:sz w:val="24"/>
          <w:szCs w:val="24"/>
        </w:rPr>
      </w:pPr>
      <w:r>
        <w:rPr>
          <w:rFonts w:ascii="Calibri" w:eastAsia="Calibri" w:hAnsi="Calibri" w:cs="Calibri"/>
          <w:sz w:val="24"/>
          <w:szCs w:val="24"/>
        </w:rPr>
        <w:t xml:space="preserve">Introduction </w:t>
      </w:r>
    </w:p>
    <w:p w14:paraId="00000006" w14:textId="77777777" w:rsidR="00FB0C23" w:rsidRDefault="00FB0C23">
      <w:pPr>
        <w:jc w:val="both"/>
        <w:rPr>
          <w:rFonts w:ascii="Calibri" w:eastAsia="Calibri" w:hAnsi="Calibri" w:cs="Calibri"/>
          <w:sz w:val="24"/>
          <w:szCs w:val="24"/>
        </w:rPr>
      </w:pPr>
    </w:p>
    <w:p w14:paraId="00000007" w14:textId="77777777" w:rsidR="00FB0C23" w:rsidRDefault="000F11BA">
      <w:pPr>
        <w:numPr>
          <w:ilvl w:val="0"/>
          <w:numId w:val="7"/>
        </w:numPr>
        <w:jc w:val="both"/>
        <w:rPr>
          <w:rFonts w:ascii="Calibri" w:eastAsia="Calibri" w:hAnsi="Calibri" w:cs="Calibri"/>
          <w:sz w:val="24"/>
          <w:szCs w:val="24"/>
        </w:rPr>
      </w:pPr>
      <w:r>
        <w:rPr>
          <w:rFonts w:ascii="Calibri" w:eastAsia="Calibri" w:hAnsi="Calibri" w:cs="Calibri"/>
          <w:sz w:val="24"/>
          <w:szCs w:val="24"/>
        </w:rPr>
        <w:t>Handedness in humans and why it is important to study it</w:t>
      </w:r>
    </w:p>
    <w:p w14:paraId="00000009" w14:textId="2CBF0C7C" w:rsidR="00FB0C23" w:rsidRDefault="000F11BA">
      <w:pPr>
        <w:jc w:val="both"/>
        <w:rPr>
          <w:rFonts w:ascii="Calibri" w:eastAsia="Calibri" w:hAnsi="Calibri" w:cs="Calibri"/>
          <w:sz w:val="24"/>
          <w:szCs w:val="24"/>
        </w:rPr>
      </w:pPr>
      <w:r>
        <w:rPr>
          <w:rFonts w:ascii="Calibri" w:eastAsia="Calibri" w:hAnsi="Calibri" w:cs="Calibri"/>
          <w:sz w:val="24"/>
          <w:szCs w:val="24"/>
        </w:rPr>
        <w:t xml:space="preserve">Across all human societies, there is a strong propensity for behavioral lateralization, most clearly expressed as a population-level right-hand preference for skilled, coordinated, and sequential manual actions </w:t>
      </w:r>
      <w:hyperlink r:id="rId5">
        <w:r>
          <w:rPr>
            <w:rFonts w:ascii="Calibri" w:eastAsia="Calibri" w:hAnsi="Calibri" w:cs="Calibri"/>
            <w:sz w:val="24"/>
            <w:szCs w:val="24"/>
          </w:rPr>
          <w:t>(</w:t>
        </w:r>
        <w:proofErr w:type="spellStart"/>
        <w:r>
          <w:rPr>
            <w:rFonts w:ascii="Calibri" w:eastAsia="Calibri" w:hAnsi="Calibri" w:cs="Calibri"/>
            <w:sz w:val="24"/>
            <w:szCs w:val="24"/>
          </w:rPr>
          <w:t>Papadatou-Pastou</w:t>
        </w:r>
        <w:proofErr w:type="spellEnd"/>
        <w:r>
          <w:rPr>
            <w:rFonts w:ascii="Calibri" w:eastAsia="Calibri" w:hAnsi="Calibri" w:cs="Calibri"/>
            <w:sz w:val="24"/>
            <w:szCs w:val="24"/>
          </w:rPr>
          <w:t xml:space="preserve"> et al., 2020)</w:t>
        </w:r>
      </w:hyperlink>
      <w:r>
        <w:rPr>
          <w:rFonts w:ascii="Calibri" w:eastAsia="Calibri" w:hAnsi="Calibri" w:cs="Calibri"/>
          <w:sz w:val="24"/>
          <w:szCs w:val="24"/>
        </w:rPr>
        <w:t xml:space="preserve">. </w:t>
      </w:r>
      <w:r w:rsidR="004863CA" w:rsidRPr="004863CA">
        <w:rPr>
          <w:rFonts w:ascii="Calibri" w:eastAsia="Calibri" w:hAnsi="Calibri" w:cs="Calibri"/>
          <w:sz w:val="24"/>
          <w:szCs w:val="24"/>
        </w:rPr>
        <w:t>This widespread bias arises from hemispheric specialization in the human brain, whereby control of skilled manual action is biased toward one hemisphere</w:t>
      </w:r>
      <w:r w:rsidR="004863CA">
        <w:rPr>
          <w:rFonts w:ascii="Calibri" w:eastAsia="Calibri" w:hAnsi="Calibri" w:cs="Calibri"/>
          <w:sz w:val="24"/>
          <w:szCs w:val="24"/>
        </w:rPr>
        <w:t xml:space="preserve"> </w:t>
      </w:r>
      <w:hyperlink r:id="rId6">
        <w:r>
          <w:rPr>
            <w:rFonts w:ascii="Calibri" w:eastAsia="Calibri" w:hAnsi="Calibri" w:cs="Calibri"/>
            <w:sz w:val="24"/>
            <w:szCs w:val="24"/>
          </w:rPr>
          <w:t>(Mintzberg, 2003)</w:t>
        </w:r>
      </w:hyperlink>
      <w:r>
        <w:rPr>
          <w:rFonts w:ascii="Calibri" w:eastAsia="Calibri" w:hAnsi="Calibri" w:cs="Calibri"/>
          <w:sz w:val="24"/>
          <w:szCs w:val="24"/>
        </w:rPr>
        <w:t xml:space="preserve">. </w:t>
      </w:r>
      <w:r w:rsidR="004863CA" w:rsidRPr="004863CA">
        <w:rPr>
          <w:rFonts w:ascii="Calibri" w:eastAsia="Calibri" w:hAnsi="Calibri" w:cs="Calibri"/>
          <w:sz w:val="24"/>
          <w:szCs w:val="24"/>
        </w:rPr>
        <w:t>The left hemisphere, which predominantly governs fine motor sequencing, also supports the core neural systems underlying language</w:t>
      </w:r>
      <w:r>
        <w:rPr>
          <w:rFonts w:ascii="Calibri" w:eastAsia="Calibri" w:hAnsi="Calibri" w:cs="Calibri"/>
          <w:sz w:val="24"/>
          <w:szCs w:val="24"/>
        </w:rPr>
        <w:t xml:space="preserve"> </w:t>
      </w:r>
      <w:hyperlink r:id="rId7">
        <w:r>
          <w:rPr>
            <w:rFonts w:ascii="Calibri" w:eastAsia="Calibri" w:hAnsi="Calibri" w:cs="Calibri"/>
            <w:sz w:val="24"/>
            <w:szCs w:val="24"/>
          </w:rPr>
          <w:t>(Dick et al., 2019)</w:t>
        </w:r>
      </w:hyperlink>
      <w:r>
        <w:rPr>
          <w:rFonts w:ascii="Calibri" w:eastAsia="Calibri" w:hAnsi="Calibri" w:cs="Calibri"/>
          <w:sz w:val="24"/>
          <w:szCs w:val="24"/>
        </w:rPr>
        <w:t xml:space="preserve">. </w:t>
      </w:r>
      <w:r w:rsidR="004863CA" w:rsidRPr="004863CA">
        <w:rPr>
          <w:rFonts w:ascii="Calibri" w:eastAsia="Calibri" w:hAnsi="Calibri" w:cs="Calibri"/>
          <w:sz w:val="24"/>
          <w:szCs w:val="24"/>
        </w:rPr>
        <w:t>Language may have emerged within a broader, evolutionarily conserved lateralized neural architecture that was already present in ancestral primates</w:t>
      </w:r>
      <w:r>
        <w:rPr>
          <w:rFonts w:ascii="Calibri" w:eastAsia="Calibri" w:hAnsi="Calibri" w:cs="Calibri"/>
          <w:sz w:val="24"/>
          <w:szCs w:val="24"/>
        </w:rPr>
        <w:t xml:space="preserve"> </w:t>
      </w:r>
      <w:hyperlink r:id="rId8">
        <w:r>
          <w:rPr>
            <w:rFonts w:ascii="Calibri" w:eastAsia="Calibri" w:hAnsi="Calibri" w:cs="Calibri"/>
            <w:sz w:val="24"/>
            <w:szCs w:val="24"/>
          </w:rPr>
          <w:t>(Becker et al., 2</w:t>
        </w:r>
        <w:r>
          <w:rPr>
            <w:rFonts w:ascii="Calibri" w:eastAsia="Calibri" w:hAnsi="Calibri" w:cs="Calibri"/>
            <w:sz w:val="24"/>
            <w:szCs w:val="24"/>
          </w:rPr>
          <w:t>0</w:t>
        </w:r>
        <w:r>
          <w:rPr>
            <w:rFonts w:ascii="Calibri" w:eastAsia="Calibri" w:hAnsi="Calibri" w:cs="Calibri"/>
            <w:sz w:val="24"/>
            <w:szCs w:val="24"/>
          </w:rPr>
          <w:t>22; Ocklenburg et al., 2025)</w:t>
        </w:r>
      </w:hyperlink>
      <w:r>
        <w:rPr>
          <w:rFonts w:ascii="Calibri" w:eastAsia="Calibri" w:hAnsi="Calibri" w:cs="Calibri"/>
          <w:sz w:val="24"/>
          <w:szCs w:val="24"/>
        </w:rPr>
        <w:t xml:space="preserve">. </w:t>
      </w:r>
      <w:bookmarkStart w:id="0" w:name="_GoBack"/>
      <w:r w:rsidR="004863CA" w:rsidRPr="004863CA">
        <w:rPr>
          <w:rFonts w:ascii="Calibri" w:eastAsia="Calibri" w:hAnsi="Calibri" w:cs="Calibri"/>
          <w:sz w:val="24"/>
          <w:szCs w:val="24"/>
        </w:rPr>
        <w:t>Handedness therefore offers an informative window into the broader neural and evolutionary architecture of hemispheric specialization across primates.</w:t>
      </w:r>
    </w:p>
    <w:bookmarkEnd w:id="0"/>
    <w:p w14:paraId="384EBE00" w14:textId="77777777" w:rsidR="004863CA" w:rsidRDefault="004863CA">
      <w:pPr>
        <w:jc w:val="both"/>
        <w:rPr>
          <w:rFonts w:ascii="Calibri" w:eastAsia="Calibri" w:hAnsi="Calibri" w:cs="Calibri"/>
          <w:sz w:val="24"/>
          <w:szCs w:val="24"/>
        </w:rPr>
      </w:pPr>
    </w:p>
    <w:p w14:paraId="0000000A" w14:textId="77777777" w:rsidR="00FB0C23" w:rsidRDefault="000F11BA">
      <w:pPr>
        <w:numPr>
          <w:ilvl w:val="0"/>
          <w:numId w:val="1"/>
        </w:numPr>
        <w:jc w:val="both"/>
        <w:rPr>
          <w:rFonts w:ascii="Calibri" w:eastAsia="Calibri" w:hAnsi="Calibri" w:cs="Calibri"/>
          <w:sz w:val="24"/>
          <w:szCs w:val="24"/>
        </w:rPr>
      </w:pPr>
      <w:r>
        <w:rPr>
          <w:rFonts w:ascii="Calibri" w:eastAsia="Calibri" w:hAnsi="Calibri" w:cs="Calibri"/>
          <w:sz w:val="24"/>
          <w:szCs w:val="24"/>
        </w:rPr>
        <w:t xml:space="preserve">Levels of Handedness </w:t>
      </w:r>
    </w:p>
    <w:p w14:paraId="0000000B" w14:textId="77777777" w:rsidR="00FB0C23" w:rsidRDefault="000F11BA">
      <w:pPr>
        <w:jc w:val="both"/>
        <w:rPr>
          <w:rFonts w:ascii="Calibri" w:eastAsia="Calibri" w:hAnsi="Calibri" w:cs="Calibri"/>
          <w:sz w:val="24"/>
          <w:szCs w:val="24"/>
        </w:rPr>
      </w:pPr>
      <w:r>
        <w:rPr>
          <w:rFonts w:ascii="Calibri" w:eastAsia="Calibri" w:hAnsi="Calibri" w:cs="Calibri"/>
          <w:sz w:val="24"/>
          <w:szCs w:val="24"/>
        </w:rPr>
        <w:t>Interpreting the evolutionary significance of these patterns requires a clear framework for the levels at which handedness can be expressed. Handedness may occur at three biological levels: absence of handedness wherein all members of the population prefer to use both the right and the left limb with equal probability; individual-level handedness wherein some individuals only use the right limb, while others only prefer the left, but there is no asymmetry at the population level and finally population-level handedness wherein the majority of the population prefers one side (</w:t>
      </w:r>
      <w:proofErr w:type="spellStart"/>
      <w:r>
        <w:rPr>
          <w:rFonts w:ascii="Calibri" w:eastAsia="Calibri" w:hAnsi="Calibri" w:cs="Calibri"/>
          <w:sz w:val="24"/>
          <w:szCs w:val="24"/>
        </w:rPr>
        <w:t>Ströckens</w:t>
      </w:r>
      <w:proofErr w:type="spellEnd"/>
      <w:r>
        <w:rPr>
          <w:rFonts w:ascii="Calibri" w:eastAsia="Calibri" w:hAnsi="Calibri" w:cs="Calibri"/>
          <w:sz w:val="24"/>
          <w:szCs w:val="24"/>
        </w:rPr>
        <w:t xml:space="preserve"> et al., 2013). Distinguishing these levels is essential for interpreting comparative patterns and for identifying the selective pressures that shape them. </w:t>
      </w:r>
    </w:p>
    <w:p w14:paraId="0000000C" w14:textId="77777777" w:rsidR="00FB0C23" w:rsidRDefault="00FB0C23">
      <w:pPr>
        <w:jc w:val="both"/>
        <w:rPr>
          <w:rFonts w:ascii="Calibri" w:eastAsia="Calibri" w:hAnsi="Calibri" w:cs="Calibri"/>
          <w:sz w:val="24"/>
          <w:szCs w:val="24"/>
        </w:rPr>
      </w:pPr>
    </w:p>
    <w:p w14:paraId="0000000D" w14:textId="77777777" w:rsidR="00FB0C23" w:rsidRDefault="000F11BA">
      <w:pPr>
        <w:numPr>
          <w:ilvl w:val="0"/>
          <w:numId w:val="1"/>
        </w:numPr>
        <w:jc w:val="both"/>
        <w:rPr>
          <w:rFonts w:ascii="Calibri" w:eastAsia="Calibri" w:hAnsi="Calibri" w:cs="Calibri"/>
          <w:sz w:val="24"/>
          <w:szCs w:val="24"/>
        </w:rPr>
      </w:pPr>
      <w:r>
        <w:rPr>
          <w:rFonts w:ascii="Calibri" w:eastAsia="Calibri" w:hAnsi="Calibri" w:cs="Calibri"/>
          <w:sz w:val="24"/>
          <w:szCs w:val="24"/>
        </w:rPr>
        <w:t xml:space="preserve">First evidence of handedness </w:t>
      </w:r>
    </w:p>
    <w:p w14:paraId="0000000E" w14:textId="77777777" w:rsidR="00FB0C23" w:rsidRDefault="000F11BA">
      <w:pPr>
        <w:jc w:val="both"/>
        <w:rPr>
          <w:rFonts w:ascii="Calibri" w:eastAsia="Calibri" w:hAnsi="Calibri" w:cs="Calibri"/>
          <w:sz w:val="24"/>
          <w:szCs w:val="24"/>
        </w:rPr>
      </w:pPr>
      <w:r>
        <w:rPr>
          <w:rFonts w:ascii="Calibri" w:eastAsia="Calibri" w:hAnsi="Calibri" w:cs="Calibri"/>
          <w:sz w:val="24"/>
          <w:szCs w:val="24"/>
        </w:rPr>
        <w:t xml:space="preserve">These distinctions allow us to interpret the earliest fossil evidence of handedness with greater precision and thereby assess how deeply rooted this specialization is in the human lineage. The earliest known indication of right-handedness in the hominin lineage dates to approximately 1.8 million years ago and it comes from a single Homo habilis specimen, where the orientation of fine cut-marks and labial striations on the anterior teeth suggests that a stone tool was consistently used by the right hand while material was pulled across the teeth </w:t>
      </w:r>
      <w:hyperlink r:id="rId9">
        <w:r>
          <w:rPr>
            <w:rFonts w:ascii="Calibri" w:eastAsia="Calibri" w:hAnsi="Calibri" w:cs="Calibri"/>
            <w:sz w:val="24"/>
            <w:szCs w:val="24"/>
          </w:rPr>
          <w:t>(Frayer et al., 2016)</w:t>
        </w:r>
      </w:hyperlink>
      <w:r>
        <w:rPr>
          <w:rFonts w:ascii="Calibri" w:eastAsia="Calibri" w:hAnsi="Calibri" w:cs="Calibri"/>
          <w:sz w:val="24"/>
          <w:szCs w:val="24"/>
        </w:rPr>
        <w:t xml:space="preserve">. While informative, this single-individual record offers limited insight into population patterns. By contrast, the first clear signs of population-level right-hand bias appear around 500,000 years ago in European pre-modern humans: </w:t>
      </w:r>
      <w:r>
        <w:rPr>
          <w:rFonts w:ascii="Calibri" w:eastAsia="Calibri" w:hAnsi="Calibri" w:cs="Calibri"/>
          <w:i/>
          <w:iCs/>
          <w:sz w:val="24"/>
          <w:szCs w:val="24"/>
        </w:rPr>
        <w:t xml:space="preserve">Homo antecessor, Homo heidelbergensis, </w:t>
      </w:r>
      <w:r>
        <w:rPr>
          <w:rFonts w:ascii="Calibri" w:eastAsia="Calibri" w:hAnsi="Calibri" w:cs="Calibri"/>
          <w:i/>
          <w:iCs/>
          <w:sz w:val="24"/>
          <w:szCs w:val="24"/>
        </w:rPr>
        <w:lastRenderedPageBreak/>
        <w:t>Homo neanderthalensis</w:t>
      </w:r>
      <w:r>
        <w:rPr>
          <w:rFonts w:ascii="Calibri" w:eastAsia="Calibri" w:hAnsi="Calibri" w:cs="Calibri"/>
          <w:sz w:val="24"/>
          <w:szCs w:val="24"/>
        </w:rPr>
        <w:t xml:space="preserve"> where large samples of anterior teeth exhibit systematically oriented non-masticatory striations, the overwhelming majority of which indicate habitual right-hand use </w:t>
      </w:r>
      <w:hyperlink r:id="rId10">
        <w:r>
          <w:rPr>
            <w:rFonts w:ascii="Calibri" w:eastAsia="Calibri" w:hAnsi="Calibri" w:cs="Calibri"/>
            <w:sz w:val="24"/>
            <w:szCs w:val="24"/>
          </w:rPr>
          <w:t>(Frayer et al., 2012)</w:t>
        </w:r>
      </w:hyperlink>
      <w:r>
        <w:rPr>
          <w:rFonts w:ascii="Calibri" w:eastAsia="Calibri" w:hAnsi="Calibri" w:cs="Calibri"/>
          <w:sz w:val="24"/>
          <w:szCs w:val="24"/>
        </w:rPr>
        <w:t>. Together, these findings suggest that population-level right-hand bias predates anatomically modern humans.</w:t>
      </w:r>
    </w:p>
    <w:p w14:paraId="0000000F" w14:textId="77777777" w:rsidR="00FB0C23" w:rsidRDefault="00FB0C23">
      <w:pPr>
        <w:jc w:val="both"/>
        <w:rPr>
          <w:rFonts w:ascii="Calibri" w:eastAsia="Calibri" w:hAnsi="Calibri" w:cs="Calibri"/>
          <w:sz w:val="24"/>
          <w:szCs w:val="24"/>
        </w:rPr>
      </w:pPr>
    </w:p>
    <w:p w14:paraId="00000010" w14:textId="77777777" w:rsidR="00FB0C23" w:rsidRDefault="000F11BA">
      <w:pPr>
        <w:numPr>
          <w:ilvl w:val="0"/>
          <w:numId w:val="8"/>
        </w:numPr>
        <w:jc w:val="both"/>
        <w:rPr>
          <w:rFonts w:ascii="Calibri" w:eastAsia="Calibri" w:hAnsi="Calibri" w:cs="Calibri"/>
          <w:sz w:val="24"/>
          <w:szCs w:val="24"/>
        </w:rPr>
      </w:pPr>
      <w:r>
        <w:rPr>
          <w:rFonts w:ascii="Calibri" w:eastAsia="Calibri" w:hAnsi="Calibri" w:cs="Calibri"/>
          <w:sz w:val="24"/>
          <w:szCs w:val="24"/>
        </w:rPr>
        <w:t>Mechanistic foundations (genetics + development)</w:t>
      </w:r>
    </w:p>
    <w:p w14:paraId="00000011" w14:textId="77777777" w:rsidR="00FB0C23" w:rsidRDefault="000F11BA">
      <w:pPr>
        <w:jc w:val="both"/>
        <w:rPr>
          <w:rFonts w:ascii="Calibri" w:eastAsia="Calibri" w:hAnsi="Calibri" w:cs="Calibri"/>
          <w:sz w:val="24"/>
          <w:szCs w:val="24"/>
        </w:rPr>
      </w:pPr>
      <w:r>
        <w:rPr>
          <w:rFonts w:ascii="Calibri" w:eastAsia="Calibri" w:hAnsi="Calibri" w:cs="Calibri"/>
          <w:sz w:val="24"/>
          <w:szCs w:val="24"/>
        </w:rPr>
        <w:t xml:space="preserve">While fossil evidence indicates that population-level right-handedness has deep evolutionary roots, understanding how such directional biases arise requires considering the mechanisms that generate and shape manual asymmetries. Genome-wide association studies show that handedness does not follow a simple genetic model; instead, many genetic variants each contribute small effects, and these predispositions interact with postnatal environmental factors to produce stable adult hand preferences (McManus et al., 2013, </w:t>
      </w:r>
      <w:hyperlink r:id="rId11">
        <w:r>
          <w:rPr>
            <w:rFonts w:ascii="Calibri" w:eastAsia="Calibri" w:hAnsi="Calibri" w:cs="Calibri"/>
            <w:sz w:val="24"/>
            <w:szCs w:val="24"/>
          </w:rPr>
          <w:t>Hopkins et al., 2013)</w:t>
        </w:r>
      </w:hyperlink>
      <w:r>
        <w:rPr>
          <w:rFonts w:ascii="Calibri" w:eastAsia="Calibri" w:hAnsi="Calibri" w:cs="Calibri"/>
          <w:sz w:val="24"/>
          <w:szCs w:val="24"/>
        </w:rPr>
        <w:t>. In broad terms, genetic factors establish an initial bias, whereas environmental and developmental inputs shape its expression. These mechanistic insights highlight the possible reasons for individual-level asymmetries, but they do not in themselves explain why humans exhibit consistent population-level biases. Accounting for such large-scale patterns requires turning to evolutionary hypotheses that address how directional asymmetries became established and maintained in the human lineage.</w:t>
      </w:r>
    </w:p>
    <w:p w14:paraId="00000012" w14:textId="77777777" w:rsidR="00FB0C23" w:rsidRDefault="00FB0C23">
      <w:pPr>
        <w:jc w:val="both"/>
        <w:rPr>
          <w:rFonts w:ascii="Calibri" w:eastAsia="Calibri" w:hAnsi="Calibri" w:cs="Calibri"/>
          <w:sz w:val="24"/>
          <w:szCs w:val="24"/>
        </w:rPr>
      </w:pPr>
    </w:p>
    <w:p w14:paraId="00000013" w14:textId="77777777" w:rsidR="00FB0C23" w:rsidRDefault="000F11BA">
      <w:pPr>
        <w:numPr>
          <w:ilvl w:val="0"/>
          <w:numId w:val="9"/>
        </w:numPr>
        <w:jc w:val="both"/>
        <w:rPr>
          <w:rFonts w:ascii="Calibri" w:eastAsia="Calibri" w:hAnsi="Calibri" w:cs="Calibri"/>
          <w:sz w:val="24"/>
          <w:szCs w:val="24"/>
        </w:rPr>
      </w:pPr>
      <w:r>
        <w:rPr>
          <w:rFonts w:ascii="Calibri" w:eastAsia="Calibri" w:hAnsi="Calibri" w:cs="Calibri"/>
          <w:sz w:val="24"/>
          <w:szCs w:val="24"/>
        </w:rPr>
        <w:t>Evolutionary frameworks underlying handedness</w:t>
      </w:r>
    </w:p>
    <w:p w14:paraId="00000014" w14:textId="77777777" w:rsidR="00FB0C23" w:rsidRDefault="000F11BA">
      <w:pPr>
        <w:jc w:val="both"/>
        <w:rPr>
          <w:rFonts w:ascii="Calibri" w:eastAsia="Calibri" w:hAnsi="Calibri" w:cs="Calibri"/>
          <w:sz w:val="24"/>
          <w:szCs w:val="24"/>
        </w:rPr>
      </w:pPr>
      <w:r>
        <w:rPr>
          <w:rFonts w:ascii="Calibri" w:eastAsia="Calibri" w:hAnsi="Calibri" w:cs="Calibri"/>
          <w:sz w:val="24"/>
          <w:szCs w:val="24"/>
        </w:rPr>
        <w:t>A number of evolutionary hypotheses have been advanced to explain how such directional asymmetries arose and were maintained in humans. One early account, the posture-origin hypothesis, argued that ancestral primates used the left hand predominantly for postural support during arboreal locomotion, thereby biasing the right hand toward skilled manipulation (</w:t>
      </w:r>
      <w:proofErr w:type="spellStart"/>
      <w:r>
        <w:fldChar w:fldCharType="begin"/>
      </w:r>
      <w:r>
        <w:instrText xml:space="preserve"> HYPERLINK "https://www.zotero.org/google-docs/?6RuHAv" \h </w:instrText>
      </w:r>
      <w:r>
        <w:fldChar w:fldCharType="separate"/>
      </w:r>
      <w:r>
        <w:rPr>
          <w:rFonts w:ascii="Calibri" w:eastAsia="Calibri" w:hAnsi="Calibri" w:cs="Calibri"/>
          <w:sz w:val="24"/>
          <w:szCs w:val="24"/>
        </w:rPr>
        <w:t>MacNeilage</w:t>
      </w:r>
      <w:proofErr w:type="spellEnd"/>
      <w:r>
        <w:rPr>
          <w:rFonts w:ascii="Calibri" w:eastAsia="Calibri" w:hAnsi="Calibri" w:cs="Calibri"/>
          <w:sz w:val="24"/>
          <w:szCs w:val="24"/>
        </w:rPr>
        <w:t xml:space="preserve"> et al., 1987</w:t>
      </w:r>
      <w:r>
        <w:rPr>
          <w:rFonts w:ascii="Calibri" w:eastAsia="Calibri" w:hAnsi="Calibri" w:cs="Calibri"/>
          <w:sz w:val="24"/>
          <w:szCs w:val="24"/>
        </w:rPr>
        <w:fldChar w:fldCharType="end"/>
      </w:r>
      <w:r>
        <w:rPr>
          <w:rFonts w:ascii="Calibri" w:eastAsia="Calibri" w:hAnsi="Calibri" w:cs="Calibri"/>
          <w:sz w:val="24"/>
          <w:szCs w:val="24"/>
        </w:rPr>
        <w:t xml:space="preserve">). Building on the role of functional demands, the tool-use hypothesis suggests that increasing reliance on stone-tool manufacture and use in early hominins favored consistent recruitment of a dominant hand for precise, repetitive actions </w:t>
      </w:r>
      <w:hyperlink r:id="rId12">
        <w:r>
          <w:rPr>
            <w:rFonts w:ascii="Calibri" w:eastAsia="Calibri" w:hAnsi="Calibri" w:cs="Calibri"/>
            <w:sz w:val="24"/>
            <w:szCs w:val="24"/>
          </w:rPr>
          <w:t>(Napier, 1962)</w:t>
        </w:r>
      </w:hyperlink>
      <w:r>
        <w:rPr>
          <w:rFonts w:ascii="Calibri" w:eastAsia="Calibri" w:hAnsi="Calibri" w:cs="Calibri"/>
          <w:sz w:val="24"/>
          <w:szCs w:val="24"/>
        </w:rPr>
        <w:t xml:space="preserve">. In contrast to anatomy- and function-based accounts, a cognition based framework, </w:t>
      </w:r>
      <w:hyperlink r:id="rId13">
        <w:r>
          <w:rPr>
            <w:rFonts w:ascii="Calibri" w:eastAsia="Calibri" w:hAnsi="Calibri" w:cs="Calibri"/>
            <w:sz w:val="24"/>
            <w:szCs w:val="24"/>
          </w:rPr>
          <w:t>task complexity theory</w:t>
        </w:r>
      </w:hyperlink>
      <w:r>
        <w:rPr>
          <w:rFonts w:ascii="Calibri" w:eastAsia="Calibri" w:hAnsi="Calibri" w:cs="Calibri"/>
          <w:sz w:val="24"/>
          <w:szCs w:val="24"/>
        </w:rPr>
        <w:t xml:space="preserve">, highlights the role of task complexity </w:t>
      </w:r>
      <w:hyperlink r:id="rId14">
        <w:r>
          <w:rPr>
            <w:rFonts w:ascii="Calibri" w:eastAsia="Calibri" w:hAnsi="Calibri" w:cs="Calibri"/>
            <w:sz w:val="24"/>
            <w:szCs w:val="24"/>
          </w:rPr>
          <w:t xml:space="preserve">(Fagot &amp; </w:t>
        </w:r>
        <w:proofErr w:type="spellStart"/>
        <w:r>
          <w:rPr>
            <w:rFonts w:ascii="Calibri" w:eastAsia="Calibri" w:hAnsi="Calibri" w:cs="Calibri"/>
            <w:sz w:val="24"/>
            <w:szCs w:val="24"/>
          </w:rPr>
          <w:t>Vauclair</w:t>
        </w:r>
        <w:proofErr w:type="spellEnd"/>
        <w:r>
          <w:rPr>
            <w:rFonts w:ascii="Calibri" w:eastAsia="Calibri" w:hAnsi="Calibri" w:cs="Calibri"/>
            <w:sz w:val="24"/>
            <w:szCs w:val="24"/>
          </w:rPr>
          <w:t>, 1991)</w:t>
        </w:r>
      </w:hyperlink>
      <w:r>
        <w:rPr>
          <w:rFonts w:ascii="Calibri" w:eastAsia="Calibri" w:hAnsi="Calibri" w:cs="Calibri"/>
          <w:sz w:val="24"/>
          <w:szCs w:val="24"/>
        </w:rPr>
        <w:t xml:space="preserve">. This framework distinguishes between two levels of manual lateralization tasks: low (simple) and high-level (complex) tasks, positing that complex tasks require precise motor coordination and complex cognitive processes are more likely to elicit stronger hand preference than simple low-level tasks and have been argued to be the most sensitive measures for detecting population-level hand preferences (see chapter 2 - </w:t>
      </w:r>
      <w:proofErr w:type="spellStart"/>
      <w:r>
        <w:rPr>
          <w:rFonts w:ascii="Calibri" w:eastAsia="Calibri" w:hAnsi="Calibri" w:cs="Calibri"/>
          <w:sz w:val="24"/>
          <w:szCs w:val="24"/>
        </w:rPr>
        <w:t>Ocklenburg</w:t>
      </w:r>
      <w:proofErr w:type="spellEnd"/>
      <w:r>
        <w:rPr>
          <w:rFonts w:ascii="Calibri" w:eastAsia="Calibri" w:hAnsi="Calibri" w:cs="Calibri"/>
          <w:sz w:val="24"/>
          <w:szCs w:val="24"/>
        </w:rPr>
        <w:t xml:space="preserve"> &amp; </w:t>
      </w:r>
      <w:proofErr w:type="spellStart"/>
      <w:r>
        <w:rPr>
          <w:rFonts w:ascii="Calibri" w:eastAsia="Calibri" w:hAnsi="Calibri" w:cs="Calibri"/>
          <w:sz w:val="24"/>
          <w:szCs w:val="24"/>
        </w:rPr>
        <w:t>Güntürkün</w:t>
      </w:r>
      <w:proofErr w:type="spellEnd"/>
      <w:r>
        <w:rPr>
          <w:rFonts w:ascii="Calibri" w:eastAsia="Calibri" w:hAnsi="Calibri" w:cs="Calibri"/>
          <w:sz w:val="24"/>
          <w:szCs w:val="24"/>
        </w:rPr>
        <w:t>, 2018a). Although these frameworks capture important aspects of human manual specialization, they do not explain why similarly complex behaviors in other species fail to produce comparable population-level biases, an unresolved gap that constrains our understanding of the evolution of handedness.</w:t>
      </w:r>
    </w:p>
    <w:p w14:paraId="00000015" w14:textId="77777777" w:rsidR="00FB0C23" w:rsidRDefault="00FB0C23">
      <w:pPr>
        <w:jc w:val="both"/>
        <w:rPr>
          <w:rFonts w:ascii="Calibri" w:eastAsia="Calibri" w:hAnsi="Calibri" w:cs="Calibri"/>
          <w:sz w:val="24"/>
          <w:szCs w:val="24"/>
        </w:rPr>
      </w:pPr>
    </w:p>
    <w:p w14:paraId="00000016" w14:textId="77777777" w:rsidR="00FB0C23" w:rsidRDefault="000F11BA">
      <w:pPr>
        <w:numPr>
          <w:ilvl w:val="0"/>
          <w:numId w:val="5"/>
        </w:numPr>
        <w:jc w:val="both"/>
        <w:rPr>
          <w:rFonts w:ascii="Calibri" w:eastAsia="Calibri" w:hAnsi="Calibri" w:cs="Calibri"/>
          <w:sz w:val="24"/>
          <w:szCs w:val="24"/>
        </w:rPr>
      </w:pPr>
      <w:r>
        <w:rPr>
          <w:rFonts w:ascii="Calibri" w:eastAsia="Calibri" w:hAnsi="Calibri" w:cs="Calibri"/>
          <w:sz w:val="24"/>
          <w:szCs w:val="24"/>
        </w:rPr>
        <w:lastRenderedPageBreak/>
        <w:t>What we know about handedness in other primates</w:t>
      </w:r>
    </w:p>
    <w:p w14:paraId="00000017" w14:textId="77777777" w:rsidR="00FB0C23" w:rsidRDefault="000F11BA">
      <w:pPr>
        <w:jc w:val="both"/>
        <w:rPr>
          <w:rFonts w:ascii="Calibri" w:eastAsia="Calibri" w:hAnsi="Calibri" w:cs="Calibri"/>
          <w:sz w:val="24"/>
          <w:szCs w:val="24"/>
        </w:rPr>
      </w:pPr>
      <w:r>
        <w:rPr>
          <w:rFonts w:ascii="Calibri" w:eastAsia="Calibri" w:hAnsi="Calibri" w:cs="Calibri"/>
          <w:sz w:val="24"/>
          <w:szCs w:val="24"/>
        </w:rPr>
        <w:t xml:space="preserve">Despite routinely performing cognitively demanding and highly coordinated manual actions, non-human primates (NHPs hereafter) rarely exhibit population-level handedness. Evidence from comparative studies supports this pattern: across 38 species of NHPs, individual-level hand preferences are widespread, 82% of subjects in the tube task and 90% in other bimanual tasks show a clear bias, yet average laterality indices remain close to zero </w:t>
      </w:r>
      <w:hyperlink r:id="rId15">
        <w:r>
          <w:rPr>
            <w:rFonts w:ascii="Calibri" w:eastAsia="Calibri" w:hAnsi="Calibri" w:cs="Calibri"/>
            <w:sz w:val="24"/>
            <w:szCs w:val="24"/>
          </w:rPr>
          <w:t>(Soto et al., 2022</w:t>
        </w:r>
      </w:hyperlink>
      <w:hyperlink r:id="rId16">
        <w:r>
          <w:t>)</w:t>
        </w:r>
      </w:hyperlink>
      <w:r>
        <w:rPr>
          <w:rFonts w:ascii="Calibri" w:eastAsia="Calibri" w:hAnsi="Calibri" w:cs="Calibri"/>
          <w:sz w:val="24"/>
          <w:szCs w:val="24"/>
        </w:rPr>
        <w:t xml:space="preserve">. Species-specific work echoes this broader trend: great apes like chimpanzees show robust individual preferences during coordinated feeding and manipulation </w:t>
      </w:r>
      <w:hyperlink r:id="rId17">
        <w:r>
          <w:rPr>
            <w:rFonts w:ascii="Calibri" w:eastAsia="Calibri" w:hAnsi="Calibri" w:cs="Calibri"/>
            <w:sz w:val="24"/>
            <w:szCs w:val="24"/>
          </w:rPr>
          <w:t>(</w:t>
        </w:r>
        <w:proofErr w:type="spellStart"/>
        <w:r>
          <w:rPr>
            <w:rFonts w:ascii="Calibri" w:eastAsia="Calibri" w:hAnsi="Calibri" w:cs="Calibri"/>
            <w:sz w:val="24"/>
            <w:szCs w:val="24"/>
          </w:rPr>
          <w:t>Braccini</w:t>
        </w:r>
        <w:proofErr w:type="spellEnd"/>
        <w:r>
          <w:rPr>
            <w:rFonts w:ascii="Calibri" w:eastAsia="Calibri" w:hAnsi="Calibri" w:cs="Calibri"/>
            <w:sz w:val="24"/>
            <w:szCs w:val="24"/>
          </w:rPr>
          <w:t xml:space="preserve"> et al., 2010; </w:t>
        </w:r>
        <w:proofErr w:type="spellStart"/>
        <w:r>
          <w:rPr>
            <w:rFonts w:ascii="Calibri" w:eastAsia="Calibri" w:hAnsi="Calibri" w:cs="Calibri"/>
            <w:sz w:val="24"/>
            <w:szCs w:val="24"/>
          </w:rPr>
          <w:t>Humle</w:t>
        </w:r>
        <w:proofErr w:type="spellEnd"/>
        <w:r>
          <w:rPr>
            <w:rFonts w:ascii="Calibri" w:eastAsia="Calibri" w:hAnsi="Calibri" w:cs="Calibri"/>
            <w:sz w:val="24"/>
            <w:szCs w:val="24"/>
          </w:rPr>
          <w:t xml:space="preserve"> &amp; Matsuzawa, 2009)</w:t>
        </w:r>
      </w:hyperlink>
      <w:r>
        <w:rPr>
          <w:rFonts w:ascii="Calibri" w:eastAsia="Calibri" w:hAnsi="Calibri" w:cs="Calibri"/>
          <w:sz w:val="24"/>
          <w:szCs w:val="24"/>
        </w:rPr>
        <w:t xml:space="preserve">, capuchins display strong manual asymmetries during nut-cracking and probing </w:t>
      </w:r>
      <w:hyperlink r:id="rId18">
        <w:r>
          <w:rPr>
            <w:rFonts w:ascii="Calibri" w:eastAsia="Calibri" w:hAnsi="Calibri" w:cs="Calibri"/>
            <w:sz w:val="24"/>
            <w:szCs w:val="24"/>
          </w:rPr>
          <w:t xml:space="preserve">(Meunier &amp; </w:t>
        </w:r>
        <w:proofErr w:type="spellStart"/>
        <w:r>
          <w:rPr>
            <w:rFonts w:ascii="Calibri" w:eastAsia="Calibri" w:hAnsi="Calibri" w:cs="Calibri"/>
            <w:sz w:val="24"/>
            <w:szCs w:val="24"/>
          </w:rPr>
          <w:t>Vauclair</w:t>
        </w:r>
        <w:proofErr w:type="spellEnd"/>
        <w:r>
          <w:rPr>
            <w:rFonts w:ascii="Calibri" w:eastAsia="Calibri" w:hAnsi="Calibri" w:cs="Calibri"/>
            <w:sz w:val="24"/>
            <w:szCs w:val="24"/>
          </w:rPr>
          <w:t xml:space="preserve">, 2007; </w:t>
        </w:r>
        <w:proofErr w:type="spellStart"/>
        <w:r>
          <w:rPr>
            <w:rFonts w:ascii="Calibri" w:eastAsia="Calibri" w:hAnsi="Calibri" w:cs="Calibri"/>
            <w:sz w:val="24"/>
            <w:szCs w:val="24"/>
          </w:rPr>
          <w:t>Spinozzi</w:t>
        </w:r>
        <w:proofErr w:type="spellEnd"/>
        <w:r>
          <w:rPr>
            <w:rFonts w:ascii="Calibri" w:eastAsia="Calibri" w:hAnsi="Calibri" w:cs="Calibri"/>
            <w:sz w:val="24"/>
            <w:szCs w:val="24"/>
          </w:rPr>
          <w:t xml:space="preserve"> &amp; </w:t>
        </w:r>
        <w:proofErr w:type="spellStart"/>
        <w:r>
          <w:rPr>
            <w:rFonts w:ascii="Calibri" w:eastAsia="Calibri" w:hAnsi="Calibri" w:cs="Calibri"/>
            <w:sz w:val="24"/>
            <w:szCs w:val="24"/>
          </w:rPr>
          <w:t>Truppa</w:t>
        </w:r>
        <w:proofErr w:type="spellEnd"/>
        <w:r>
          <w:rPr>
            <w:rFonts w:ascii="Calibri" w:eastAsia="Calibri" w:hAnsi="Calibri" w:cs="Calibri"/>
            <w:sz w:val="24"/>
            <w:szCs w:val="24"/>
          </w:rPr>
          <w:t>, 2002)</w:t>
        </w:r>
      </w:hyperlink>
      <w:r>
        <w:rPr>
          <w:rFonts w:ascii="Calibri" w:eastAsia="Calibri" w:hAnsi="Calibri" w:cs="Calibri"/>
          <w:sz w:val="24"/>
          <w:szCs w:val="24"/>
        </w:rPr>
        <w:t xml:space="preserve">, and macaques exhibit consistent preferences across bimanual coordination, unimanual reaching, and natural foraging behaviors </w:t>
      </w:r>
      <w:hyperlink r:id="rId19">
        <w:r>
          <w:rPr>
            <w:rFonts w:ascii="Calibri" w:eastAsia="Calibri" w:hAnsi="Calibri" w:cs="Calibri"/>
            <w:sz w:val="24"/>
            <w:szCs w:val="24"/>
          </w:rPr>
          <w:t>(</w:t>
        </w:r>
        <w:proofErr w:type="spellStart"/>
        <w:r>
          <w:rPr>
            <w:rFonts w:ascii="Calibri" w:eastAsia="Calibri" w:hAnsi="Calibri" w:cs="Calibri"/>
            <w:sz w:val="24"/>
            <w:szCs w:val="24"/>
          </w:rPr>
          <w:t>Chatagny</w:t>
        </w:r>
        <w:proofErr w:type="spellEnd"/>
        <w:r>
          <w:rPr>
            <w:rFonts w:ascii="Calibri" w:eastAsia="Calibri" w:hAnsi="Calibri" w:cs="Calibri"/>
            <w:sz w:val="24"/>
            <w:szCs w:val="24"/>
          </w:rPr>
          <w:t xml:space="preserve"> et al., 2013; Mangalam et al., 2015)</w:t>
        </w:r>
      </w:hyperlink>
      <w:r>
        <w:rPr>
          <w:rFonts w:ascii="Calibri" w:eastAsia="Calibri" w:hAnsi="Calibri" w:cs="Calibri"/>
          <w:sz w:val="24"/>
          <w:szCs w:val="24"/>
        </w:rPr>
        <w:t xml:space="preserve">.  Yet in all these taxa, population-level left–right biases are absent or weakly expressed (but see </w:t>
      </w:r>
      <w:hyperlink r:id="rId20">
        <w:r>
          <w:rPr>
            <w:rFonts w:ascii="Calibri" w:eastAsia="Calibri" w:hAnsi="Calibri" w:cs="Calibri"/>
            <w:sz w:val="24"/>
            <w:szCs w:val="24"/>
          </w:rPr>
          <w:t xml:space="preserve">Hopkins &amp; </w:t>
        </w:r>
        <w:proofErr w:type="spellStart"/>
        <w:r>
          <w:rPr>
            <w:rFonts w:ascii="Calibri" w:eastAsia="Calibri" w:hAnsi="Calibri" w:cs="Calibri"/>
            <w:sz w:val="24"/>
            <w:szCs w:val="24"/>
          </w:rPr>
          <w:t>Meguerditchian</w:t>
        </w:r>
        <w:proofErr w:type="spellEnd"/>
        <w:r>
          <w:rPr>
            <w:rFonts w:ascii="Calibri" w:eastAsia="Calibri" w:hAnsi="Calibri" w:cs="Calibri"/>
            <w:sz w:val="24"/>
            <w:szCs w:val="24"/>
          </w:rPr>
          <w:t>, 2025</w:t>
        </w:r>
      </w:hyperlink>
      <w:r>
        <w:rPr>
          <w:rFonts w:ascii="Calibri" w:eastAsia="Calibri" w:hAnsi="Calibri" w:cs="Calibri"/>
          <w:sz w:val="24"/>
          <w:szCs w:val="24"/>
        </w:rPr>
        <w:t>). These findings suggest that while task complexity reliably elicits individual-level lateralization, it is not, on its own, sufficient to generate species-wide handedness.</w:t>
      </w:r>
    </w:p>
    <w:p w14:paraId="00000018" w14:textId="77777777" w:rsidR="00FB0C23" w:rsidRDefault="00FB0C23">
      <w:pPr>
        <w:jc w:val="both"/>
        <w:rPr>
          <w:rFonts w:ascii="Calibri" w:eastAsia="Calibri" w:hAnsi="Calibri" w:cs="Calibri"/>
          <w:sz w:val="24"/>
          <w:szCs w:val="24"/>
        </w:rPr>
      </w:pPr>
    </w:p>
    <w:p w14:paraId="00000019" w14:textId="77777777" w:rsidR="00FB0C23" w:rsidRDefault="000F11BA">
      <w:pPr>
        <w:numPr>
          <w:ilvl w:val="0"/>
          <w:numId w:val="2"/>
        </w:numPr>
        <w:jc w:val="both"/>
        <w:rPr>
          <w:rFonts w:ascii="Calibri" w:eastAsia="Calibri" w:hAnsi="Calibri" w:cs="Calibri"/>
          <w:sz w:val="24"/>
          <w:szCs w:val="24"/>
        </w:rPr>
      </w:pPr>
      <w:r>
        <w:rPr>
          <w:rFonts w:ascii="Calibri" w:eastAsia="Calibri" w:hAnsi="Calibri" w:cs="Calibri"/>
          <w:sz w:val="24"/>
          <w:szCs w:val="24"/>
        </w:rPr>
        <w:t>Long-tailed macaque, why they are a great model system to study the emergence of handedness</w:t>
      </w:r>
    </w:p>
    <w:p w14:paraId="0000001A" w14:textId="77777777" w:rsidR="00FB0C23" w:rsidRDefault="000F11BA">
      <w:pPr>
        <w:jc w:val="both"/>
        <w:rPr>
          <w:rFonts w:ascii="Calibri" w:eastAsia="Calibri" w:hAnsi="Calibri" w:cs="Calibri"/>
          <w:sz w:val="24"/>
          <w:szCs w:val="24"/>
        </w:rPr>
      </w:pPr>
      <w:r>
        <w:rPr>
          <w:rFonts w:ascii="Calibri" w:eastAsia="Calibri" w:hAnsi="Calibri" w:cs="Calibri"/>
          <w:sz w:val="24"/>
          <w:szCs w:val="24"/>
        </w:rPr>
        <w:t>Long-tailed macaques (</w:t>
      </w:r>
      <w:proofErr w:type="spellStart"/>
      <w:r>
        <w:rPr>
          <w:rFonts w:ascii="Calibri" w:eastAsia="Calibri" w:hAnsi="Calibri" w:cs="Calibri"/>
          <w:sz w:val="24"/>
          <w:szCs w:val="24"/>
        </w:rPr>
        <w:t>Macaca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fascicularis</w:t>
      </w:r>
      <w:proofErr w:type="spellEnd"/>
      <w:r>
        <w:rPr>
          <w:rFonts w:ascii="Calibri" w:eastAsia="Calibri" w:hAnsi="Calibri" w:cs="Calibri"/>
          <w:sz w:val="24"/>
          <w:szCs w:val="24"/>
        </w:rPr>
        <w:t xml:space="preserve">) in southern Thailand and Myanmar routinely perform a wide range of manual behaviors that vary greatly in their motor and cognitive demands. These include simple actions such as unimanual reaching and rubbing, as well as more demanding behaviors like coordinated bimanual manipulation, extractive foraging, and stone-tool use to process nuts and marine invertebrates such as oysters (ref.). Oyster processing, in particular, imposes substantial motor challenges: oysters occur in dense, irregular clusters across a three-dimensional foraging landscape, often requiring macaques to strike at awkward angles, including overhead positions, while avoiding shell fragmentation that can reduce food yield or cause internal injury </w:t>
      </w:r>
      <w:hyperlink r:id="rId21">
        <w:r>
          <w:rPr>
            <w:rFonts w:ascii="Calibri" w:eastAsia="Calibri" w:hAnsi="Calibri" w:cs="Calibri"/>
            <w:sz w:val="24"/>
            <w:szCs w:val="24"/>
          </w:rPr>
          <w:t>(Luncz et al., 2024; Tan, 2017)</w:t>
        </w:r>
      </w:hyperlink>
      <w:r>
        <w:rPr>
          <w:rFonts w:ascii="Calibri" w:eastAsia="Calibri" w:hAnsi="Calibri" w:cs="Calibri"/>
          <w:sz w:val="24"/>
          <w:szCs w:val="24"/>
        </w:rPr>
        <w:t>. Because individuals routinely engage in a continuum of tasks varying in cognitive and motor demands, this species provides a rare opportunity to examine how differences in behavioral demands influence the expression of hand preferences. Their broad manipulative repertoire therefore makes long-tailed macaques a powerful model system for investigating the evolutionary origins of manual lateralization in primates.</w:t>
      </w:r>
    </w:p>
    <w:p w14:paraId="0000001B" w14:textId="77777777" w:rsidR="00FB0C23" w:rsidRDefault="00FB0C23">
      <w:pPr>
        <w:jc w:val="both"/>
        <w:rPr>
          <w:rFonts w:ascii="Calibri" w:eastAsia="Calibri" w:hAnsi="Calibri" w:cs="Calibri"/>
          <w:sz w:val="24"/>
          <w:szCs w:val="24"/>
        </w:rPr>
      </w:pPr>
    </w:p>
    <w:p w14:paraId="0000001C" w14:textId="77777777" w:rsidR="00FB0C23" w:rsidRDefault="000F11BA">
      <w:pPr>
        <w:numPr>
          <w:ilvl w:val="0"/>
          <w:numId w:val="4"/>
        </w:numPr>
        <w:jc w:val="both"/>
        <w:rPr>
          <w:rFonts w:ascii="Calibri" w:eastAsia="Calibri" w:hAnsi="Calibri" w:cs="Calibri"/>
          <w:sz w:val="24"/>
          <w:szCs w:val="24"/>
        </w:rPr>
      </w:pPr>
      <w:r>
        <w:rPr>
          <w:rFonts w:ascii="Calibri" w:eastAsia="Calibri" w:hAnsi="Calibri" w:cs="Calibri"/>
          <w:sz w:val="24"/>
          <w:szCs w:val="24"/>
        </w:rPr>
        <w:t xml:space="preserve">Introduce the field site of Koh </w:t>
      </w:r>
      <w:proofErr w:type="spellStart"/>
      <w:r>
        <w:rPr>
          <w:rFonts w:ascii="Calibri" w:eastAsia="Calibri" w:hAnsi="Calibri" w:cs="Calibri"/>
          <w:sz w:val="24"/>
          <w:szCs w:val="24"/>
        </w:rPr>
        <w:t>Boi</w:t>
      </w:r>
      <w:proofErr w:type="spellEnd"/>
      <w:r>
        <w:rPr>
          <w:rFonts w:ascii="Calibri" w:eastAsia="Calibri" w:hAnsi="Calibri" w:cs="Calibri"/>
          <w:sz w:val="24"/>
          <w:szCs w:val="24"/>
        </w:rPr>
        <w:t xml:space="preserve"> and what exactly you tested here</w:t>
      </w:r>
    </w:p>
    <w:p w14:paraId="0000001D" w14:textId="77777777" w:rsidR="00FB0C23" w:rsidRDefault="000F11BA">
      <w:pPr>
        <w:jc w:val="both"/>
        <w:rPr>
          <w:rFonts w:ascii="Calibri" w:eastAsia="Calibri" w:hAnsi="Calibri" w:cs="Calibri"/>
          <w:sz w:val="24"/>
          <w:szCs w:val="24"/>
        </w:rPr>
      </w:pPr>
      <w:r>
        <w:rPr>
          <w:rFonts w:ascii="Calibri" w:eastAsia="Calibri" w:hAnsi="Calibri" w:cs="Calibri"/>
          <w:sz w:val="24"/>
          <w:szCs w:val="24"/>
        </w:rPr>
        <w:t xml:space="preserve">We studied a coastal-dwelling group of stone-tool-using long-tailed macaques on the island of Koh </w:t>
      </w:r>
      <w:proofErr w:type="spellStart"/>
      <w:r>
        <w:rPr>
          <w:rFonts w:ascii="Calibri" w:eastAsia="Calibri" w:hAnsi="Calibri" w:cs="Calibri"/>
          <w:sz w:val="24"/>
          <w:szCs w:val="24"/>
        </w:rPr>
        <w:t>Boi</w:t>
      </w:r>
      <w:proofErr w:type="spellEnd"/>
      <w:r>
        <w:rPr>
          <w:rFonts w:ascii="Calibri" w:eastAsia="Calibri" w:hAnsi="Calibri" w:cs="Calibri"/>
          <w:sz w:val="24"/>
          <w:szCs w:val="24"/>
        </w:rPr>
        <w:t xml:space="preserve"> in </w:t>
      </w:r>
      <w:proofErr w:type="spellStart"/>
      <w:r>
        <w:rPr>
          <w:rFonts w:ascii="Calibri" w:eastAsia="Calibri" w:hAnsi="Calibri" w:cs="Calibri"/>
          <w:sz w:val="24"/>
          <w:szCs w:val="24"/>
        </w:rPr>
        <w:t>Ao</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Phang</w:t>
      </w:r>
      <w:proofErr w:type="spellEnd"/>
      <w:r>
        <w:rPr>
          <w:rFonts w:ascii="Calibri" w:eastAsia="Calibri" w:hAnsi="Calibri" w:cs="Calibri"/>
          <w:sz w:val="24"/>
          <w:szCs w:val="24"/>
        </w:rPr>
        <w:t xml:space="preserve">-Nga National Park. Our first aim was to test whether individuals exhibit stronger and more consistent hand preferences during complex tasks than during simpler manual actions. Because stone-tool-assisted foraging places higher demands on motor control and action </w:t>
      </w:r>
      <w:r>
        <w:rPr>
          <w:rFonts w:ascii="Calibri" w:eastAsia="Calibri" w:hAnsi="Calibri" w:cs="Calibri"/>
          <w:sz w:val="24"/>
          <w:szCs w:val="24"/>
        </w:rPr>
        <w:lastRenderedPageBreak/>
        <w:t>sequencing, we predicted that individuals would show clearer hand preferences during these complex behaviors than during low-demand actions such as rubbing or food washing. Consistent with patterns reported in other primate species, we did not expect these individual-level asymmetries to align directionally at the population level.</w:t>
      </w:r>
    </w:p>
    <w:p w14:paraId="0000001E" w14:textId="77777777" w:rsidR="00FB0C23" w:rsidRDefault="00FB0C23">
      <w:pPr>
        <w:jc w:val="both"/>
        <w:rPr>
          <w:rFonts w:ascii="Calibri" w:eastAsia="Calibri" w:hAnsi="Calibri" w:cs="Calibri"/>
          <w:sz w:val="24"/>
          <w:szCs w:val="24"/>
        </w:rPr>
      </w:pPr>
    </w:p>
    <w:p w14:paraId="0000001F" w14:textId="77777777" w:rsidR="00FB0C23" w:rsidRDefault="000F11BA">
      <w:pPr>
        <w:jc w:val="both"/>
        <w:rPr>
          <w:rFonts w:ascii="Calibri" w:eastAsia="Calibri" w:hAnsi="Calibri" w:cs="Calibri"/>
          <w:sz w:val="24"/>
          <w:szCs w:val="24"/>
        </w:rPr>
      </w:pPr>
      <w:r>
        <w:rPr>
          <w:rFonts w:ascii="Calibri" w:eastAsia="Calibri" w:hAnsi="Calibri" w:cs="Calibri"/>
          <w:sz w:val="24"/>
          <w:szCs w:val="24"/>
        </w:rPr>
        <w:t xml:space="preserve">Our second aim addressed the question of why population-level biases do or do not emerge, a central issue across primate handedness research. Oyster foraging on Koh </w:t>
      </w:r>
      <w:proofErr w:type="spellStart"/>
      <w:r>
        <w:rPr>
          <w:rFonts w:ascii="Calibri" w:eastAsia="Calibri" w:hAnsi="Calibri" w:cs="Calibri"/>
          <w:sz w:val="24"/>
          <w:szCs w:val="24"/>
        </w:rPr>
        <w:t>Boi</w:t>
      </w:r>
      <w:proofErr w:type="spellEnd"/>
      <w:r>
        <w:rPr>
          <w:rFonts w:ascii="Calibri" w:eastAsia="Calibri" w:hAnsi="Calibri" w:cs="Calibri"/>
          <w:sz w:val="24"/>
          <w:szCs w:val="24"/>
        </w:rPr>
        <w:t xml:space="preserve"> occurs on exposed rocky shores lacking structural refuge, where macaques are vulnerable to avian predators and human disturbance. Such open habitats might prompt individuals to remain in close proximity as an anti-predator strategy (ref). However, this need for proximity must be balanced against the efficiency costs imposed by the Optimal Foraging Theory (ref). Because oysters adhere to irregular substrates at varying orientations, certain striking angles may be more accessible for left- or right-handed tool users. Thus, one potential resolution to this trade-off could be that individuals with different hand preferences associate more closely during oyster processing. We therefore tested whether individual handedness predicts fine-scale spatial associations during oyster foraging, allowing us to evaluate whether individual-level asymmetries can structure group-level foraging patterns under specific ecological constraints and, whether such dynamics may offer a plausible pathway through which population-level patterns could emerge.</w:t>
      </w:r>
    </w:p>
    <w:p w14:paraId="00000020" w14:textId="77777777" w:rsidR="00FB0C23" w:rsidRDefault="00FB0C23">
      <w:pPr>
        <w:jc w:val="both"/>
        <w:rPr>
          <w:rFonts w:ascii="Calibri" w:eastAsia="Calibri" w:hAnsi="Calibri" w:cs="Calibri"/>
          <w:sz w:val="24"/>
          <w:szCs w:val="24"/>
        </w:rPr>
      </w:pPr>
    </w:p>
    <w:p w14:paraId="00000021" w14:textId="77777777" w:rsidR="00FB0C23" w:rsidRDefault="000F11BA">
      <w:pPr>
        <w:numPr>
          <w:ilvl w:val="0"/>
          <w:numId w:val="6"/>
        </w:numPr>
        <w:jc w:val="both"/>
        <w:rPr>
          <w:rFonts w:ascii="Calibri" w:eastAsia="Calibri" w:hAnsi="Calibri" w:cs="Calibri"/>
          <w:sz w:val="24"/>
          <w:szCs w:val="24"/>
        </w:rPr>
      </w:pPr>
      <w:r>
        <w:rPr>
          <w:rFonts w:ascii="Calibri" w:eastAsia="Calibri" w:hAnsi="Calibri" w:cs="Calibri"/>
          <w:sz w:val="24"/>
          <w:szCs w:val="24"/>
        </w:rPr>
        <w:t>One or two summary sentences bringing it back to the bigger picture and what monkeys can tell us about the evolution of handedness.</w:t>
      </w:r>
    </w:p>
    <w:p w14:paraId="00000022" w14:textId="77777777" w:rsidR="00FB0C23" w:rsidRDefault="000F11BA">
      <w:pPr>
        <w:jc w:val="both"/>
        <w:rPr>
          <w:rFonts w:ascii="Calibri" w:eastAsia="Calibri" w:hAnsi="Calibri" w:cs="Calibri"/>
          <w:sz w:val="24"/>
          <w:szCs w:val="24"/>
        </w:rPr>
      </w:pPr>
      <w:r>
        <w:rPr>
          <w:rFonts w:ascii="Calibri" w:eastAsia="Calibri" w:hAnsi="Calibri" w:cs="Calibri"/>
          <w:sz w:val="24"/>
          <w:szCs w:val="24"/>
        </w:rPr>
        <w:t>Together, these aims allow us to identify the factors that generate individual hand preferences and to assess the conditions under which such asymmetries may, or may not, consolidate into group-level patterns. By evaluating these processes in a tool-using macaque population, our study provides a comparative lens on the evolutionary forces shaping lateralized action in primates and contributes to broader efforts to understand the origins of human handedness.</w:t>
      </w:r>
    </w:p>
    <w:p w14:paraId="00000031" w14:textId="77777777" w:rsidR="00FB0C23" w:rsidRDefault="00FB0C23">
      <w:pPr>
        <w:jc w:val="both"/>
        <w:rPr>
          <w:rFonts w:ascii="Calibri" w:eastAsia="Calibri" w:hAnsi="Calibri" w:cs="Calibri"/>
          <w:sz w:val="24"/>
          <w:szCs w:val="24"/>
        </w:rPr>
      </w:pPr>
    </w:p>
    <w:sectPr w:rsidR="00FB0C23">
      <w:pgSz w:w="12240" w:h="15840"/>
      <w:pgMar w:top="1440" w:right="1440" w:bottom="1440" w:left="1440" w:header="720" w:footer="720" w:gutter="0"/>
      <w:lnNumType w:countBy="1" w:restart="continuou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D8F29B7-814B-4BCD-9656-EDA8D752F6D7}"/>
    <w:embedItalic r:id="rId2" w:fontKey="{4A2B92DA-1702-4D7E-8A13-805DEBC6E7AD}"/>
  </w:font>
  <w:font w:name="Cambria">
    <w:panose1 w:val="02040503050406030204"/>
    <w:charset w:val="00"/>
    <w:family w:val="roman"/>
    <w:pitch w:val="variable"/>
    <w:sig w:usb0="E00006FF" w:usb1="420024FF" w:usb2="02000000" w:usb3="00000000" w:csb0="0000019F" w:csb1="00000000"/>
    <w:embedRegular r:id="rId3" w:fontKey="{8B389F90-EC28-474B-BB69-D2D9D6AAEBD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83E4E"/>
    <w:multiLevelType w:val="multilevel"/>
    <w:tmpl w:val="CBDE7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A734BE"/>
    <w:multiLevelType w:val="multilevel"/>
    <w:tmpl w:val="2BDCE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BB3A69"/>
    <w:multiLevelType w:val="multilevel"/>
    <w:tmpl w:val="01F2E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357FD5"/>
    <w:multiLevelType w:val="multilevel"/>
    <w:tmpl w:val="D5A47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6469FE"/>
    <w:multiLevelType w:val="multilevel"/>
    <w:tmpl w:val="F1C6F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D83023"/>
    <w:multiLevelType w:val="multilevel"/>
    <w:tmpl w:val="EF96E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4E732C"/>
    <w:multiLevelType w:val="multilevel"/>
    <w:tmpl w:val="76C4A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B971EE"/>
    <w:multiLevelType w:val="multilevel"/>
    <w:tmpl w:val="358CBD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A1F2F99"/>
    <w:multiLevelType w:val="multilevel"/>
    <w:tmpl w:val="5FF24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3"/>
  </w:num>
  <w:num w:numId="3">
    <w:abstractNumId w:val="7"/>
  </w:num>
  <w:num w:numId="4">
    <w:abstractNumId w:val="6"/>
  </w:num>
  <w:num w:numId="5">
    <w:abstractNumId w:val="5"/>
  </w:num>
  <w:num w:numId="6">
    <w:abstractNumId w:val="8"/>
  </w:num>
  <w:num w:numId="7">
    <w:abstractNumId w:val="1"/>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C23"/>
    <w:rsid w:val="000F11BA"/>
    <w:rsid w:val="002B434D"/>
    <w:rsid w:val="004863CA"/>
    <w:rsid w:val="00FB0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E156"/>
  <w15:docId w15:val="{1997FC2E-54A2-4A2D-8BEB-FDD9163B0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0F11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zotero.org/google-docs/?yBWcMK" TargetMode="External"/><Relationship Id="rId13" Type="http://schemas.openxmlformats.org/officeDocument/2006/relationships/hyperlink" Target="https://www.zotero.org/google-docs/?HEDvWe" TargetMode="External"/><Relationship Id="rId18" Type="http://schemas.openxmlformats.org/officeDocument/2006/relationships/hyperlink" Target="https://www.zotero.org/google-docs/?Q1Oq9T" TargetMode="External"/><Relationship Id="rId3" Type="http://schemas.openxmlformats.org/officeDocument/2006/relationships/settings" Target="settings.xml"/><Relationship Id="rId21" Type="http://schemas.openxmlformats.org/officeDocument/2006/relationships/hyperlink" Target="https://www.zotero.org/google-docs/?DZpDXd" TargetMode="External"/><Relationship Id="rId7" Type="http://schemas.openxmlformats.org/officeDocument/2006/relationships/hyperlink" Target="https://www.zotero.org/google-docs/?fwDadq" TargetMode="External"/><Relationship Id="rId12" Type="http://schemas.openxmlformats.org/officeDocument/2006/relationships/hyperlink" Target="https://www.zotero.org/google-docs/?oxuW0B" TargetMode="External"/><Relationship Id="rId17" Type="http://schemas.openxmlformats.org/officeDocument/2006/relationships/hyperlink" Target="https://www.zotero.org/google-docs/?gpP6jm" TargetMode="External"/><Relationship Id="rId2" Type="http://schemas.openxmlformats.org/officeDocument/2006/relationships/styles" Target="styles.xml"/><Relationship Id="rId16" Type="http://schemas.openxmlformats.org/officeDocument/2006/relationships/hyperlink" Target="https://www.zotero.org/google-docs/?3nDQK6" TargetMode="External"/><Relationship Id="rId20" Type="http://schemas.openxmlformats.org/officeDocument/2006/relationships/hyperlink" Target="https://www.zotero.org/google-docs/?tZcgUz" TargetMode="External"/><Relationship Id="rId1" Type="http://schemas.openxmlformats.org/officeDocument/2006/relationships/numbering" Target="numbering.xml"/><Relationship Id="rId6" Type="http://schemas.openxmlformats.org/officeDocument/2006/relationships/hyperlink" Target="https://www.zotero.org/google-docs/?p4IhYb" TargetMode="External"/><Relationship Id="rId11" Type="http://schemas.openxmlformats.org/officeDocument/2006/relationships/hyperlink" Target="https://www.zotero.org/google-docs/?H03Kqk" TargetMode="External"/><Relationship Id="rId5" Type="http://schemas.openxmlformats.org/officeDocument/2006/relationships/hyperlink" Target="https://www.zotero.org/google-docs/?xAHLie" TargetMode="External"/><Relationship Id="rId15" Type="http://schemas.openxmlformats.org/officeDocument/2006/relationships/hyperlink" Target="https://www.zotero.org/google-docs/?bFVJgM" TargetMode="External"/><Relationship Id="rId23" Type="http://schemas.openxmlformats.org/officeDocument/2006/relationships/theme" Target="theme/theme1.xml"/><Relationship Id="rId10" Type="http://schemas.openxmlformats.org/officeDocument/2006/relationships/hyperlink" Target="https://www.zotero.org/google-docs/?RvAGee" TargetMode="External"/><Relationship Id="rId19" Type="http://schemas.openxmlformats.org/officeDocument/2006/relationships/hyperlink" Target="https://www.zotero.org/google-docs/?1WMtCB" TargetMode="External"/><Relationship Id="rId4" Type="http://schemas.openxmlformats.org/officeDocument/2006/relationships/webSettings" Target="webSettings.xml"/><Relationship Id="rId9" Type="http://schemas.openxmlformats.org/officeDocument/2006/relationships/hyperlink" Target="https://www.zotero.org/google-docs/?mURlse" TargetMode="External"/><Relationship Id="rId14" Type="http://schemas.openxmlformats.org/officeDocument/2006/relationships/hyperlink" Target="https://www.zotero.org/google-docs/?PYvYp5"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1812</Words>
  <Characters>10330</Characters>
  <Application>Microsoft Office Word</Application>
  <DocSecurity>0</DocSecurity>
  <Lines>86</Lines>
  <Paragraphs>24</Paragraphs>
  <ScaleCrop>false</ScaleCrop>
  <Company>MPI EVA</Company>
  <LinksUpToDate>false</LinksUpToDate>
  <CharactersWithSpaces>12118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 Negi</cp:lastModifiedBy>
  <cp:revision>5</cp:revision>
  <dcterms:created xsi:type="dcterms:W3CDTF">2025-12-10T10:02:00Z</dcterms:created>
  <dcterms:modified xsi:type="dcterms:W3CDTF">2026-02-07T01:06:00Z</dcterms:modified>
</cp:coreProperties>
</file>