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Working title: “Handedness Explained: Stone-Tool Oyster Foraging Reveals Manual Bias”</w:t>
      </w:r>
    </w:p>
    <w:p w:rsidR="00000000" w:rsidDel="00000000" w:rsidP="00000000" w:rsidRDefault="00000000" w:rsidRPr="00000000" w14:paraId="0000000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Preliminary author list - Rohit Negi, Suchinda Malaivijitnond, Lydia Luncz</w:t>
      </w:r>
    </w:p>
    <w:p w:rsidR="00000000" w:rsidDel="00000000" w:rsidP="00000000" w:rsidRDefault="00000000" w:rsidRPr="00000000" w14:paraId="0000000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Introduction </w:t>
      </w:r>
    </w:p>
    <w:p w:rsidR="00000000" w:rsidDel="00000000" w:rsidP="00000000" w:rsidRDefault="00000000" w:rsidRPr="00000000" w14:paraId="00000006">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Humans display a population-level right-hand preference </w:t>
      </w:r>
      <w:hyperlink r:id="rId6">
        <w:r w:rsidDel="00000000" w:rsidR="00000000" w:rsidRPr="00000000">
          <w:rPr>
            <w:rFonts w:ascii="Calibri" w:cs="Calibri" w:eastAsia="Calibri" w:hAnsi="Calibri"/>
            <w:sz w:val="24"/>
            <w:szCs w:val="24"/>
            <w:rtl w:val="0"/>
          </w:rPr>
          <w:t xml:space="preserve">(Papadatou-Pastou et al., 2020)</w:t>
        </w:r>
      </w:hyperlink>
      <w:r w:rsidDel="00000000" w:rsidR="00000000" w:rsidRPr="00000000">
        <w:rPr>
          <w:rFonts w:ascii="Calibri" w:cs="Calibri" w:eastAsia="Calibri" w:hAnsi="Calibri"/>
          <w:sz w:val="24"/>
          <w:szCs w:val="24"/>
          <w:rtl w:val="0"/>
        </w:rPr>
        <w:t xml:space="preserve">. This widespread bias likely reflects the lateralized organization of the human brain, in which the left hemisphere predominantly governs both fine motor control and language processing </w:t>
      </w:r>
      <w:hyperlink r:id="rId7">
        <w:r w:rsidDel="00000000" w:rsidR="00000000" w:rsidRPr="00000000">
          <w:rPr>
            <w:rFonts w:ascii="Calibri" w:cs="Calibri" w:eastAsia="Calibri" w:hAnsi="Calibri"/>
            <w:sz w:val="24"/>
            <w:szCs w:val="24"/>
            <w:rtl w:val="0"/>
          </w:rPr>
          <w:t xml:space="preserve">(Fedorenko et al., 2024; McManus, 1985; Ocklenburg &amp; Güntürkün, 2018b)</w:t>
        </w:r>
      </w:hyperlink>
      <w:r w:rsidDel="00000000" w:rsidR="00000000" w:rsidRPr="00000000">
        <w:rPr>
          <w:rFonts w:ascii="Calibri" w:cs="Calibri" w:eastAsia="Calibri" w:hAnsi="Calibri"/>
          <w:sz w:val="24"/>
          <w:szCs w:val="24"/>
          <w:rtl w:val="0"/>
        </w:rPr>
        <w:t xml:space="preserve">. Because manual skill and language each depend on complex sequencing, coordination, and planning, their shared lateralization may point to a common, or at least evolutionarily linked neural foundation for these uniquely human capacities. The earliest known evidence of individual right-handedness in the hominin lineage appears in </w:t>
      </w:r>
      <w:r w:rsidDel="00000000" w:rsidR="00000000" w:rsidRPr="00000000">
        <w:rPr>
          <w:rFonts w:ascii="Calibri" w:cs="Calibri" w:eastAsia="Calibri" w:hAnsi="Calibri"/>
          <w:i w:val="1"/>
          <w:iCs w:val="1"/>
          <w:sz w:val="24"/>
          <w:szCs w:val="24"/>
          <w:rtl w:val="0"/>
        </w:rPr>
        <w:t xml:space="preserve">Homo habilis</w:t>
      </w:r>
      <w:r w:rsidDel="00000000" w:rsidR="00000000" w:rsidRPr="00000000">
        <w:rPr>
          <w:rFonts w:ascii="Calibri" w:cs="Calibri" w:eastAsia="Calibri" w:hAnsi="Calibri"/>
          <w:sz w:val="24"/>
          <w:szCs w:val="24"/>
          <w:rtl w:val="0"/>
        </w:rPr>
        <w:t xml:space="preserve"> approximately 1.8 million years ago </w:t>
      </w:r>
      <w:hyperlink r:id="rId8">
        <w:r w:rsidDel="00000000" w:rsidR="00000000" w:rsidRPr="00000000">
          <w:rPr>
            <w:rFonts w:ascii="Calibri" w:cs="Calibri" w:eastAsia="Calibri" w:hAnsi="Calibri"/>
            <w:sz w:val="24"/>
            <w:szCs w:val="24"/>
            <w:rtl w:val="0"/>
          </w:rPr>
          <w:t xml:space="preserve">(Frayer et al., 2016)</w:t>
        </w:r>
      </w:hyperlink>
      <w:r w:rsidDel="00000000" w:rsidR="00000000" w:rsidRPr="00000000">
        <w:rPr>
          <w:rFonts w:ascii="Calibri" w:cs="Calibri" w:eastAsia="Calibri" w:hAnsi="Calibri"/>
          <w:sz w:val="24"/>
          <w:szCs w:val="24"/>
          <w:rtl w:val="0"/>
        </w:rPr>
        <w:t xml:space="preserve">. But the first clear signs of population-level right-hand bias are 500,000 years old documented in European pre-modern humans: </w:t>
      </w:r>
      <w:r w:rsidDel="00000000" w:rsidR="00000000" w:rsidRPr="00000000">
        <w:rPr>
          <w:rFonts w:ascii="Calibri" w:cs="Calibri" w:eastAsia="Calibri" w:hAnsi="Calibri"/>
          <w:i w:val="1"/>
          <w:iCs w:val="1"/>
          <w:sz w:val="24"/>
          <w:szCs w:val="24"/>
          <w:rtl w:val="0"/>
        </w:rPr>
        <w:t xml:space="preserve">Homo antecessor, Homo heidelbergensis, Homo neanderthalensis</w:t>
      </w:r>
      <w:r w:rsidDel="00000000" w:rsidR="00000000" w:rsidRPr="00000000">
        <w:rPr>
          <w:rFonts w:ascii="Calibri" w:cs="Calibri" w:eastAsia="Calibri" w:hAnsi="Calibri"/>
          <w:sz w:val="24"/>
          <w:szCs w:val="24"/>
          <w:rtl w:val="0"/>
        </w:rPr>
        <w:t xml:space="preserve"> </w:t>
      </w:r>
      <w:hyperlink r:id="rId9">
        <w:r w:rsidDel="00000000" w:rsidR="00000000" w:rsidRPr="00000000">
          <w:rPr>
            <w:rFonts w:ascii="Calibri" w:cs="Calibri" w:eastAsia="Calibri" w:hAnsi="Calibri"/>
            <w:sz w:val="24"/>
            <w:szCs w:val="24"/>
            <w:rtl w:val="0"/>
          </w:rPr>
          <w:t xml:space="preserve">(Frayer et al., 2012)</w:t>
        </w:r>
      </w:hyperlink>
      <w:r w:rsidDel="00000000" w:rsidR="00000000" w:rsidRPr="00000000">
        <w:rPr>
          <w:rFonts w:ascii="Calibri" w:cs="Calibri" w:eastAsia="Calibri" w:hAnsi="Calibri"/>
          <w:sz w:val="24"/>
          <w:szCs w:val="24"/>
          <w:rtl w:val="0"/>
        </w:rPr>
        <w:t xml:space="preserve">. To explain these patterns, s</w:t>
      </w:r>
      <w:r w:rsidDel="00000000" w:rsidR="00000000" w:rsidRPr="00000000">
        <w:rPr>
          <w:rFonts w:ascii="Calibri" w:cs="Calibri" w:eastAsia="Calibri" w:hAnsi="Calibri"/>
          <w:sz w:val="24"/>
          <w:szCs w:val="24"/>
          <w:rtl w:val="0"/>
        </w:rPr>
        <w:t xml:space="preserve">everal evolutionary hypotheses have been proposed, example: posture origin hypothesis </w:t>
      </w:r>
      <w:hyperlink r:id="rId10">
        <w:r w:rsidDel="00000000" w:rsidR="00000000" w:rsidRPr="00000000">
          <w:rPr>
            <w:rFonts w:ascii="Calibri" w:cs="Calibri" w:eastAsia="Calibri" w:hAnsi="Calibri"/>
            <w:sz w:val="24"/>
            <w:szCs w:val="24"/>
            <w:rtl w:val="0"/>
          </w:rPr>
          <w:t xml:space="preserve">(MacNeilage et al., 1987)</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tool-use hypothesis </w:t>
      </w:r>
      <w:hyperlink r:id="rId11">
        <w:r w:rsidDel="00000000" w:rsidR="00000000" w:rsidRPr="00000000">
          <w:rPr>
            <w:rFonts w:ascii="Calibri" w:cs="Calibri" w:eastAsia="Calibri" w:hAnsi="Calibri"/>
            <w:sz w:val="24"/>
            <w:szCs w:val="24"/>
            <w:rtl w:val="0"/>
          </w:rPr>
          <w:t xml:space="preserve">(Napier, 1962)</w:t>
        </w:r>
      </w:hyperlink>
      <w:r w:rsidDel="00000000" w:rsidR="00000000" w:rsidRPr="00000000">
        <w:rPr>
          <w:rFonts w:ascii="Calibri" w:cs="Calibri" w:eastAsia="Calibri" w:hAnsi="Calibri"/>
          <w:sz w:val="24"/>
          <w:szCs w:val="24"/>
          <w:rtl w:val="0"/>
        </w:rPr>
        <w:t xml:space="preserve">, each attempting to trace the roots of right-handedness deep into our evolutionary history. </w:t>
      </w:r>
    </w:p>
    <w:p w:rsidR="00000000" w:rsidDel="00000000" w:rsidP="00000000" w:rsidRDefault="00000000" w:rsidRPr="00000000" w14:paraId="00000007">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parallel with these evolutionary frameworks, some researchers sought a genetic explanation and proposed single-gene models of handedness, reflecting the assumption that a specific gene or locus might dictate manual laterality in humans </w:t>
      </w:r>
      <w:hyperlink r:id="rId12">
        <w:r w:rsidDel="00000000" w:rsidR="00000000" w:rsidRPr="00000000">
          <w:rPr>
            <w:rFonts w:ascii="Calibri" w:cs="Calibri" w:eastAsia="Calibri" w:hAnsi="Calibri"/>
            <w:sz w:val="24"/>
            <w:szCs w:val="24"/>
            <w:rtl w:val="0"/>
          </w:rPr>
          <w:t xml:space="preserve">(see example: McManus, 1985)</w:t>
        </w:r>
      </w:hyperlink>
      <w:r w:rsidDel="00000000" w:rsidR="00000000" w:rsidRPr="00000000">
        <w:rPr>
          <w:rFonts w:ascii="Calibri" w:cs="Calibri" w:eastAsia="Calibri" w:hAnsi="Calibri"/>
          <w:sz w:val="24"/>
          <w:szCs w:val="24"/>
          <w:rtl w:val="0"/>
        </w:rPr>
        <w:t xml:space="preserve">. Accumulating genomic evidence has challenged this view. Genome-wide association studies (GWAS) show that handedness in humans is not defined by single-gene models, but are most likely dictated by multiple genetic loci </w:t>
      </w:r>
      <w:hyperlink r:id="rId13">
        <w:r w:rsidDel="00000000" w:rsidR="00000000" w:rsidRPr="00000000">
          <w:rPr>
            <w:rFonts w:ascii="Calibri" w:cs="Calibri" w:eastAsia="Calibri" w:hAnsi="Calibri"/>
            <w:sz w:val="24"/>
            <w:szCs w:val="24"/>
            <w:rtl w:val="0"/>
          </w:rPr>
          <w:t xml:space="preserve">(McManus et al., 2013)</w:t>
        </w:r>
      </w:hyperlink>
      <w:r w:rsidDel="00000000" w:rsidR="00000000" w:rsidRPr="00000000">
        <w:rPr>
          <w:rFonts w:ascii="Calibri" w:cs="Calibri" w:eastAsia="Calibri" w:hAnsi="Calibri"/>
          <w:sz w:val="24"/>
          <w:szCs w:val="24"/>
          <w:rtl w:val="0"/>
        </w:rPr>
        <w:t xml:space="preserve">, with</w:t>
      </w:r>
      <w:r w:rsidDel="00000000" w:rsidR="00000000" w:rsidRPr="00000000">
        <w:rPr>
          <w:rFonts w:ascii="Calibri" w:cs="Calibri" w:eastAsia="Calibri" w:hAnsi="Calibri"/>
          <w:sz w:val="24"/>
          <w:szCs w:val="24"/>
          <w:rtl w:val="0"/>
        </w:rPr>
        <w:t xml:space="preserve"> additive genetic effects along with non-shared environmental factors to shape manual preferences </w:t>
      </w:r>
      <w:hyperlink r:id="rId14">
        <w:r w:rsidDel="00000000" w:rsidR="00000000" w:rsidRPr="00000000">
          <w:rPr>
            <w:rFonts w:ascii="Calibri" w:cs="Calibri" w:eastAsia="Calibri" w:hAnsi="Calibri"/>
            <w:sz w:val="24"/>
            <w:szCs w:val="24"/>
            <w:rtl w:val="0"/>
          </w:rPr>
          <w:t xml:space="preserve">(Collins, 1968, 1975)</w:t>
        </w:r>
      </w:hyperlink>
      <w:r w:rsidDel="00000000" w:rsidR="00000000" w:rsidRPr="00000000">
        <w:rPr>
          <w:rFonts w:ascii="Calibri" w:cs="Calibri" w:eastAsia="Calibri" w:hAnsi="Calibri"/>
          <w:sz w:val="24"/>
          <w:szCs w:val="24"/>
          <w:rtl w:val="0"/>
        </w:rPr>
        <w:t xml:space="preserve">. These findings suggest that handedness has a genetic basis, but it is not genetically determined. Interestingly, hand dominance in humans is flexible: individuals who lose their dominant hand can retrain their non-dominant hand later in life, and such retraining induces new neural pathways. This plasticity underscores that dominance is not exclusively tied to a single hemisphere, but rather involves dynamic, experience-dependent neural networks. In short, it seems that the genes set the bias for the dominant hand; environment and experience decide the expression.</w:t>
      </w:r>
    </w:p>
    <w:p w:rsidR="00000000" w:rsidDel="00000000" w:rsidP="00000000" w:rsidRDefault="00000000" w:rsidRPr="00000000" w14:paraId="00000009">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strength of population-asymmetry has been argued to be related to the manual complexity of the actions that the animals are able to produce </w:t>
      </w:r>
      <w:hyperlink r:id="rId15">
        <w:r w:rsidDel="00000000" w:rsidR="00000000" w:rsidRPr="00000000">
          <w:rPr>
            <w:rFonts w:ascii="Calibri" w:cs="Calibri" w:eastAsia="Calibri" w:hAnsi="Calibri"/>
            <w:sz w:val="24"/>
            <w:szCs w:val="24"/>
            <w:rtl w:val="0"/>
          </w:rPr>
          <w:t xml:space="preserve">(see chapter 2 - Ocklenburg &amp; Güntürkün, 2018a)</w:t>
        </w:r>
      </w:hyperlink>
      <w:r w:rsidDel="00000000" w:rsidR="00000000" w:rsidRPr="00000000">
        <w:rPr>
          <w:rFonts w:ascii="Calibri" w:cs="Calibri" w:eastAsia="Calibri" w:hAnsi="Calibri"/>
          <w:sz w:val="24"/>
          <w:szCs w:val="24"/>
          <w:rtl w:val="0"/>
        </w:rPr>
        <w:t xml:space="preserve">. The likelihood of population-level handedness increases with the complexity, coordination, and precision demands of the task being performed </w:t>
      </w:r>
      <w:hyperlink r:id="rId16">
        <w:r w:rsidDel="00000000" w:rsidR="00000000" w:rsidRPr="00000000">
          <w:rPr>
            <w:rFonts w:ascii="Calibri" w:cs="Calibri" w:eastAsia="Calibri" w:hAnsi="Calibri"/>
            <w:sz w:val="24"/>
            <w:szCs w:val="24"/>
            <w:rtl w:val="0"/>
          </w:rPr>
          <w:t xml:space="preserve">(Bryden, 2000)</w:t>
        </w:r>
      </w:hyperlink>
      <w:r w:rsidDel="00000000" w:rsidR="00000000" w:rsidRPr="00000000">
        <w:rPr>
          <w:rFonts w:ascii="Calibri" w:cs="Calibri" w:eastAsia="Calibri" w:hAnsi="Calibri"/>
          <w:sz w:val="24"/>
          <w:szCs w:val="24"/>
          <w:rtl w:val="0"/>
        </w:rPr>
        <w:t xml:space="preserve">. While humans show strong lateralization for complex tasks such as writing, inconsistencies arise when this framework is applied to non-human primates. Wild chimpanzees and monkeys, for example, do not consistently exhibit population-level hand biases, despite clear individual-level preferences </w:t>
      </w:r>
      <w:hyperlink r:id="rId17">
        <w:r w:rsidDel="00000000" w:rsidR="00000000" w:rsidRPr="00000000">
          <w:rPr>
            <w:rFonts w:ascii="Calibri" w:cs="Calibri" w:eastAsia="Calibri" w:hAnsi="Calibri"/>
            <w:sz w:val="24"/>
            <w:szCs w:val="24"/>
            <w:rtl w:val="0"/>
          </w:rPr>
          <w:t xml:space="preserve">(Humle &amp; Matsuzawa, 2009; Soto et al., 2022)</w:t>
        </w:r>
      </w:hyperlink>
      <w:r w:rsidDel="00000000" w:rsidR="00000000" w:rsidRPr="00000000">
        <w:rPr>
          <w:rFonts w:ascii="Calibri" w:cs="Calibri" w:eastAsia="Calibri" w:hAnsi="Calibri"/>
          <w:sz w:val="24"/>
          <w:szCs w:val="24"/>
          <w:rtl w:val="0"/>
        </w:rPr>
        <w:t xml:space="preserve">. Brain-lateralization has been favored during evolution as a neural feature that increases neural efficacy and therefore overall fitness </w:t>
      </w:r>
      <w:hyperlink r:id="rId18">
        <w:r w:rsidDel="00000000" w:rsidR="00000000" w:rsidRPr="00000000">
          <w:rPr>
            <w:rFonts w:ascii="Calibri" w:cs="Calibri" w:eastAsia="Calibri" w:hAnsi="Calibri"/>
            <w:sz w:val="24"/>
            <w:szCs w:val="24"/>
            <w:rtl w:val="0"/>
          </w:rPr>
          <w:t xml:space="preserve">(Vallortigara &amp; Rogers, 2005)</w:t>
        </w:r>
      </w:hyperlink>
      <w:r w:rsidDel="00000000" w:rsidR="00000000" w:rsidRPr="00000000">
        <w:rPr>
          <w:rFonts w:ascii="Calibri" w:cs="Calibri" w:eastAsia="Calibri" w:hAnsi="Calibri"/>
          <w:sz w:val="24"/>
          <w:szCs w:val="24"/>
          <w:rtl w:val="0"/>
        </w:rPr>
        <w:t xml:space="preserve">. Contralateral motor control coupled with left-right body asymmetry makes individual-level handedness a likely starting point. The key question, therefore, is what ecological or behavioral tasks are sufficiently complex that facilitates the expression of handedness. Evidence from humans suggests that simple tasks rarely elicit strong lateralization, whereas complex, learned, or coordinated behaviors do. </w:t>
      </w:r>
    </w:p>
    <w:p w:rsidR="00000000" w:rsidDel="00000000" w:rsidP="00000000" w:rsidRDefault="00000000" w:rsidRPr="00000000" w14:paraId="0000000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Tool use represents one such complex domain of task. Consequently, it has been argued that the emergence of tool use contributed substantially to the evolution of human handedness </w:t>
      </w:r>
      <w:hyperlink r:id="rId19">
        <w:r w:rsidDel="00000000" w:rsidR="00000000" w:rsidRPr="00000000">
          <w:rPr>
            <w:rFonts w:ascii="Calibri" w:cs="Calibri" w:eastAsia="Calibri" w:hAnsi="Calibri"/>
            <w:sz w:val="24"/>
            <w:szCs w:val="24"/>
            <w:rtl w:val="0"/>
          </w:rPr>
          <w:t xml:space="preserve">(tool-use hypothesis: Napier, 1962)</w:t>
        </w:r>
      </w:hyperlink>
      <w:r w:rsidDel="00000000" w:rsidR="00000000" w:rsidRPr="00000000">
        <w:rPr>
          <w:rFonts w:ascii="Calibri" w:cs="Calibri" w:eastAsia="Calibri" w:hAnsi="Calibri"/>
          <w:sz w:val="24"/>
          <w:szCs w:val="24"/>
          <w:rtl w:val="0"/>
        </w:rPr>
        <w:t xml:space="preserve">. Long-tailed macaques in southern Thailand and Myanmar present an exceptional comparative model not only because they use stone tools but also since they use to process animal tissue among other things like nuts which puts them right besides the early hominin models which arguably used complex tasks like stone-tools to process meat. This natural tool-using system thus provides a rare opportunity to employ a comparative lens and understand handedness in this system. Using the task complexity hypothesis we first investigated whether variation in task complexity predicts variation in handedness expression. We specifically investigated if handedness was visible across food processing tasks of different complexities. We hypothesized that individuals would exhibit increasingly strict hand preferences as task complexity increased. </w:t>
      </w:r>
    </w:p>
    <w:p w:rsidR="00000000" w:rsidDel="00000000" w:rsidP="00000000" w:rsidRDefault="00000000" w:rsidRPr="00000000" w14:paraId="0000000D">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Stone-tool assisted oyster foraging, in particular, is a highly precision-dependent activity:  careless removal can produce sharp shell fragments that may be ingested and damage the gastrointestinal lining, and poorly placed strikes can shatter the oyster into multiple pieces, dispersing the meat and reducing processing efficiency </w:t>
      </w:r>
      <w:hyperlink r:id="rId20">
        <w:r w:rsidDel="00000000" w:rsidR="00000000" w:rsidRPr="00000000">
          <w:rPr>
            <w:rFonts w:ascii="Calibri" w:cs="Calibri" w:eastAsia="Calibri" w:hAnsi="Calibri"/>
            <w:sz w:val="24"/>
            <w:szCs w:val="24"/>
            <w:rtl w:val="0"/>
          </w:rPr>
          <w:t xml:space="preserve">(Luncz et al., 2024; Tan, 2017)</w:t>
        </w:r>
      </w:hyperlink>
      <w:r w:rsidDel="00000000" w:rsidR="00000000" w:rsidRPr="00000000">
        <w:rPr>
          <w:rFonts w:ascii="Calibri" w:cs="Calibri" w:eastAsia="Calibri" w:hAnsi="Calibri"/>
          <w:sz w:val="24"/>
          <w:szCs w:val="24"/>
          <w:rtl w:val="0"/>
        </w:rPr>
        <w:t xml:space="preserve">. Moreover, oysters occur in dense, irregular clusters on exposed rocky substrates, creating a three-dimensional foraging landscape that requires careful body positioning and motor control. Given the substantial time macaques spend processing oysters, it is likely that stone-tool mediated oyster foraging provides the ecological context in which manual specialization and thus the expression of handedness emerges in this system. </w:t>
      </w:r>
    </w:p>
    <w:p w:rsidR="00000000" w:rsidDel="00000000" w:rsidP="00000000" w:rsidRDefault="00000000" w:rsidRPr="00000000" w14:paraId="0000000F">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tested this by studying the monkeys across three expertise levels: novice, intermediate, and expert oyster processors. We also quantified their likelihood of foraging on oysters (focal sampling protocol) and their associated handedness scores (standard bimanual tube-reaching task). We predict a strong positive correlation between stone-tool proficiency and the strength of individual handedness. Finally, because oysters are primarily available on open shores lacking structural refuges, we applied predictions from the habitat-structure hypothesis and optimal foraging theory to assess whether individual handedness predicts spatial foraging associations.</w:t>
      </w:r>
    </w:p>
    <w:p w:rsidR="00000000" w:rsidDel="00000000" w:rsidP="00000000" w:rsidRDefault="00000000" w:rsidRPr="00000000" w14:paraId="00000011">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Specifically, we predict that monkeys with different handedness would forage in closer proximity to one another while processing oysters with stone tools.</w:t>
      </w:r>
    </w:p>
    <w:p w:rsidR="00000000" w:rsidDel="00000000" w:rsidP="00000000" w:rsidRDefault="00000000" w:rsidRPr="00000000" w14:paraId="00000012">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ind w:left="0" w:firstLine="0"/>
        <w:jc w:val="both"/>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lnNumType w:countBy="1" w:start="0" w:restart="newPage"/>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y6EZhe" TargetMode="External"/><Relationship Id="rId11" Type="http://schemas.openxmlformats.org/officeDocument/2006/relationships/hyperlink" Target="https://www.zotero.org/google-docs/?oxuW0B" TargetMode="External"/><Relationship Id="rId10" Type="http://schemas.openxmlformats.org/officeDocument/2006/relationships/hyperlink" Target="https://www.zotero.org/google-docs/?6RuHAv" TargetMode="External"/><Relationship Id="rId13" Type="http://schemas.openxmlformats.org/officeDocument/2006/relationships/hyperlink" Target="https://www.zotero.org/google-docs/?c4l4tZ" TargetMode="External"/><Relationship Id="rId12" Type="http://schemas.openxmlformats.org/officeDocument/2006/relationships/hyperlink" Target="https://www.zotero.org/google-docs/?BmVxu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RvAGee" TargetMode="External"/><Relationship Id="rId15" Type="http://schemas.openxmlformats.org/officeDocument/2006/relationships/hyperlink" Target="https://www.zotero.org/google-docs/?43adsT" TargetMode="External"/><Relationship Id="rId14" Type="http://schemas.openxmlformats.org/officeDocument/2006/relationships/hyperlink" Target="https://www.zotero.org/google-docs/?GlCKCi" TargetMode="External"/><Relationship Id="rId17" Type="http://schemas.openxmlformats.org/officeDocument/2006/relationships/hyperlink" Target="https://www.zotero.org/google-docs/?wZBXQS" TargetMode="External"/><Relationship Id="rId16" Type="http://schemas.openxmlformats.org/officeDocument/2006/relationships/hyperlink" Target="https://www.zotero.org/google-docs/?FMcU2f" TargetMode="External"/><Relationship Id="rId5" Type="http://schemas.openxmlformats.org/officeDocument/2006/relationships/styles" Target="styles.xml"/><Relationship Id="rId19" Type="http://schemas.openxmlformats.org/officeDocument/2006/relationships/hyperlink" Target="https://www.zotero.org/google-docs/?TUjkXT" TargetMode="External"/><Relationship Id="rId6" Type="http://schemas.openxmlformats.org/officeDocument/2006/relationships/hyperlink" Target="https://www.zotero.org/google-docs/?xAHLie" TargetMode="External"/><Relationship Id="rId18" Type="http://schemas.openxmlformats.org/officeDocument/2006/relationships/hyperlink" Target="https://www.zotero.org/google-docs/?3vdnUy" TargetMode="External"/><Relationship Id="rId7" Type="http://schemas.openxmlformats.org/officeDocument/2006/relationships/hyperlink" Target="https://www.zotero.org/google-docs/?4bQn1q" TargetMode="External"/><Relationship Id="rId8" Type="http://schemas.openxmlformats.org/officeDocument/2006/relationships/hyperlink" Target="https://www.zotero.org/google-docs/?mUR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