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Plane Security &amp; Hardening Plan</w:t>
      </w:r>
    </w:p>
    <w:p>
      <w:r>
        <w:t>Status: Preliminary | Target: Defensive Architecture &amp; SIEM Integration</w:t>
      </w:r>
    </w:p>
    <w:p>
      <w:r>
        <w:t>The isolation of agents must be mirrored by the hardening of the ForgeRoot orchestration layer itself. If CONCORD, ForgeGate, or Azul are compromised, the entire harness fails. This plan outlines the physical and software-level boundaries that protect the core ForgeRoot Control Plane.</w:t>
      </w:r>
    </w:p>
    <w:p>
      <w:r>
        <w:t>________________________________________</w:t>
      </w:r>
    </w:p>
    <w:p>
      <w:pPr>
        <w:pStyle w:val="Heading2"/>
      </w:pPr>
      <w:r>
        <w:t>1. Zero-Trust Orchestration Architecture</w:t>
      </w:r>
    </w:p>
    <w:p>
      <w:r>
        <w:t>Addresses "Friction Point B: Orchestrator as SPOF"</w:t>
      </w:r>
    </w:p>
    <w:p>
      <w:r>
        <w:t xml:space="preserve">The ForgeRoot control plane handles admission, authorization, and dispatch, making it the most privileged layer in the network. </w:t>
      </w:r>
    </w:p>
    <w:p>
      <w:r>
        <w:t>- Air-Gapped Control vs. Data Plane: The orchestrator runs in a dedicated, highly privileged network namespace. Agents operate on disparate logical data planes. Agents can only initiate inbound TCP connections to specific structured API endpoints on the orchestrator; they cannot access orchestrator internal states or memory directly.</w:t>
      </w:r>
    </w:p>
    <w:p>
      <w:r>
        <w:t>- Hardened Micro-Kernel Execution: To avoid systemic exposure, the Control Plane services (CONCORD dispatcher, ForgeGate evaluators) will be deployed as static binaries operating inside hardened micro-VMs (e.g., AWS Firecracker or gVisor) with network egress tightly restricted to necessary verification repositories and internal ledgers.</w:t>
      </w:r>
    </w:p>
    <w:p>
      <w:r>
        <w:t>- Immutable Boot Chains: The containers and/or micro-VMs running the Control Plane components will leverage cryptographically verified boot processes, guaranteeing the integrity of the orchestrator software itself.</w:t>
      </w:r>
    </w:p>
    <w:p>
      <w:pPr>
        <w:pStyle w:val="Heading2"/>
      </w:pPr>
      <w:r>
        <w:t>2. Stateless Decision Engines</w:t>
      </w:r>
    </w:p>
    <w:p>
      <w:r>
        <w:t xml:space="preserve">The deterministic nature of ForgeGate allows it to run largely in a stateless profile. </w:t>
      </w:r>
    </w:p>
    <w:p>
      <w:r>
        <w:t xml:space="preserve">- State Externalization: All session states, capability keys, and budgets are read from securely managed, remote, append-only ledgers. </w:t>
      </w:r>
    </w:p>
    <w:p>
      <w:r>
        <w:t>- Ephemeral Decision Nodes: Because ForgeGate evaluators are stateless, they can be routinely cycled. We will implement aggressive container recycling (e.g., maximum lifespan of 15 minutes) to drastically reduce the duration of any theoretical vulnerability window on the policy evaluation nodes.</w:t>
      </w:r>
    </w:p>
    <w:p>
      <w:pPr>
        <w:pStyle w:val="Heading2"/>
      </w:pPr>
      <w:r>
        <w:t>3. SIEM Interoperability &amp; Evidence Standardization</w:t>
      </w:r>
    </w:p>
    <w:p>
      <w:r>
        <w:t>Addresses "Friction Point C: Standardization of the Evidence Trail"</w:t>
      </w:r>
    </w:p>
    <w:p>
      <w:r>
        <w:t>For true operational assurance, government and enterprise oversight requires standardized logging structures, not proprietary blobs. The ForgeRoot traceability pipeline will emit standardized structures directly consumable by modern auditable systems.</w:t>
      </w:r>
    </w:p>
    <w:p>
      <w:r>
        <w:t>- OCSF schema adoption: `DecisionRecords`, `Receipts`, and `ComprehensionReviews` will implement native mapping to the Open Cybersecurity Schema Framework (OCSF). This guarantees out-of-the-box interoperability with Datadog, Splunk, Elastic Security, and AWS Security Hub.</w:t>
      </w:r>
    </w:p>
    <w:p>
      <w:r>
        <w:t>- Immutable Hashing: Every event generated will be cryptographically hashed against the previous intent's receipt in the session chain. Any modification of a `ComprehensionReview` or decision event will invalidate the chain, ensuring verifiable immutability for compliance officers.</w:t>
      </w:r>
    </w:p>
    <w:p>
      <w:r>
        <w:t>- Forwarded Telemetry: Logging is forwarded synchronously. The CONCORD Admission Pipeline ensures that a standard audit event message is successfully dispatched to the SIEM aggregation sink before Stage 8 (`IntentCreation`) finishes, ensuring forensic visibility to every attempted admission cycle.</w:t>
      </w:r>
    </w:p>
    <w:p>
      <w:pPr>
        <w:pStyle w:val="Heading2"/>
      </w:pPr>
      <w:r>
        <w:t>4. Threat Defense for Governance Oracles</w:t>
      </w:r>
    </w:p>
    <w:p>
      <w:r>
        <w:t>Certain segments of the Control Plane—specifically the Layer 3 Comprehension Gate in Azul—rely on an internal evaluation model (Oracle API).</w:t>
      </w:r>
    </w:p>
    <w:p>
      <w:r>
        <w:t>- Inference Isolation: The Orchestration Oracles processing the validation logic must be physically separated from any models actively generating code. By separating evaluation compute from generation compute, we prevent cross-inference side-channel risks.</w:t>
      </w:r>
    </w:p>
    <w:p>
      <w:r>
        <w:t>- Oracle Throttling and Tamper Monitoring: Because `FWResultGate` is a software enforcement boundary, it tracks the output signatures of the Oracle. Repetitive validation failures or anomalous context responses will automatically trigger `CIRCUIT_OPEN` protocols on the integration points, halting throughput pending human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