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22CC" w:rsidRDefault="00C51CC2" w:rsidP="00D822CC">
      <w:pPr>
        <w:contextualSpacing/>
        <w:rPr>
          <w:rFonts w:cs="Arial"/>
          <w:b/>
          <w:sz w:val="32"/>
          <w:szCs w:val="24"/>
        </w:rPr>
      </w:pPr>
      <w:r>
        <w:rPr>
          <w:rFonts w:cs="Arial"/>
          <w:b/>
          <w:sz w:val="32"/>
          <w:szCs w:val="24"/>
        </w:rPr>
        <w:tab/>
      </w:r>
    </w:p>
    <w:tbl>
      <w:tblPr>
        <w:tblStyle w:val="TableGrid1"/>
        <w:tblpPr w:leftFromText="180" w:rightFromText="180" w:vertAnchor="page" w:horzAnchor="margin" w:tblpY="2212"/>
        <w:tblW w:w="0" w:type="auto"/>
        <w:tblLook w:val="04A0" w:firstRow="1" w:lastRow="0" w:firstColumn="1" w:lastColumn="0" w:noHBand="0" w:noVBand="1"/>
      </w:tblPr>
      <w:tblGrid>
        <w:gridCol w:w="9016"/>
      </w:tblGrid>
      <w:tr w:rsidR="001721D6" w:rsidRPr="00D822CC" w:rsidTr="001721D6">
        <w:tc>
          <w:tcPr>
            <w:tcW w:w="9242" w:type="dxa"/>
            <w:shd w:val="clear" w:color="auto" w:fill="D9D9D9" w:themeFill="background1" w:themeFillShade="D9"/>
          </w:tcPr>
          <w:p w:rsidR="001721D6" w:rsidRPr="00D822CC" w:rsidRDefault="001721D6" w:rsidP="001721D6">
            <w:pPr>
              <w:jc w:val="center"/>
              <w:rPr>
                <w:rFonts w:cs="Arial"/>
                <w:sz w:val="40"/>
              </w:rPr>
            </w:pPr>
            <w:r w:rsidRPr="00D822CC">
              <w:rPr>
                <w:rFonts w:cs="Arial"/>
                <w:sz w:val="40"/>
              </w:rPr>
              <w:t>Clinical Guideline for:</w:t>
            </w:r>
          </w:p>
          <w:p w:rsidR="001721D6" w:rsidRPr="00C51CC2" w:rsidRDefault="00C51CC2" w:rsidP="00C51CC2">
            <w:pPr>
              <w:tabs>
                <w:tab w:val="left" w:pos="3200"/>
              </w:tabs>
              <w:jc w:val="center"/>
              <w:rPr>
                <w:rFonts w:cs="Calibri"/>
                <w:b/>
                <w:sz w:val="28"/>
              </w:rPr>
            </w:pPr>
            <w:r w:rsidRPr="00B932B5">
              <w:rPr>
                <w:rFonts w:cs="Calibri"/>
                <w:b/>
                <w:sz w:val="28"/>
              </w:rPr>
              <w:t xml:space="preserve">Pre-operative </w:t>
            </w:r>
            <w:r>
              <w:rPr>
                <w:rFonts w:cs="Calibri"/>
                <w:b/>
                <w:sz w:val="28"/>
              </w:rPr>
              <w:t>S</w:t>
            </w:r>
            <w:r w:rsidRPr="00B932B5">
              <w:rPr>
                <w:rFonts w:cs="Calibri"/>
                <w:b/>
                <w:sz w:val="28"/>
              </w:rPr>
              <w:t xml:space="preserve">edation </w:t>
            </w:r>
            <w:r w:rsidRPr="007A4E67">
              <w:rPr>
                <w:rFonts w:cs="Calibri"/>
                <w:b/>
                <w:sz w:val="28"/>
              </w:rPr>
              <w:t>Guideline</w:t>
            </w:r>
            <w:r w:rsidRPr="00806585">
              <w:rPr>
                <w:rFonts w:cs="Calibri"/>
                <w:b/>
                <w:sz w:val="28"/>
              </w:rPr>
              <w:t xml:space="preserve"> for </w:t>
            </w:r>
            <w:r>
              <w:rPr>
                <w:rFonts w:cs="Calibri"/>
                <w:b/>
                <w:sz w:val="28"/>
              </w:rPr>
              <w:t>C</w:t>
            </w:r>
            <w:r w:rsidRPr="00806585">
              <w:rPr>
                <w:rFonts w:cs="Calibri"/>
                <w:b/>
                <w:sz w:val="28"/>
              </w:rPr>
              <w:t xml:space="preserve">hildren and </w:t>
            </w:r>
            <w:r>
              <w:rPr>
                <w:rFonts w:cs="Calibri"/>
                <w:b/>
                <w:sz w:val="28"/>
              </w:rPr>
              <w:t>A</w:t>
            </w:r>
            <w:r w:rsidRPr="00806585">
              <w:rPr>
                <w:rFonts w:cs="Calibri"/>
                <w:b/>
                <w:sz w:val="28"/>
              </w:rPr>
              <w:t xml:space="preserve">dults with </w:t>
            </w:r>
            <w:r>
              <w:rPr>
                <w:rFonts w:cs="Calibri"/>
                <w:b/>
                <w:sz w:val="28"/>
              </w:rPr>
              <w:t>L</w:t>
            </w:r>
            <w:r w:rsidRPr="00806585">
              <w:rPr>
                <w:rFonts w:cs="Calibri"/>
                <w:b/>
                <w:sz w:val="28"/>
              </w:rPr>
              <w:t xml:space="preserve">earning </w:t>
            </w:r>
            <w:r>
              <w:rPr>
                <w:rFonts w:cs="Calibri"/>
                <w:b/>
                <w:sz w:val="28"/>
              </w:rPr>
              <w:t>Disabilities</w:t>
            </w:r>
            <w:r w:rsidR="00EB4BE8">
              <w:rPr>
                <w:rFonts w:cs="Calibri"/>
                <w:b/>
                <w:sz w:val="28"/>
              </w:rPr>
              <w:t>: Northern Services</w:t>
            </w:r>
          </w:p>
        </w:tc>
      </w:tr>
    </w:tbl>
    <w:p w:rsidR="00D822CC" w:rsidRPr="00D822CC" w:rsidRDefault="00D822CC" w:rsidP="00D822CC">
      <w:pPr>
        <w:contextualSpacing/>
        <w:rPr>
          <w:rFonts w:cs="Arial"/>
          <w:b/>
          <w:sz w:val="32"/>
          <w:szCs w:val="24"/>
        </w:rPr>
      </w:pPr>
      <w:r w:rsidRPr="00D822CC">
        <w:rPr>
          <w:rFonts w:cs="Arial"/>
          <w:b/>
          <w:sz w:val="32"/>
          <w:szCs w:val="24"/>
        </w:rPr>
        <w:t>SUMMARY</w:t>
      </w:r>
    </w:p>
    <w:tbl>
      <w:tblPr>
        <w:tblStyle w:val="TableGrid1"/>
        <w:tblW w:w="0" w:type="auto"/>
        <w:tblLook w:val="04A0" w:firstRow="1" w:lastRow="0" w:firstColumn="1" w:lastColumn="0" w:noHBand="0" w:noVBand="1"/>
      </w:tblPr>
      <w:tblGrid>
        <w:gridCol w:w="9016"/>
      </w:tblGrid>
      <w:tr w:rsidR="00D822CC" w:rsidRPr="00D822CC" w:rsidTr="009F10FE">
        <w:tc>
          <w:tcPr>
            <w:tcW w:w="9242" w:type="dxa"/>
          </w:tcPr>
          <w:p w:rsidR="00D822CC" w:rsidRPr="00D822CC" w:rsidRDefault="001C49ED" w:rsidP="001C49ED">
            <w:pPr>
              <w:pStyle w:val="NDHTBodyText"/>
              <w:ind w:left="0" w:firstLine="0"/>
              <w:rPr>
                <w:rFonts w:cs="Arial"/>
                <w:szCs w:val="24"/>
              </w:rPr>
            </w:pPr>
            <w:r w:rsidRPr="00782E5D">
              <w:t>The</w:t>
            </w:r>
            <w:r>
              <w:t xml:space="preserve"> purpose of this document is to improve the prescribing and administration of sedative drugs used before general anaesthesia in children and adults with learning disabilities and challenging behaviour. </w:t>
            </w:r>
          </w:p>
        </w:tc>
      </w:tr>
    </w:tbl>
    <w:p w:rsidR="00D822CC" w:rsidRPr="00D822CC" w:rsidRDefault="00D822CC" w:rsidP="00D822CC">
      <w:pPr>
        <w:contextualSpacing/>
        <w:rPr>
          <w:rFonts w:cs="Arial"/>
          <w:b/>
          <w:sz w:val="32"/>
          <w:szCs w:val="24"/>
        </w:rPr>
      </w:pPr>
      <w:r w:rsidRPr="00D822CC">
        <w:rPr>
          <w:rFonts w:cs="Arial"/>
          <w:b/>
          <w:sz w:val="32"/>
          <w:szCs w:val="24"/>
        </w:rPr>
        <w:t>KEY POINTS</w:t>
      </w:r>
    </w:p>
    <w:tbl>
      <w:tblPr>
        <w:tblStyle w:val="TableGrid1"/>
        <w:tblW w:w="0" w:type="auto"/>
        <w:tblLook w:val="04A0" w:firstRow="1" w:lastRow="0" w:firstColumn="1" w:lastColumn="0" w:noHBand="0" w:noVBand="1"/>
      </w:tblPr>
      <w:tblGrid>
        <w:gridCol w:w="9016"/>
      </w:tblGrid>
      <w:tr w:rsidR="00D822CC" w:rsidRPr="00D822CC" w:rsidTr="00B455FF">
        <w:trPr>
          <w:trHeight w:val="8051"/>
        </w:trPr>
        <w:tc>
          <w:tcPr>
            <w:tcW w:w="9180" w:type="dxa"/>
          </w:tcPr>
          <w:p w:rsidR="00D822CC" w:rsidRPr="00331633" w:rsidRDefault="00D822CC" w:rsidP="00D822CC">
            <w:pPr>
              <w:contextualSpacing/>
              <w:rPr>
                <w:rFonts w:cs="Arial"/>
                <w:i/>
                <w:color w:val="FF0000"/>
              </w:rPr>
            </w:pPr>
          </w:p>
          <w:p w:rsidR="00503600" w:rsidRDefault="00503600" w:rsidP="00503600">
            <w:pPr>
              <w:pStyle w:val="NDHTBodyText"/>
              <w:numPr>
                <w:ilvl w:val="0"/>
                <w:numId w:val="5"/>
              </w:numPr>
            </w:pPr>
            <w:r>
              <w:t xml:space="preserve">The aim is to improve the use of sedative drugs in these groups and can be combined with other techniques to reduce pre-operative anxiety. </w:t>
            </w:r>
          </w:p>
          <w:p w:rsidR="00503600" w:rsidRPr="003B0FA2" w:rsidRDefault="00503600" w:rsidP="00503600">
            <w:pPr>
              <w:pStyle w:val="NDHTBodyText"/>
              <w:numPr>
                <w:ilvl w:val="0"/>
                <w:numId w:val="5"/>
              </w:numPr>
            </w:pPr>
            <w:r w:rsidRPr="003B0FA2">
              <w:t xml:space="preserve">The guideline will ensure that the administration of sedative drugs used before general anaesthesia in adults with learning disabilities are given in line with current legislation in regard to capacity and consent. </w:t>
            </w:r>
          </w:p>
          <w:p w:rsidR="00503600" w:rsidRDefault="00503600" w:rsidP="00503600">
            <w:pPr>
              <w:pStyle w:val="NDHTBodyText"/>
              <w:numPr>
                <w:ilvl w:val="0"/>
                <w:numId w:val="5"/>
              </w:numPr>
            </w:pPr>
            <w:r>
              <w:t>The unfamiliar and threatening environment of the operating theatre can cause extreme anxiety in children and in particular children and adults with learning disabilities. The aim of preoperative sedation is to achieve a state of conscious sedation that facilitates the safe conduct of General Anaesthesia without the need to use physical restraint.</w:t>
            </w:r>
          </w:p>
          <w:p w:rsidR="00503600" w:rsidRDefault="00503600" w:rsidP="00503600">
            <w:pPr>
              <w:pStyle w:val="NDHTBodyText"/>
              <w:numPr>
                <w:ilvl w:val="0"/>
                <w:numId w:val="5"/>
              </w:numPr>
            </w:pPr>
            <w:r>
              <w:t>The guideline applies to Anaesthetists and Nursing Staff involved in preparing patients for General Anaesthesia. The area most often affected is Day Surgery but this can also apply to inpatients on a General Ward or Intensive care.</w:t>
            </w:r>
            <w:r w:rsidRPr="00782E5D">
              <w:t xml:space="preserve"> </w:t>
            </w:r>
          </w:p>
          <w:p w:rsidR="00503600" w:rsidRPr="00782E5D" w:rsidRDefault="00503600" w:rsidP="00503600">
            <w:pPr>
              <w:pStyle w:val="NDHTBodyText"/>
              <w:numPr>
                <w:ilvl w:val="0"/>
                <w:numId w:val="5"/>
              </w:numPr>
            </w:pPr>
            <w:r w:rsidRPr="00782E5D">
              <w:t>Implementation</w:t>
            </w:r>
            <w:r>
              <w:t xml:space="preserve"> of this guideline will ensure</w:t>
            </w:r>
            <w:r w:rsidRPr="00782E5D">
              <w:t>:</w:t>
            </w:r>
          </w:p>
          <w:p w:rsidR="00503600" w:rsidRDefault="00503600" w:rsidP="00503600">
            <w:pPr>
              <w:pStyle w:val="NDHTBullet1"/>
              <w:numPr>
                <w:ilvl w:val="0"/>
                <w:numId w:val="5"/>
              </w:numPr>
            </w:pPr>
            <w:r>
              <w:t xml:space="preserve">Safe </w:t>
            </w:r>
            <w:r w:rsidRPr="00F975DD">
              <w:t xml:space="preserve">prescribing and administration of sedative drugs used before general anaesthesia in children and adults with learning </w:t>
            </w:r>
            <w:r>
              <w:t>disabilities</w:t>
            </w:r>
            <w:r w:rsidRPr="00F975DD">
              <w:t xml:space="preserve"> and challenging behaviour</w:t>
            </w:r>
            <w:r>
              <w:t>.</w:t>
            </w:r>
            <w:r w:rsidRPr="00937ADC">
              <w:t xml:space="preserve"> </w:t>
            </w:r>
          </w:p>
          <w:p w:rsidR="00503600" w:rsidRDefault="00503600" w:rsidP="00503600">
            <w:pPr>
              <w:pStyle w:val="NDHTBullet1"/>
              <w:numPr>
                <w:ilvl w:val="0"/>
                <w:numId w:val="5"/>
              </w:numPr>
            </w:pPr>
            <w:r>
              <w:t xml:space="preserve">A standardised approach in the use of premedication/sedation for children, adults and patients with learning disabilities. </w:t>
            </w:r>
          </w:p>
          <w:p w:rsidR="00D822CC" w:rsidRPr="00D822CC" w:rsidRDefault="00D822CC" w:rsidP="00D822CC">
            <w:pPr>
              <w:contextualSpacing/>
              <w:rPr>
                <w:rFonts w:cs="Arial"/>
              </w:rPr>
            </w:pPr>
          </w:p>
          <w:p w:rsidR="00D822CC" w:rsidRPr="00D822CC" w:rsidRDefault="00D822CC" w:rsidP="00D822CC">
            <w:pPr>
              <w:contextualSpacing/>
              <w:rPr>
                <w:rFonts w:cs="Arial"/>
              </w:rPr>
            </w:pPr>
          </w:p>
          <w:p w:rsidR="00D822CC" w:rsidRPr="00D822CC" w:rsidRDefault="00D822CC" w:rsidP="00D822CC">
            <w:pPr>
              <w:contextualSpacing/>
              <w:rPr>
                <w:rFonts w:cs="Arial"/>
              </w:rPr>
            </w:pPr>
          </w:p>
        </w:tc>
      </w:tr>
    </w:tbl>
    <w:p w:rsidR="001721D6" w:rsidRDefault="001721D6" w:rsidP="00D822CC">
      <w:pPr>
        <w:rPr>
          <w:rFonts w:cs="Arial"/>
        </w:rPr>
      </w:pPr>
    </w:p>
    <w:p w:rsidR="001721D6" w:rsidRDefault="001721D6">
      <w:pPr>
        <w:spacing w:after="200"/>
        <w:rPr>
          <w:rFonts w:cs="Arial"/>
        </w:rPr>
      </w:pPr>
      <w:r>
        <w:rPr>
          <w:rFonts w:cs="Arial"/>
        </w:rPr>
        <w:br w:type="page"/>
      </w:r>
    </w:p>
    <w:p w:rsidR="00D822CC" w:rsidRPr="00D822CC" w:rsidRDefault="00D822CC" w:rsidP="00D822CC">
      <w:pPr>
        <w:rPr>
          <w:rFonts w:cs="Arial"/>
        </w:rPr>
      </w:pPr>
    </w:p>
    <w:p w:rsidR="00D822CC" w:rsidRPr="00D822CC" w:rsidRDefault="00D822CC" w:rsidP="00D822CC">
      <w:pPr>
        <w:keepNext/>
        <w:keepLines/>
        <w:spacing w:before="140" w:line="240" w:lineRule="auto"/>
        <w:jc w:val="center"/>
        <w:rPr>
          <w:rFonts w:eastAsiaTheme="majorEastAsia" w:cs="Arial"/>
          <w:b/>
          <w:bCs/>
          <w:sz w:val="32"/>
          <w:szCs w:val="28"/>
          <w:lang w:val="en-US" w:eastAsia="ja-JP"/>
        </w:rPr>
      </w:pPr>
      <w:r w:rsidRPr="00D822CC">
        <w:rPr>
          <w:rFonts w:eastAsiaTheme="majorEastAsia" w:cs="Arial"/>
          <w:b/>
          <w:bCs/>
          <w:sz w:val="32"/>
          <w:szCs w:val="28"/>
          <w:lang w:val="en-US" w:eastAsia="ja-JP"/>
        </w:rPr>
        <w:t>CONTENTS</w:t>
      </w:r>
    </w:p>
    <w:p w:rsidR="00D822CC" w:rsidRPr="00D822CC" w:rsidRDefault="00D822CC" w:rsidP="00D822CC">
      <w:pPr>
        <w:rPr>
          <w:lang w:val="en-US" w:eastAsia="ja-JP"/>
        </w:rPr>
      </w:pPr>
    </w:p>
    <w:p w:rsidR="00D822CC" w:rsidRPr="00415889" w:rsidRDefault="00D822CC" w:rsidP="00D822CC">
      <w:pPr>
        <w:tabs>
          <w:tab w:val="right" w:leader="dot" w:pos="9026"/>
        </w:tabs>
        <w:spacing w:after="100"/>
        <w:rPr>
          <w:rFonts w:cs="Arial"/>
          <w:sz w:val="24"/>
          <w:szCs w:val="24"/>
        </w:rPr>
      </w:pPr>
      <w:r w:rsidRPr="00415889">
        <w:rPr>
          <w:rFonts w:cs="Arial"/>
          <w:b/>
          <w:bCs/>
          <w:sz w:val="24"/>
          <w:szCs w:val="24"/>
        </w:rPr>
        <w:t>1.  INTRODUCTION</w:t>
      </w:r>
      <w:r w:rsidRPr="00415889">
        <w:rPr>
          <w:rFonts w:cs="Arial"/>
          <w:b/>
          <w:sz w:val="24"/>
          <w:szCs w:val="24"/>
        </w:rPr>
        <w:tab/>
        <w:t>#</w:t>
      </w:r>
    </w:p>
    <w:p w:rsidR="00D822CC" w:rsidRPr="00415889" w:rsidRDefault="00D822CC" w:rsidP="00D822CC">
      <w:pPr>
        <w:tabs>
          <w:tab w:val="right" w:leader="dot" w:pos="9026"/>
        </w:tabs>
        <w:spacing w:after="100"/>
        <w:rPr>
          <w:rFonts w:cs="Arial"/>
          <w:sz w:val="24"/>
          <w:szCs w:val="24"/>
        </w:rPr>
      </w:pPr>
      <w:r w:rsidRPr="00415889">
        <w:rPr>
          <w:rFonts w:cs="Arial"/>
          <w:b/>
          <w:bCs/>
          <w:sz w:val="24"/>
          <w:szCs w:val="24"/>
        </w:rPr>
        <w:t>2.  BACKGROUND</w:t>
      </w:r>
      <w:r w:rsidRPr="00415889">
        <w:rPr>
          <w:rFonts w:cs="Arial"/>
          <w:b/>
          <w:sz w:val="24"/>
          <w:szCs w:val="24"/>
        </w:rPr>
        <w:tab/>
        <w:t>#</w:t>
      </w:r>
    </w:p>
    <w:p w:rsidR="00D822CC" w:rsidRPr="00415889" w:rsidRDefault="00D822CC" w:rsidP="00D822CC">
      <w:pPr>
        <w:tabs>
          <w:tab w:val="right" w:leader="dot" w:pos="9026"/>
        </w:tabs>
        <w:spacing w:after="100"/>
        <w:rPr>
          <w:rFonts w:cs="Arial"/>
          <w:sz w:val="24"/>
          <w:szCs w:val="24"/>
        </w:rPr>
      </w:pPr>
      <w:r w:rsidRPr="00415889">
        <w:rPr>
          <w:rFonts w:cs="Arial"/>
          <w:b/>
          <w:bCs/>
          <w:sz w:val="24"/>
          <w:szCs w:val="24"/>
        </w:rPr>
        <w:t xml:space="preserve">3.  DEFINITIONS </w:t>
      </w:r>
      <w:r w:rsidRPr="00415889">
        <w:rPr>
          <w:rFonts w:cs="Arial"/>
          <w:b/>
          <w:bCs/>
          <w:sz w:val="24"/>
          <w:szCs w:val="24"/>
        </w:rPr>
        <w:tab/>
        <w:t>#</w:t>
      </w:r>
    </w:p>
    <w:p w:rsidR="00D822CC" w:rsidRPr="00415889" w:rsidRDefault="00D822CC" w:rsidP="00D822CC">
      <w:pPr>
        <w:tabs>
          <w:tab w:val="right" w:leader="dot" w:pos="9026"/>
        </w:tabs>
        <w:spacing w:after="100"/>
        <w:rPr>
          <w:rFonts w:cs="Arial"/>
          <w:sz w:val="24"/>
          <w:szCs w:val="24"/>
        </w:rPr>
      </w:pPr>
      <w:r w:rsidRPr="00415889">
        <w:rPr>
          <w:rFonts w:cs="Arial"/>
          <w:b/>
          <w:bCs/>
          <w:sz w:val="24"/>
          <w:szCs w:val="24"/>
        </w:rPr>
        <w:t>4.  MAIN BODY OF GUIDELINE</w:t>
      </w:r>
      <w:r w:rsidRPr="00415889">
        <w:rPr>
          <w:rFonts w:cs="Arial"/>
          <w:b/>
          <w:bCs/>
          <w:sz w:val="24"/>
          <w:szCs w:val="24"/>
        </w:rPr>
        <w:tab/>
        <w:t>#</w:t>
      </w:r>
    </w:p>
    <w:p w:rsidR="00D822CC" w:rsidRPr="00415889" w:rsidRDefault="00D822CC" w:rsidP="00D822CC">
      <w:pPr>
        <w:tabs>
          <w:tab w:val="right" w:leader="dot" w:pos="9026"/>
        </w:tabs>
        <w:spacing w:after="100"/>
        <w:ind w:left="216"/>
        <w:rPr>
          <w:rFonts w:cs="Arial"/>
          <w:b/>
          <w:sz w:val="24"/>
          <w:szCs w:val="24"/>
        </w:rPr>
      </w:pPr>
      <w:r w:rsidRPr="00415889">
        <w:rPr>
          <w:rFonts w:cs="Arial"/>
          <w:sz w:val="24"/>
          <w:szCs w:val="24"/>
        </w:rPr>
        <w:t xml:space="preserve"> </w:t>
      </w:r>
      <w:r w:rsidRPr="00415889">
        <w:rPr>
          <w:rFonts w:cs="Arial"/>
          <w:b/>
          <w:sz w:val="24"/>
          <w:szCs w:val="24"/>
        </w:rPr>
        <w:t>Type chapter title (level 2)</w:t>
      </w:r>
      <w:r w:rsidRPr="00415889">
        <w:rPr>
          <w:rFonts w:cs="Arial"/>
          <w:b/>
          <w:sz w:val="24"/>
          <w:szCs w:val="24"/>
        </w:rPr>
        <w:tab/>
        <w:t>#</w:t>
      </w:r>
    </w:p>
    <w:p w:rsidR="00D822CC" w:rsidRPr="00415889" w:rsidRDefault="00D822CC" w:rsidP="00D822CC">
      <w:pPr>
        <w:tabs>
          <w:tab w:val="right" w:leader="dot" w:pos="9026"/>
        </w:tabs>
        <w:spacing w:after="100"/>
        <w:ind w:left="446"/>
        <w:rPr>
          <w:rFonts w:cs="Arial"/>
          <w:sz w:val="24"/>
          <w:szCs w:val="24"/>
        </w:rPr>
      </w:pPr>
      <w:r w:rsidRPr="00415889">
        <w:rPr>
          <w:rFonts w:cs="Arial"/>
          <w:b/>
          <w:sz w:val="24"/>
          <w:szCs w:val="24"/>
        </w:rPr>
        <w:t xml:space="preserve"> Type chapter title (level 3)</w:t>
      </w:r>
      <w:r w:rsidRPr="00415889">
        <w:rPr>
          <w:rFonts w:cs="Arial"/>
          <w:sz w:val="24"/>
          <w:szCs w:val="24"/>
        </w:rPr>
        <w:tab/>
        <w:t>#</w:t>
      </w:r>
    </w:p>
    <w:p w:rsidR="00D822CC" w:rsidRPr="00415889" w:rsidRDefault="00D822CC" w:rsidP="00D822CC">
      <w:pPr>
        <w:tabs>
          <w:tab w:val="right" w:leader="dot" w:pos="9026"/>
        </w:tabs>
        <w:spacing w:after="100"/>
        <w:rPr>
          <w:rFonts w:cs="Arial"/>
          <w:b/>
          <w:bCs/>
          <w:sz w:val="24"/>
          <w:szCs w:val="24"/>
        </w:rPr>
      </w:pPr>
      <w:r w:rsidRPr="00415889">
        <w:rPr>
          <w:rFonts w:cs="Arial"/>
          <w:b/>
          <w:bCs/>
          <w:sz w:val="24"/>
          <w:szCs w:val="24"/>
        </w:rPr>
        <w:t xml:space="preserve">5.  </w:t>
      </w:r>
      <w:r w:rsidR="00077423">
        <w:rPr>
          <w:rFonts w:cs="Arial"/>
          <w:b/>
          <w:bCs/>
          <w:sz w:val="24"/>
          <w:szCs w:val="24"/>
        </w:rPr>
        <w:t>MONITORING COMPLIANCE WITH THIS GUIDELINE</w:t>
      </w:r>
      <w:r w:rsidRPr="00415889">
        <w:rPr>
          <w:rFonts w:cs="Arial"/>
          <w:b/>
          <w:bCs/>
          <w:sz w:val="24"/>
          <w:szCs w:val="24"/>
        </w:rPr>
        <w:tab/>
        <w:t>#</w:t>
      </w:r>
    </w:p>
    <w:p w:rsidR="00D822CC" w:rsidRPr="00415889" w:rsidRDefault="00D822CC" w:rsidP="00D822CC">
      <w:pPr>
        <w:tabs>
          <w:tab w:val="right" w:leader="dot" w:pos="9026"/>
        </w:tabs>
        <w:spacing w:after="100"/>
        <w:rPr>
          <w:rFonts w:cs="Arial"/>
          <w:sz w:val="24"/>
          <w:szCs w:val="24"/>
        </w:rPr>
      </w:pPr>
      <w:r w:rsidRPr="00415889">
        <w:rPr>
          <w:rFonts w:cs="Arial"/>
          <w:b/>
          <w:bCs/>
          <w:sz w:val="24"/>
          <w:szCs w:val="24"/>
        </w:rPr>
        <w:t xml:space="preserve">6.  </w:t>
      </w:r>
      <w:r w:rsidR="00077423">
        <w:rPr>
          <w:rFonts w:cs="Arial"/>
          <w:b/>
          <w:bCs/>
          <w:sz w:val="24"/>
          <w:szCs w:val="24"/>
        </w:rPr>
        <w:t>ASSOCIATED CLINICAL GUIDELINES OR POLICIES/PROCEDURES</w:t>
      </w:r>
      <w:r w:rsidRPr="00415889">
        <w:rPr>
          <w:rFonts w:cs="Arial"/>
          <w:b/>
          <w:bCs/>
          <w:sz w:val="24"/>
          <w:szCs w:val="24"/>
        </w:rPr>
        <w:tab/>
        <w:t>#</w:t>
      </w:r>
    </w:p>
    <w:p w:rsidR="00D822CC" w:rsidRPr="00415889" w:rsidRDefault="00D822CC" w:rsidP="00D822CC">
      <w:pPr>
        <w:tabs>
          <w:tab w:val="right" w:leader="dot" w:pos="9026"/>
        </w:tabs>
        <w:spacing w:after="100"/>
        <w:rPr>
          <w:rFonts w:cs="Arial"/>
          <w:sz w:val="24"/>
          <w:szCs w:val="24"/>
        </w:rPr>
      </w:pPr>
      <w:r w:rsidRPr="00415889">
        <w:rPr>
          <w:rFonts w:cs="Arial"/>
          <w:b/>
          <w:bCs/>
          <w:sz w:val="24"/>
          <w:szCs w:val="24"/>
        </w:rPr>
        <w:t>7.  PUBLICATION DETAILS</w:t>
      </w:r>
      <w:r w:rsidRPr="00415889">
        <w:rPr>
          <w:rFonts w:cs="Arial"/>
          <w:b/>
          <w:bCs/>
          <w:sz w:val="24"/>
          <w:szCs w:val="24"/>
        </w:rPr>
        <w:tab/>
        <w:t>#</w:t>
      </w:r>
    </w:p>
    <w:p w:rsidR="00D822CC" w:rsidRPr="00D822CC" w:rsidRDefault="00D822CC" w:rsidP="00D822CC">
      <w:pPr>
        <w:rPr>
          <w:rFonts w:cs="Arial"/>
          <w:sz w:val="24"/>
          <w:lang w:val="en-US" w:eastAsia="ja-JP"/>
        </w:rPr>
      </w:pPr>
    </w:p>
    <w:p w:rsidR="00D822CC" w:rsidRPr="00D822CC" w:rsidRDefault="00D822CC" w:rsidP="00D822CC">
      <w:pPr>
        <w:rPr>
          <w:rFonts w:cs="Arial"/>
        </w:rPr>
      </w:pPr>
    </w:p>
    <w:p w:rsidR="00D822CC" w:rsidRPr="00D822CC" w:rsidRDefault="00D822CC" w:rsidP="00D822CC">
      <w:pPr>
        <w:rPr>
          <w:rFonts w:cs="Arial"/>
        </w:rPr>
      </w:pPr>
    </w:p>
    <w:p w:rsidR="00D822CC" w:rsidRPr="00D822CC" w:rsidRDefault="00D822CC" w:rsidP="00D822CC">
      <w:pPr>
        <w:rPr>
          <w:rFonts w:cs="Arial"/>
        </w:rPr>
      </w:pPr>
    </w:p>
    <w:p w:rsidR="00D822CC" w:rsidRPr="00D822CC" w:rsidRDefault="00D822CC" w:rsidP="00D822CC">
      <w:pPr>
        <w:rPr>
          <w:rFonts w:cs="Arial"/>
        </w:rPr>
        <w:sectPr w:rsidR="00D822CC" w:rsidRPr="00D822CC">
          <w:headerReference w:type="default" r:id="rId7"/>
          <w:footerReference w:type="default" r:id="rId8"/>
          <w:pgSz w:w="11906" w:h="16838"/>
          <w:pgMar w:top="1440" w:right="1440" w:bottom="1440" w:left="1440" w:header="708" w:footer="708" w:gutter="0"/>
          <w:cols w:space="708"/>
          <w:docGrid w:linePitch="360"/>
        </w:sectPr>
      </w:pPr>
    </w:p>
    <w:p w:rsidR="00D822CC" w:rsidRPr="00415889" w:rsidRDefault="00D822CC" w:rsidP="004B14C6">
      <w:pPr>
        <w:pStyle w:val="Heading1"/>
        <w:rPr>
          <w:sz w:val="24"/>
          <w:szCs w:val="24"/>
        </w:rPr>
      </w:pPr>
      <w:bookmarkStart w:id="0" w:name="_Toc317778026"/>
      <w:r w:rsidRPr="00415889">
        <w:rPr>
          <w:sz w:val="24"/>
          <w:szCs w:val="24"/>
        </w:rPr>
        <w:lastRenderedPageBreak/>
        <w:t>1.</w:t>
      </w:r>
      <w:r w:rsidRPr="00415889">
        <w:rPr>
          <w:sz w:val="24"/>
          <w:szCs w:val="24"/>
        </w:rPr>
        <w:tab/>
        <w:t>INTRODUCTION</w:t>
      </w:r>
      <w:bookmarkEnd w:id="0"/>
      <w:r w:rsidRPr="00415889">
        <w:rPr>
          <w:sz w:val="24"/>
          <w:szCs w:val="24"/>
        </w:rPr>
        <w:t xml:space="preserve"> </w:t>
      </w:r>
    </w:p>
    <w:p w:rsidR="004B14C6" w:rsidRPr="00415889" w:rsidRDefault="004B14C6" w:rsidP="004B14C6">
      <w:pPr>
        <w:rPr>
          <w:sz w:val="24"/>
          <w:szCs w:val="24"/>
        </w:rPr>
      </w:pPr>
    </w:p>
    <w:p w:rsidR="005E0EB4" w:rsidRPr="00DF6F9D" w:rsidRDefault="00DF6F9D" w:rsidP="005E0EB4">
      <w:pPr>
        <w:pStyle w:val="ListParagraph"/>
        <w:numPr>
          <w:ilvl w:val="1"/>
          <w:numId w:val="2"/>
        </w:numPr>
        <w:rPr>
          <w:b/>
          <w:i/>
          <w:color w:val="FF0000"/>
          <w:sz w:val="24"/>
          <w:szCs w:val="24"/>
        </w:rPr>
      </w:pPr>
      <w:r w:rsidRPr="00DF6F9D">
        <w:rPr>
          <w:b/>
          <w:sz w:val="24"/>
          <w:szCs w:val="24"/>
        </w:rPr>
        <w:t xml:space="preserve">This clinical guideline is designed to provide advice, guidance and direction to staff whilst leaving room for professional judgement, and adaptation, to fit individual circumstances. </w:t>
      </w:r>
    </w:p>
    <w:p w:rsidR="00D822CC" w:rsidRDefault="00D822CC" w:rsidP="00D822CC">
      <w:pPr>
        <w:rPr>
          <w:sz w:val="24"/>
          <w:szCs w:val="24"/>
        </w:rPr>
      </w:pPr>
    </w:p>
    <w:p w:rsidR="00DF6F9D" w:rsidRDefault="00DF6F9D" w:rsidP="00DF6F9D">
      <w:pPr>
        <w:ind w:left="720" w:hanging="720"/>
        <w:rPr>
          <w:sz w:val="24"/>
          <w:szCs w:val="24"/>
        </w:rPr>
      </w:pPr>
      <w:r>
        <w:rPr>
          <w:sz w:val="24"/>
          <w:szCs w:val="24"/>
        </w:rPr>
        <w:t>1.2</w:t>
      </w:r>
      <w:r>
        <w:rPr>
          <w:sz w:val="24"/>
          <w:szCs w:val="24"/>
        </w:rPr>
        <w:tab/>
      </w:r>
      <w:r w:rsidR="00BB148C" w:rsidRPr="00782E5D">
        <w:t>The</w:t>
      </w:r>
      <w:r w:rsidR="00BB148C">
        <w:t xml:space="preserve"> purpose of this document is to improve the prescribing and administration of sedative drugs used before general anaesthesia in children and adults with learning disabilities and challenging behaviour.</w:t>
      </w:r>
    </w:p>
    <w:p w:rsidR="00DF6F9D" w:rsidRPr="00415889" w:rsidRDefault="00DF6F9D" w:rsidP="00DF6F9D">
      <w:pPr>
        <w:ind w:left="720" w:hanging="720"/>
        <w:rPr>
          <w:sz w:val="24"/>
          <w:szCs w:val="24"/>
        </w:rPr>
      </w:pPr>
    </w:p>
    <w:p w:rsidR="00D822CC" w:rsidRPr="00415889" w:rsidRDefault="00D822CC" w:rsidP="004B14C6">
      <w:pPr>
        <w:pStyle w:val="Heading1"/>
        <w:rPr>
          <w:sz w:val="24"/>
          <w:szCs w:val="24"/>
        </w:rPr>
      </w:pPr>
      <w:bookmarkStart w:id="1" w:name="_Toc317778027"/>
      <w:r w:rsidRPr="00415889">
        <w:rPr>
          <w:sz w:val="24"/>
          <w:szCs w:val="24"/>
        </w:rPr>
        <w:t>2.</w:t>
      </w:r>
      <w:r w:rsidRPr="00415889">
        <w:rPr>
          <w:sz w:val="24"/>
          <w:szCs w:val="24"/>
        </w:rPr>
        <w:tab/>
        <w:t>BACKGROUND</w:t>
      </w:r>
      <w:bookmarkEnd w:id="1"/>
    </w:p>
    <w:p w:rsidR="004B14C6" w:rsidRPr="00415889" w:rsidRDefault="004B14C6" w:rsidP="004B14C6">
      <w:pPr>
        <w:rPr>
          <w:sz w:val="24"/>
          <w:szCs w:val="24"/>
        </w:rPr>
      </w:pPr>
    </w:p>
    <w:p w:rsidR="00BB148C" w:rsidRDefault="00BB148C" w:rsidP="00BB148C">
      <w:pPr>
        <w:pStyle w:val="NDHTBodyText"/>
        <w:numPr>
          <w:ilvl w:val="1"/>
          <w:numId w:val="6"/>
        </w:numPr>
        <w:ind w:left="709" w:hanging="709"/>
        <w:rPr>
          <w:rFonts w:ascii="Times New Roman" w:hAnsi="Times New Roman" w:cs="Times New Roman"/>
        </w:rPr>
      </w:pPr>
      <w:r w:rsidRPr="00042CD5">
        <w:t>The advantages of a pre-med are that it can reduce both patient and carer anxiety therefore improving the overall experience, it can provide amnesia and may reduce behavioural changes post operatively</w:t>
      </w:r>
      <w:r>
        <w:t>.</w:t>
      </w:r>
    </w:p>
    <w:p w:rsidR="00BB148C" w:rsidRDefault="00BB148C" w:rsidP="00BB148C">
      <w:pPr>
        <w:pStyle w:val="NDHTBodyText"/>
        <w:numPr>
          <w:ilvl w:val="1"/>
          <w:numId w:val="6"/>
        </w:numPr>
        <w:ind w:left="709" w:hanging="709"/>
        <w:rPr>
          <w:rFonts w:ascii="Times New Roman" w:hAnsi="Times New Roman" w:cs="Times New Roman"/>
        </w:rPr>
      </w:pPr>
      <w:r w:rsidRPr="00042CD5">
        <w:t xml:space="preserve">The advantages must outweigh possible disadvantages that would include worsening anxiety associated with administration of the medication, paradoxical reactions that can be seen e.g. midazolam and the potentiation of sedative side effects of drugs such as opioids. </w:t>
      </w:r>
    </w:p>
    <w:p w:rsidR="00BB148C" w:rsidRDefault="00BB148C" w:rsidP="00BB148C">
      <w:pPr>
        <w:pStyle w:val="NDHTBodyText"/>
        <w:numPr>
          <w:ilvl w:val="1"/>
          <w:numId w:val="6"/>
        </w:numPr>
        <w:ind w:left="709" w:hanging="709"/>
        <w:rPr>
          <w:rFonts w:ascii="Times New Roman" w:hAnsi="Times New Roman" w:cs="Times New Roman"/>
        </w:rPr>
      </w:pPr>
      <w:r>
        <w:t xml:space="preserve">The 2010 NICE guideline, “Sedation for diagnostic and therapeutic procedures in children and young people” [3] has been developed to assist the multidisciplinary team when an anaesthetic is required for children or adults with challenging behaviour. </w:t>
      </w:r>
      <w:proofErr w:type="gramStart"/>
      <w:r>
        <w:t>However</w:t>
      </w:r>
      <w:proofErr w:type="gramEnd"/>
      <w:r>
        <w:t xml:space="preserve"> the guideline does not specify specific medications to help with sedation. </w:t>
      </w:r>
    </w:p>
    <w:p w:rsidR="00D822CC" w:rsidRPr="00BB148C" w:rsidRDefault="00BB148C" w:rsidP="00D822CC">
      <w:pPr>
        <w:pStyle w:val="NDHTBodyText"/>
        <w:numPr>
          <w:ilvl w:val="1"/>
          <w:numId w:val="6"/>
        </w:numPr>
        <w:spacing w:after="160"/>
        <w:ind w:left="720" w:hanging="720"/>
        <w:rPr>
          <w:rFonts w:cs="Arial"/>
          <w:szCs w:val="24"/>
        </w:rPr>
      </w:pPr>
      <w:r>
        <w:t xml:space="preserve">This guideline has been developed to provide clarity on selecting sedative medication and managing children or adults once the sedative medication has been administered. </w:t>
      </w:r>
    </w:p>
    <w:p w:rsidR="00BB148C" w:rsidRPr="00BB148C" w:rsidRDefault="00BB148C" w:rsidP="00BB148C">
      <w:pPr>
        <w:pStyle w:val="NDHTBodyText"/>
        <w:spacing w:after="160"/>
        <w:ind w:left="0" w:firstLine="0"/>
        <w:rPr>
          <w:rFonts w:cs="Arial"/>
          <w:szCs w:val="24"/>
        </w:rPr>
      </w:pPr>
    </w:p>
    <w:p w:rsidR="00D822CC" w:rsidRPr="00415889" w:rsidRDefault="00D822CC" w:rsidP="004B14C6">
      <w:pPr>
        <w:pStyle w:val="Heading1"/>
        <w:rPr>
          <w:sz w:val="24"/>
          <w:szCs w:val="24"/>
        </w:rPr>
      </w:pPr>
      <w:bookmarkStart w:id="2" w:name="_Toc317778028"/>
      <w:r w:rsidRPr="00415889">
        <w:rPr>
          <w:sz w:val="24"/>
          <w:szCs w:val="24"/>
        </w:rPr>
        <w:t>3.</w:t>
      </w:r>
      <w:r w:rsidRPr="00415889">
        <w:rPr>
          <w:sz w:val="24"/>
          <w:szCs w:val="24"/>
        </w:rPr>
        <w:tab/>
        <w:t>DEFINITIONS</w:t>
      </w:r>
      <w:bookmarkEnd w:id="2"/>
      <w:r w:rsidRPr="00415889">
        <w:rPr>
          <w:sz w:val="24"/>
          <w:szCs w:val="24"/>
        </w:rPr>
        <w:t xml:space="preserve"> </w:t>
      </w:r>
    </w:p>
    <w:p w:rsidR="004B14C6" w:rsidRPr="00415889" w:rsidRDefault="004B14C6" w:rsidP="004B14C6">
      <w:pPr>
        <w:rPr>
          <w:sz w:val="24"/>
          <w:szCs w:val="24"/>
        </w:rPr>
      </w:pPr>
    </w:p>
    <w:p w:rsidR="00453A87" w:rsidRDefault="00453A87" w:rsidP="00453A87">
      <w:pPr>
        <w:pStyle w:val="Heading2"/>
        <w:numPr>
          <w:ilvl w:val="1"/>
          <w:numId w:val="9"/>
        </w:numPr>
        <w:ind w:left="709" w:hanging="709"/>
        <w:rPr>
          <w:b w:val="0"/>
          <w:bCs w:val="0"/>
        </w:rPr>
      </w:pPr>
      <w:bookmarkStart w:id="3" w:name="_Toc111443931"/>
      <w:r w:rsidRPr="00453A87">
        <w:rPr>
          <w:b w:val="0"/>
          <w:bCs w:val="0"/>
        </w:rPr>
        <w:t>Learning Disability</w:t>
      </w:r>
      <w:bookmarkStart w:id="4" w:name="_Toc111443932"/>
      <w:bookmarkEnd w:id="3"/>
    </w:p>
    <w:p w:rsidR="00603D62" w:rsidRDefault="00603D62" w:rsidP="00603D62">
      <w:pPr>
        <w:pStyle w:val="NDHTBullet1"/>
        <w:numPr>
          <w:ilvl w:val="0"/>
          <w:numId w:val="10"/>
        </w:numPr>
      </w:pPr>
      <w:r>
        <w:t xml:space="preserve">According to the World Health Organisation ICD-10, a learning disability is a condition of arrested or incomplete development of the mind, with mild to profound impairment in cognition, language, motor and social skills [1]. </w:t>
      </w:r>
    </w:p>
    <w:p w:rsidR="00603D62" w:rsidRDefault="00603D62" w:rsidP="00603D62">
      <w:pPr>
        <w:pStyle w:val="NDHTBullet1"/>
        <w:numPr>
          <w:ilvl w:val="0"/>
          <w:numId w:val="10"/>
        </w:numPr>
      </w:pPr>
      <w:r>
        <w:t>People with a learning disability may take more time to understand complex information and co-operate with others</w:t>
      </w:r>
    </w:p>
    <w:p w:rsidR="00603D62" w:rsidRDefault="00603D62" w:rsidP="00603D62">
      <w:pPr>
        <w:pStyle w:val="NDHTBullet1"/>
        <w:numPr>
          <w:ilvl w:val="0"/>
          <w:numId w:val="10"/>
        </w:numPr>
      </w:pPr>
      <w:r>
        <w:t>The level of care depends upon individual factors, including both the severity and the nature of their disability.</w:t>
      </w:r>
    </w:p>
    <w:p w:rsidR="00603D62" w:rsidRPr="00603D62" w:rsidRDefault="00603D62" w:rsidP="00603D62"/>
    <w:p w:rsidR="00453A87" w:rsidRPr="00453A87" w:rsidRDefault="00453A87" w:rsidP="00453A87"/>
    <w:p w:rsidR="00453A87" w:rsidRPr="00603D62" w:rsidRDefault="00453A87" w:rsidP="00453A87">
      <w:pPr>
        <w:pStyle w:val="Heading2"/>
        <w:numPr>
          <w:ilvl w:val="1"/>
          <w:numId w:val="9"/>
        </w:numPr>
        <w:ind w:left="709" w:hanging="709"/>
        <w:rPr>
          <w:b w:val="0"/>
          <w:bCs w:val="0"/>
        </w:rPr>
      </w:pPr>
      <w:r w:rsidRPr="00603D62">
        <w:rPr>
          <w:b w:val="0"/>
          <w:bCs w:val="0"/>
        </w:rPr>
        <w:lastRenderedPageBreak/>
        <w:t>Sedation</w:t>
      </w:r>
      <w:bookmarkEnd w:id="4"/>
    </w:p>
    <w:p w:rsidR="00453A87" w:rsidRDefault="00453A87" w:rsidP="00453A87">
      <w:pPr>
        <w:pStyle w:val="NDHTBullet1"/>
      </w:pPr>
      <w:r>
        <w:t>The American Society of Anaesthesiologists defines the continuum of sedation as follows [2]:</w:t>
      </w:r>
    </w:p>
    <w:p w:rsidR="00453A87" w:rsidRDefault="00453A87" w:rsidP="00453A87">
      <w:pPr>
        <w:pStyle w:val="NDHTBullet2"/>
      </w:pPr>
      <w:r w:rsidRPr="005C10E9">
        <w:rPr>
          <w:b/>
        </w:rPr>
        <w:t>Minimal Sedation</w:t>
      </w:r>
      <w:r>
        <w:t xml:space="preserve"> - Normal response to verbal stimulation</w:t>
      </w:r>
    </w:p>
    <w:p w:rsidR="00453A87" w:rsidRDefault="00453A87" w:rsidP="00453A87">
      <w:pPr>
        <w:pStyle w:val="NDHTBullet2"/>
      </w:pPr>
      <w:r w:rsidRPr="005C10E9">
        <w:rPr>
          <w:b/>
        </w:rPr>
        <w:t>Moderate Sedation</w:t>
      </w:r>
      <w:r>
        <w:t xml:space="preserve"> - Purposeful response to verbal/tactile stimulation. (This is usually referred to as “conscious sedation”)</w:t>
      </w:r>
    </w:p>
    <w:p w:rsidR="00453A87" w:rsidRDefault="00453A87" w:rsidP="00453A87">
      <w:pPr>
        <w:pStyle w:val="NDHTBullet2"/>
      </w:pPr>
      <w:r w:rsidRPr="005C10E9">
        <w:rPr>
          <w:b/>
        </w:rPr>
        <w:t>Deep Sedation</w:t>
      </w:r>
      <w:r>
        <w:t xml:space="preserve"> – Purposeful response to repeated painful stimulation.</w:t>
      </w:r>
    </w:p>
    <w:p w:rsidR="00453A87" w:rsidRDefault="00453A87" w:rsidP="00453A87">
      <w:pPr>
        <w:pStyle w:val="NDHTBullet2"/>
      </w:pPr>
      <w:r w:rsidRPr="005C10E9">
        <w:rPr>
          <w:b/>
        </w:rPr>
        <w:t>General Anaesthesia</w:t>
      </w:r>
      <w:r>
        <w:t xml:space="preserve"> – No response even with painful stimulus.</w:t>
      </w:r>
    </w:p>
    <w:p w:rsidR="00D822CC" w:rsidRDefault="00453A87" w:rsidP="004B14C6">
      <w:pPr>
        <w:pStyle w:val="NDHTBullet2"/>
      </w:pPr>
      <w:r>
        <w:t>In the United Kingdom, deep sedation is considered to be part of the spectrum of general anaesthesia, as opposed to conscious sedation.</w:t>
      </w:r>
    </w:p>
    <w:p w:rsidR="00603D62" w:rsidRPr="00603D62" w:rsidRDefault="00603D62" w:rsidP="00603D62">
      <w:pPr>
        <w:pStyle w:val="NDHTBullet2"/>
        <w:numPr>
          <w:ilvl w:val="0"/>
          <w:numId w:val="0"/>
        </w:numPr>
        <w:ind w:left="1871"/>
      </w:pPr>
    </w:p>
    <w:p w:rsidR="00D822CC" w:rsidRPr="00415889" w:rsidRDefault="00D822CC" w:rsidP="004B14C6">
      <w:pPr>
        <w:pStyle w:val="Heading1"/>
        <w:rPr>
          <w:sz w:val="24"/>
          <w:szCs w:val="24"/>
        </w:rPr>
      </w:pPr>
      <w:bookmarkStart w:id="5" w:name="_Toc317778029"/>
      <w:r w:rsidRPr="00415889">
        <w:rPr>
          <w:sz w:val="24"/>
          <w:szCs w:val="24"/>
        </w:rPr>
        <w:t>4.</w:t>
      </w:r>
      <w:r w:rsidRPr="00415889">
        <w:rPr>
          <w:sz w:val="24"/>
          <w:szCs w:val="24"/>
        </w:rPr>
        <w:tab/>
        <w:t>MAIN BODY OF GUIDELINE</w:t>
      </w:r>
      <w:bookmarkEnd w:id="5"/>
      <w:r w:rsidRPr="00415889">
        <w:rPr>
          <w:sz w:val="24"/>
          <w:szCs w:val="24"/>
        </w:rPr>
        <w:t xml:space="preserve"> </w:t>
      </w:r>
    </w:p>
    <w:p w:rsidR="004B14C6" w:rsidRPr="00415889" w:rsidRDefault="004B14C6" w:rsidP="004B14C6">
      <w:pPr>
        <w:rPr>
          <w:sz w:val="24"/>
          <w:szCs w:val="24"/>
        </w:rPr>
      </w:pPr>
    </w:p>
    <w:p w:rsidR="00A832C2" w:rsidRDefault="00A832C2" w:rsidP="007E3546">
      <w:pPr>
        <w:pStyle w:val="Heading2"/>
        <w:numPr>
          <w:ilvl w:val="1"/>
          <w:numId w:val="14"/>
        </w:numPr>
        <w:ind w:left="851" w:hanging="851"/>
      </w:pPr>
      <w:bookmarkStart w:id="6" w:name="_Toc111443934"/>
      <w:bookmarkStart w:id="7" w:name="_Toc377722100"/>
      <w:r w:rsidRPr="00A832C2">
        <w:t>Role of the Anaesthetist</w:t>
      </w:r>
      <w:bookmarkEnd w:id="6"/>
      <w:r w:rsidRPr="00782E5D">
        <w:t xml:space="preserve">  </w:t>
      </w:r>
      <w:bookmarkStart w:id="8" w:name="_Toc111443935"/>
      <w:bookmarkStart w:id="9" w:name="_Toc377722101"/>
      <w:bookmarkEnd w:id="7"/>
    </w:p>
    <w:p w:rsidR="00A832C2" w:rsidRPr="00A832C2" w:rsidRDefault="00A832C2" w:rsidP="00A832C2">
      <w:pPr>
        <w:pStyle w:val="Heading2"/>
        <w:numPr>
          <w:ilvl w:val="0"/>
          <w:numId w:val="12"/>
        </w:numPr>
        <w:rPr>
          <w:b w:val="0"/>
          <w:bCs w:val="0"/>
        </w:rPr>
      </w:pPr>
      <w:r w:rsidRPr="00A832C2">
        <w:rPr>
          <w:b w:val="0"/>
          <w:bCs w:val="0"/>
        </w:rPr>
        <w:t>The Anaesthetist is responsible for:</w:t>
      </w:r>
    </w:p>
    <w:p w:rsidR="00A832C2" w:rsidRPr="00782E5D" w:rsidRDefault="00A832C2" w:rsidP="00A832C2">
      <w:pPr>
        <w:pStyle w:val="NDHTBullet1"/>
        <w:ind w:left="1843"/>
      </w:pPr>
      <w:r>
        <w:t>Ensuring that preoperative sedative medication is prescribed correctly on the appropriate prescription chart, and where possible in line with the current guideline.</w:t>
      </w:r>
    </w:p>
    <w:p w:rsidR="00A832C2" w:rsidRPr="00A832C2" w:rsidRDefault="00A832C2" w:rsidP="00A832C2">
      <w:pPr>
        <w:pStyle w:val="NDHTBullet1"/>
        <w:ind w:left="1843"/>
      </w:pPr>
      <w:r>
        <w:t>Ensuring that the patient is in a safe environment, parents or carers are aware of the effects of any sedation administered.</w:t>
      </w:r>
    </w:p>
    <w:p w:rsidR="00A832C2" w:rsidRPr="00A832C2" w:rsidRDefault="007E3546" w:rsidP="007E3546">
      <w:pPr>
        <w:pStyle w:val="Heading2"/>
      </w:pPr>
      <w:r>
        <w:t>4.2</w:t>
      </w:r>
      <w:r>
        <w:tab/>
      </w:r>
      <w:r w:rsidR="00A832C2" w:rsidRPr="00782E5D">
        <w:t xml:space="preserve">Role of </w:t>
      </w:r>
      <w:r w:rsidR="00A832C2">
        <w:t>the Nurse</w:t>
      </w:r>
      <w:bookmarkEnd w:id="8"/>
      <w:r w:rsidR="00A832C2">
        <w:t xml:space="preserve"> </w:t>
      </w:r>
      <w:bookmarkEnd w:id="9"/>
    </w:p>
    <w:p w:rsidR="00A832C2" w:rsidRPr="00782E5D" w:rsidRDefault="00A832C2" w:rsidP="00A832C2">
      <w:pPr>
        <w:pStyle w:val="NDHTBodyText"/>
        <w:numPr>
          <w:ilvl w:val="1"/>
          <w:numId w:val="3"/>
        </w:numPr>
        <w:ind w:left="1276" w:hanging="567"/>
      </w:pPr>
      <w:r w:rsidRPr="00782E5D">
        <w:t xml:space="preserve">The </w:t>
      </w:r>
      <w:r>
        <w:t>designated Nurse</w:t>
      </w:r>
      <w:r w:rsidRPr="00782E5D">
        <w:t xml:space="preserve"> is responsible for:</w:t>
      </w:r>
    </w:p>
    <w:p w:rsidR="00A832C2" w:rsidRPr="00782E5D" w:rsidRDefault="00A832C2" w:rsidP="00A832C2">
      <w:pPr>
        <w:pStyle w:val="NDHTBullet1"/>
        <w:ind w:left="1843"/>
      </w:pPr>
      <w:r>
        <w:t>Checking the prescription and preparing the sedative premedication.</w:t>
      </w:r>
    </w:p>
    <w:p w:rsidR="00A832C2" w:rsidRDefault="00A832C2" w:rsidP="00A832C2">
      <w:pPr>
        <w:pStyle w:val="NDHTBullet1"/>
        <w:ind w:left="1843"/>
      </w:pPr>
      <w:r w:rsidRPr="003B0FA2">
        <w:t>Ensuring that</w:t>
      </w:r>
      <w:r w:rsidRPr="00782E5D">
        <w:t xml:space="preserve"> </w:t>
      </w:r>
      <w:r>
        <w:t>the premedication is safely and effectively administered.</w:t>
      </w:r>
    </w:p>
    <w:p w:rsidR="00A832C2" w:rsidRDefault="00A832C2" w:rsidP="00A832C2">
      <w:pPr>
        <w:pStyle w:val="NDHTBullet1"/>
        <w:ind w:left="1843"/>
      </w:pPr>
      <w:r>
        <w:t>Communicate directly with the prescribing Anaesthetist if there are any problems with the prescription or administration of the drug/s.</w:t>
      </w:r>
    </w:p>
    <w:p w:rsidR="00A832C2" w:rsidRPr="00782E5D" w:rsidRDefault="00A832C2" w:rsidP="00A832C2">
      <w:pPr>
        <w:pStyle w:val="NDHTBullet1"/>
        <w:ind w:left="1843"/>
      </w:pPr>
      <w:r>
        <w:t>Maintaining a safe environment for the patient once sedation is administered which will include appropriate positioning and monitoring to avoid falls and unrecognised hypoxia.</w:t>
      </w:r>
    </w:p>
    <w:p w:rsidR="00A832C2" w:rsidRDefault="00A832C2" w:rsidP="004E1ABD">
      <w:pPr>
        <w:pStyle w:val="Heading2"/>
        <w:numPr>
          <w:ilvl w:val="1"/>
          <w:numId w:val="15"/>
        </w:numPr>
        <w:ind w:left="709" w:hanging="709"/>
      </w:pPr>
      <w:r>
        <w:t>Patients Requiring Sedation</w:t>
      </w:r>
    </w:p>
    <w:p w:rsidR="004E1ABD" w:rsidRDefault="00A832C2" w:rsidP="004E1ABD">
      <w:pPr>
        <w:pStyle w:val="Heading2"/>
        <w:numPr>
          <w:ilvl w:val="1"/>
          <w:numId w:val="3"/>
        </w:numPr>
        <w:rPr>
          <w:b w:val="0"/>
          <w:bCs w:val="0"/>
        </w:rPr>
      </w:pPr>
      <w:r w:rsidRPr="00A832C2">
        <w:rPr>
          <w:b w:val="0"/>
          <w:bCs w:val="0"/>
        </w:rPr>
        <w:t xml:space="preserve">Children or adults with special educational or behavioural needs e.g. Autism, </w:t>
      </w:r>
      <w:proofErr w:type="spellStart"/>
      <w:r w:rsidRPr="00A832C2">
        <w:rPr>
          <w:b w:val="0"/>
          <w:bCs w:val="0"/>
        </w:rPr>
        <w:t>Aspergers</w:t>
      </w:r>
      <w:proofErr w:type="spellEnd"/>
      <w:r w:rsidRPr="00A832C2">
        <w:rPr>
          <w:b w:val="0"/>
          <w:bCs w:val="0"/>
        </w:rPr>
        <w:t xml:space="preserve">, Down’s syndrome </w:t>
      </w:r>
    </w:p>
    <w:p w:rsidR="004E1ABD" w:rsidRDefault="00A832C2" w:rsidP="004E1ABD">
      <w:pPr>
        <w:pStyle w:val="Heading2"/>
        <w:numPr>
          <w:ilvl w:val="1"/>
          <w:numId w:val="3"/>
        </w:numPr>
        <w:rPr>
          <w:b w:val="0"/>
          <w:bCs w:val="0"/>
        </w:rPr>
      </w:pPr>
      <w:r w:rsidRPr="004E1ABD">
        <w:rPr>
          <w:b w:val="0"/>
          <w:bCs w:val="0"/>
        </w:rPr>
        <w:t>Children having major surgery</w:t>
      </w:r>
    </w:p>
    <w:p w:rsidR="004E1ABD" w:rsidRDefault="00A832C2" w:rsidP="004E1ABD">
      <w:pPr>
        <w:pStyle w:val="Heading2"/>
        <w:numPr>
          <w:ilvl w:val="1"/>
          <w:numId w:val="3"/>
        </w:numPr>
        <w:rPr>
          <w:b w:val="0"/>
          <w:bCs w:val="0"/>
        </w:rPr>
      </w:pPr>
      <w:r w:rsidRPr="004E1ABD">
        <w:rPr>
          <w:b w:val="0"/>
          <w:bCs w:val="0"/>
        </w:rPr>
        <w:t xml:space="preserve">Children having repeated procedures </w:t>
      </w:r>
    </w:p>
    <w:p w:rsidR="004E1ABD" w:rsidRDefault="00A832C2" w:rsidP="004E1ABD">
      <w:pPr>
        <w:pStyle w:val="Heading2"/>
        <w:numPr>
          <w:ilvl w:val="1"/>
          <w:numId w:val="3"/>
        </w:numPr>
        <w:rPr>
          <w:b w:val="0"/>
          <w:bCs w:val="0"/>
        </w:rPr>
      </w:pPr>
      <w:r w:rsidRPr="004E1ABD">
        <w:rPr>
          <w:b w:val="0"/>
          <w:bCs w:val="0"/>
        </w:rPr>
        <w:t xml:space="preserve">Children who have had a previous bad experience of the hospital environment </w:t>
      </w:r>
    </w:p>
    <w:p w:rsidR="004E1ABD" w:rsidRDefault="00A832C2" w:rsidP="004E1ABD">
      <w:pPr>
        <w:pStyle w:val="Heading2"/>
        <w:numPr>
          <w:ilvl w:val="1"/>
          <w:numId w:val="3"/>
        </w:numPr>
        <w:rPr>
          <w:b w:val="0"/>
          <w:bCs w:val="0"/>
        </w:rPr>
      </w:pPr>
      <w:r w:rsidRPr="004E1ABD">
        <w:rPr>
          <w:b w:val="0"/>
          <w:bCs w:val="0"/>
        </w:rPr>
        <w:t>Children or adults with anxiety</w:t>
      </w:r>
    </w:p>
    <w:p w:rsidR="004E1ABD" w:rsidRDefault="00A832C2" w:rsidP="004E1ABD">
      <w:pPr>
        <w:pStyle w:val="Heading2"/>
        <w:numPr>
          <w:ilvl w:val="1"/>
          <w:numId w:val="3"/>
        </w:numPr>
        <w:rPr>
          <w:b w:val="0"/>
          <w:bCs w:val="0"/>
        </w:rPr>
      </w:pPr>
      <w:r w:rsidRPr="004E1ABD">
        <w:rPr>
          <w:b w:val="0"/>
          <w:bCs w:val="0"/>
        </w:rPr>
        <w:t>Children with past history of stormy anaesthetic induction or emergence</w:t>
      </w:r>
    </w:p>
    <w:p w:rsidR="00A832C2" w:rsidRPr="004E1ABD" w:rsidRDefault="00A832C2" w:rsidP="004E1ABD">
      <w:pPr>
        <w:pStyle w:val="Heading2"/>
        <w:numPr>
          <w:ilvl w:val="1"/>
          <w:numId w:val="3"/>
        </w:numPr>
        <w:rPr>
          <w:b w:val="0"/>
          <w:bCs w:val="0"/>
        </w:rPr>
      </w:pPr>
      <w:r w:rsidRPr="004E1ABD">
        <w:rPr>
          <w:b w:val="0"/>
          <w:bCs w:val="0"/>
        </w:rPr>
        <w:t xml:space="preserve">These children should be identified preoperatively and referred to the Reasonable Adjustments Pathway. </w:t>
      </w:r>
    </w:p>
    <w:p w:rsidR="00D822CC" w:rsidRPr="00415889" w:rsidRDefault="00D822CC" w:rsidP="005E0EB4">
      <w:pPr>
        <w:ind w:left="720" w:hanging="720"/>
        <w:rPr>
          <w:sz w:val="24"/>
          <w:szCs w:val="24"/>
        </w:rPr>
      </w:pPr>
    </w:p>
    <w:p w:rsidR="00F66058" w:rsidRDefault="00F66058" w:rsidP="00F66058">
      <w:pPr>
        <w:pStyle w:val="Heading1"/>
        <w:numPr>
          <w:ilvl w:val="1"/>
          <w:numId w:val="15"/>
        </w:numPr>
        <w:ind w:left="709" w:hanging="709"/>
      </w:pPr>
      <w:bookmarkStart w:id="10" w:name="_Toc111443938"/>
      <w:r>
        <w:lastRenderedPageBreak/>
        <w:t>Consent</w:t>
      </w:r>
      <w:bookmarkEnd w:id="10"/>
    </w:p>
    <w:p w:rsidR="00F66058" w:rsidRDefault="00F66058" w:rsidP="00F66058">
      <w:pPr>
        <w:pStyle w:val="NDHTBodyText"/>
        <w:numPr>
          <w:ilvl w:val="1"/>
          <w:numId w:val="16"/>
        </w:numPr>
      </w:pPr>
      <w:r w:rsidRPr="003B0FA2">
        <w:t>Where sedation is to be administered</w:t>
      </w:r>
      <w:r>
        <w:t xml:space="preserve">, informed </w:t>
      </w:r>
      <w:r w:rsidRPr="003B0FA2">
        <w:t xml:space="preserve">consent must be gained. </w:t>
      </w:r>
    </w:p>
    <w:p w:rsidR="00F66058" w:rsidRDefault="00F66058" w:rsidP="00F66058">
      <w:pPr>
        <w:pStyle w:val="NDHTBodyText"/>
        <w:numPr>
          <w:ilvl w:val="1"/>
          <w:numId w:val="16"/>
        </w:numPr>
      </w:pPr>
      <w:r w:rsidRPr="003B0FA2">
        <w:t xml:space="preserve">Where there is reason to doubt that the adult concerned has capacity to consent, a formal mental capacity assessment must be undertaken and recorded in the notes.  </w:t>
      </w:r>
    </w:p>
    <w:p w:rsidR="00F66058" w:rsidRDefault="00F66058" w:rsidP="00F66058">
      <w:pPr>
        <w:pStyle w:val="NDHTBodyText"/>
        <w:numPr>
          <w:ilvl w:val="1"/>
          <w:numId w:val="16"/>
        </w:numPr>
      </w:pPr>
      <w:r w:rsidRPr="003B0FA2">
        <w:t>If the adult is assessed as not having capacity, then a decision should be made in their best interests.  This should be the least restrictive optio</w:t>
      </w:r>
      <w:r>
        <w:t xml:space="preserve">n with reference given to local policy. </w:t>
      </w:r>
    </w:p>
    <w:p w:rsidR="00F66058" w:rsidRDefault="00F66058" w:rsidP="00F66058">
      <w:pPr>
        <w:pStyle w:val="NDHTBodyText"/>
        <w:numPr>
          <w:ilvl w:val="1"/>
          <w:numId w:val="16"/>
        </w:numPr>
      </w:pPr>
      <w:r>
        <w:t xml:space="preserve">If preoperative oral or intramuscular sedation is planned then a discussion must occur with the patient (if appropriate) and/or the parents and carers beforehand. This discussion must cover the indication for premedication, the risks and benefits and in case of failure the plan for ongoing management of the patient. This discussion must be documented. </w:t>
      </w:r>
    </w:p>
    <w:p w:rsidR="00F66058" w:rsidRPr="003B0FA2" w:rsidRDefault="00F66058" w:rsidP="00F66058">
      <w:pPr>
        <w:pStyle w:val="NDHTBodyText"/>
        <w:numPr>
          <w:ilvl w:val="1"/>
          <w:numId w:val="16"/>
        </w:numPr>
      </w:pPr>
      <w:r>
        <w:t xml:space="preserve">All children should be included in discussions regarding their health and treatment as much as possible given their level of comprehension. </w:t>
      </w:r>
    </w:p>
    <w:p w:rsidR="00F66058" w:rsidRPr="00693B6E" w:rsidRDefault="00F66058" w:rsidP="00F66058">
      <w:pPr>
        <w:pStyle w:val="Heading1"/>
        <w:numPr>
          <w:ilvl w:val="1"/>
          <w:numId w:val="15"/>
        </w:numPr>
        <w:ind w:left="709" w:hanging="709"/>
        <w:rPr>
          <w:rFonts w:ascii="Times New Roman" w:eastAsia="Times New Roman" w:hAnsi="Times New Roman"/>
          <w:sz w:val="24"/>
          <w:szCs w:val="24"/>
        </w:rPr>
      </w:pPr>
      <w:bookmarkStart w:id="11" w:name="_Toc111443939"/>
      <w:r>
        <w:rPr>
          <w:rFonts w:eastAsia="Times New Roman"/>
        </w:rPr>
        <w:t>Relative c</w:t>
      </w:r>
      <w:r w:rsidRPr="00693B6E">
        <w:rPr>
          <w:rFonts w:eastAsia="Times New Roman"/>
        </w:rPr>
        <w:t>ontraindications to sedative premedication:</w:t>
      </w:r>
      <w:bookmarkEnd w:id="11"/>
      <w:r w:rsidRPr="00693B6E">
        <w:rPr>
          <w:rFonts w:eastAsia="Times New Roman"/>
        </w:rPr>
        <w:t xml:space="preserve"> </w:t>
      </w:r>
    </w:p>
    <w:p w:rsidR="00F66058" w:rsidRPr="00693B6E" w:rsidRDefault="00F66058" w:rsidP="00F66058">
      <w:pPr>
        <w:pStyle w:val="NDHTBodyText"/>
        <w:numPr>
          <w:ilvl w:val="1"/>
          <w:numId w:val="17"/>
        </w:numPr>
        <w:rPr>
          <w:rFonts w:ascii="Times New Roman" w:hAnsi="Times New Roman" w:cs="Times New Roman"/>
        </w:rPr>
      </w:pPr>
      <w:r w:rsidRPr="00693B6E">
        <w:t xml:space="preserve">Anticipated difficult airway </w:t>
      </w:r>
    </w:p>
    <w:p w:rsidR="00F66058" w:rsidRPr="00693B6E" w:rsidRDefault="00F66058" w:rsidP="00F66058">
      <w:pPr>
        <w:pStyle w:val="NDHTBodyText"/>
        <w:numPr>
          <w:ilvl w:val="1"/>
          <w:numId w:val="17"/>
        </w:numPr>
        <w:rPr>
          <w:rFonts w:ascii="Times New Roman" w:hAnsi="Times New Roman" w:cs="Times New Roman"/>
        </w:rPr>
      </w:pPr>
      <w:r w:rsidRPr="00693B6E">
        <w:t xml:space="preserve">Increased aspiration risk </w:t>
      </w:r>
    </w:p>
    <w:p w:rsidR="00F66058" w:rsidRPr="00693B6E" w:rsidRDefault="00F66058" w:rsidP="00F66058">
      <w:pPr>
        <w:pStyle w:val="NDHTBodyText"/>
        <w:numPr>
          <w:ilvl w:val="1"/>
          <w:numId w:val="17"/>
        </w:numPr>
        <w:rPr>
          <w:rFonts w:ascii="Times New Roman" w:hAnsi="Times New Roman" w:cs="Times New Roman"/>
        </w:rPr>
      </w:pPr>
      <w:r w:rsidRPr="00693B6E">
        <w:t xml:space="preserve">Obstructive sleep apnoea </w:t>
      </w:r>
    </w:p>
    <w:p w:rsidR="00F66058" w:rsidRPr="00B932B5" w:rsidRDefault="00F66058" w:rsidP="00F66058">
      <w:pPr>
        <w:pStyle w:val="NDHTBodyText"/>
        <w:numPr>
          <w:ilvl w:val="1"/>
          <w:numId w:val="17"/>
        </w:numPr>
        <w:rPr>
          <w:rFonts w:ascii="Times New Roman" w:hAnsi="Times New Roman" w:cs="Times New Roman"/>
        </w:rPr>
      </w:pPr>
      <w:r w:rsidRPr="00693B6E">
        <w:t xml:space="preserve">Raised intracranial pressure </w:t>
      </w:r>
    </w:p>
    <w:p w:rsidR="00F66058" w:rsidRPr="00A70C13" w:rsidRDefault="00F66058" w:rsidP="00F66058">
      <w:pPr>
        <w:pStyle w:val="NDHTBodyText"/>
        <w:numPr>
          <w:ilvl w:val="1"/>
          <w:numId w:val="17"/>
        </w:numPr>
      </w:pPr>
      <w:r w:rsidRPr="00A70C13">
        <w:t>Acute systemic illness e.g. severe sepsis</w:t>
      </w:r>
    </w:p>
    <w:p w:rsidR="00F66058" w:rsidRPr="00A70C13" w:rsidRDefault="00F66058" w:rsidP="00F66058">
      <w:pPr>
        <w:pStyle w:val="NDHTBodyText"/>
        <w:numPr>
          <w:ilvl w:val="1"/>
          <w:numId w:val="17"/>
        </w:numPr>
      </w:pPr>
      <w:r w:rsidRPr="00A70C13">
        <w:t>Reduced SpO</w:t>
      </w:r>
      <w:r w:rsidRPr="00A70C13">
        <w:rPr>
          <w:vertAlign w:val="subscript"/>
        </w:rPr>
        <w:t xml:space="preserve">2 </w:t>
      </w:r>
      <w:r w:rsidRPr="00A70C13">
        <w:t>on room air</w:t>
      </w:r>
    </w:p>
    <w:p w:rsidR="00F66058" w:rsidRPr="00B932B5" w:rsidRDefault="00F66058" w:rsidP="00F66058">
      <w:pPr>
        <w:pStyle w:val="NDHTBodyText"/>
        <w:numPr>
          <w:ilvl w:val="1"/>
          <w:numId w:val="17"/>
        </w:numPr>
      </w:pPr>
      <w:r w:rsidRPr="00A70C13">
        <w:t>Severe renal or hepatic impairment</w:t>
      </w:r>
    </w:p>
    <w:p w:rsidR="00F66058" w:rsidRPr="00B932B5" w:rsidRDefault="00F66058" w:rsidP="00F66058">
      <w:pPr>
        <w:pStyle w:val="NDHTBodyText"/>
        <w:numPr>
          <w:ilvl w:val="1"/>
          <w:numId w:val="17"/>
        </w:numPr>
        <w:rPr>
          <w:rFonts w:ascii="Times New Roman" w:hAnsi="Times New Roman" w:cs="Times New Roman"/>
        </w:rPr>
      </w:pPr>
      <w:r w:rsidRPr="00693B6E">
        <w:t xml:space="preserve">Previous allergic or behavioural reaction to the premedication proposed </w:t>
      </w:r>
    </w:p>
    <w:p w:rsidR="0057791F" w:rsidRDefault="0057791F" w:rsidP="0057791F">
      <w:pPr>
        <w:pStyle w:val="Heading1"/>
        <w:numPr>
          <w:ilvl w:val="1"/>
          <w:numId w:val="15"/>
        </w:numPr>
        <w:ind w:left="709" w:hanging="709"/>
      </w:pPr>
      <w:bookmarkStart w:id="12" w:name="_Toc111443942"/>
      <w:r>
        <w:t>Administration</w:t>
      </w:r>
      <w:bookmarkEnd w:id="12"/>
    </w:p>
    <w:p w:rsidR="0057791F" w:rsidRDefault="0057791F" w:rsidP="0057791F">
      <w:pPr>
        <w:pStyle w:val="NDHTBodyText"/>
        <w:numPr>
          <w:ilvl w:val="1"/>
          <w:numId w:val="20"/>
        </w:numPr>
      </w:pPr>
      <w:r>
        <w:t xml:space="preserve">For the occasional child with extremely challenging behaviour, it may be appropriate to use up to three sedative drugs </w:t>
      </w:r>
      <w:r>
        <w:rPr>
          <w:lang w:val="fr-FR"/>
        </w:rPr>
        <w:t xml:space="preserve">in combination </w:t>
      </w:r>
      <w:r>
        <w:t xml:space="preserve">under the direction of an Anaesthetist. </w:t>
      </w:r>
    </w:p>
    <w:p w:rsidR="0057791F" w:rsidRDefault="0057791F" w:rsidP="0057791F">
      <w:pPr>
        <w:pStyle w:val="NDHTBodyText"/>
        <w:numPr>
          <w:ilvl w:val="1"/>
          <w:numId w:val="20"/>
        </w:numPr>
      </w:pPr>
      <w:r>
        <w:t xml:space="preserve">For some children it may be appropriate to use a dose in excess of the maximum dose stated below. </w:t>
      </w:r>
    </w:p>
    <w:p w:rsidR="0057791F" w:rsidRDefault="0057791F" w:rsidP="0057791F">
      <w:pPr>
        <w:pStyle w:val="NDHTBodyText"/>
        <w:numPr>
          <w:ilvl w:val="1"/>
          <w:numId w:val="20"/>
        </w:numPr>
      </w:pPr>
      <w:r>
        <w:t>This should be prescribed and requested by a consultant Anaesthetist and clearly documented on the drug chart.</w:t>
      </w:r>
    </w:p>
    <w:p w:rsidR="0057791F" w:rsidRDefault="0057791F" w:rsidP="0057791F">
      <w:pPr>
        <w:pStyle w:val="NDHTBodyText"/>
        <w:numPr>
          <w:ilvl w:val="1"/>
          <w:numId w:val="20"/>
        </w:numPr>
      </w:pPr>
      <w:r w:rsidRPr="004E1ED3">
        <w:lastRenderedPageBreak/>
        <w:t>Care should be taken when prescribing in the overweight child, with consideration made regarding ideal body weight vs. actual body weight.</w:t>
      </w:r>
    </w:p>
    <w:p w:rsidR="0057791F" w:rsidRDefault="0057791F" w:rsidP="0057791F">
      <w:pPr>
        <w:pStyle w:val="NDHTBodyText"/>
        <w:numPr>
          <w:ilvl w:val="1"/>
          <w:numId w:val="21"/>
        </w:numPr>
      </w:pPr>
      <w:r w:rsidRPr="00760C2A">
        <w:t xml:space="preserve">The oral preparations may be added to a small volume of flavoured squash to help with any unpleasant taste, i.e. dilute with an equal volume of squash. </w:t>
      </w:r>
    </w:p>
    <w:p w:rsidR="0057791F" w:rsidRDefault="0057791F" w:rsidP="0057791F">
      <w:pPr>
        <w:pStyle w:val="NDHTBodyText"/>
        <w:numPr>
          <w:ilvl w:val="1"/>
          <w:numId w:val="21"/>
        </w:numPr>
      </w:pPr>
      <w:r>
        <w:t>If the child refuses, vomits or spits out the drug, or for any questions regarding a prescribed drug, please contact the Anaesthetist who prescribed the drug.</w:t>
      </w:r>
    </w:p>
    <w:p w:rsidR="0057791F" w:rsidRDefault="0057791F" w:rsidP="0057791F">
      <w:pPr>
        <w:pStyle w:val="NDHTBodyText"/>
        <w:numPr>
          <w:ilvl w:val="1"/>
          <w:numId w:val="21"/>
        </w:numPr>
      </w:pPr>
      <w:r>
        <w:t xml:space="preserve">After receiving sedative medication, the child should remain on the ward under the direct supervision of a responsible adult, such as a parent or guardian. </w:t>
      </w:r>
    </w:p>
    <w:p w:rsidR="0057791F" w:rsidRDefault="0057791F" w:rsidP="0057791F">
      <w:pPr>
        <w:pStyle w:val="NDHTBodyText"/>
        <w:numPr>
          <w:ilvl w:val="1"/>
          <w:numId w:val="21"/>
        </w:numPr>
      </w:pPr>
      <w:r>
        <w:t>When they become drowsy, they should lie in bed. If they fall asleep, oxygen saturation should be continuously monitored by pulse oximetry. Oxygen should not be routinely administered.</w:t>
      </w:r>
    </w:p>
    <w:p w:rsidR="002E0AD8" w:rsidRDefault="002E0AD8">
      <w:pPr>
        <w:spacing w:after="200"/>
        <w:rPr>
          <w:rFonts w:ascii="Calibri" w:hAnsi="Calibri"/>
          <w:b/>
          <w:bCs/>
          <w:color w:val="auto"/>
          <w:sz w:val="24"/>
        </w:rPr>
      </w:pPr>
      <w:r>
        <w:rPr>
          <w:b/>
          <w:bCs/>
        </w:rPr>
        <w:br w:type="page"/>
      </w:r>
    </w:p>
    <w:p w:rsidR="0057791F" w:rsidRDefault="002E0AD8" w:rsidP="002E0AD8">
      <w:pPr>
        <w:pStyle w:val="NDHTBodyText"/>
        <w:numPr>
          <w:ilvl w:val="1"/>
          <w:numId w:val="15"/>
        </w:numPr>
        <w:ind w:left="567" w:hanging="567"/>
        <w:rPr>
          <w:b/>
          <w:bCs/>
        </w:rPr>
      </w:pPr>
      <w:r w:rsidRPr="002E0AD8">
        <w:rPr>
          <w:b/>
          <w:bCs/>
        </w:rPr>
        <w:lastRenderedPageBreak/>
        <w:t>Sedative Medications</w:t>
      </w:r>
    </w:p>
    <w:tbl>
      <w:tblPr>
        <w:tblW w:w="9639" w:type="dxa"/>
        <w:tblInd w:w="21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DEB"/>
        <w:tblLayout w:type="fixed"/>
        <w:tblLook w:val="04A0" w:firstRow="1" w:lastRow="0" w:firstColumn="1" w:lastColumn="0" w:noHBand="0" w:noVBand="1"/>
      </w:tblPr>
      <w:tblGrid>
        <w:gridCol w:w="1344"/>
        <w:gridCol w:w="850"/>
        <w:gridCol w:w="1276"/>
        <w:gridCol w:w="850"/>
        <w:gridCol w:w="1134"/>
        <w:gridCol w:w="1016"/>
        <w:gridCol w:w="1273"/>
        <w:gridCol w:w="1896"/>
      </w:tblGrid>
      <w:tr w:rsidR="000773C7" w:rsidTr="00BC6EB4">
        <w:trPr>
          <w:trHeight w:val="493"/>
        </w:trPr>
        <w:tc>
          <w:tcPr>
            <w:tcW w:w="1344" w:type="dxa"/>
            <w:tcBorders>
              <w:top w:val="single" w:sz="2" w:space="0" w:color="000000"/>
              <w:left w:val="single" w:sz="2" w:space="0" w:color="000000"/>
              <w:bottom w:val="single" w:sz="2" w:space="0" w:color="000000"/>
              <w:right w:val="single" w:sz="2" w:space="0" w:color="000000"/>
            </w:tcBorders>
            <w:shd w:val="clear" w:color="auto" w:fill="BDC0BF"/>
            <w:tcMar>
              <w:top w:w="80" w:type="dxa"/>
              <w:left w:w="80" w:type="dxa"/>
              <w:bottom w:w="80" w:type="dxa"/>
              <w:right w:w="80" w:type="dxa"/>
            </w:tcMar>
          </w:tcPr>
          <w:p w:rsidR="000773C7" w:rsidRDefault="000773C7" w:rsidP="00BC6EB4">
            <w:pPr>
              <w:pStyle w:val="TableStyle1"/>
            </w:pPr>
            <w:r>
              <w:rPr>
                <w:rFonts w:ascii="Arial" w:hAnsi="Arial"/>
              </w:rPr>
              <w:t xml:space="preserve">Drug </w:t>
            </w:r>
          </w:p>
        </w:tc>
        <w:tc>
          <w:tcPr>
            <w:tcW w:w="850" w:type="dxa"/>
            <w:tcBorders>
              <w:top w:val="single" w:sz="2" w:space="0" w:color="000000"/>
              <w:left w:val="single" w:sz="2" w:space="0" w:color="000000"/>
              <w:bottom w:val="single" w:sz="2" w:space="0" w:color="000000"/>
              <w:right w:val="single" w:sz="2" w:space="0" w:color="000000"/>
            </w:tcBorders>
            <w:shd w:val="clear" w:color="auto" w:fill="BDC0BF"/>
            <w:tcMar>
              <w:top w:w="80" w:type="dxa"/>
              <w:left w:w="80" w:type="dxa"/>
              <w:bottom w:w="80" w:type="dxa"/>
              <w:right w:w="80" w:type="dxa"/>
            </w:tcMar>
          </w:tcPr>
          <w:p w:rsidR="000773C7" w:rsidRDefault="000773C7" w:rsidP="00BC6EB4">
            <w:pPr>
              <w:pStyle w:val="TableStyle1"/>
            </w:pPr>
            <w:r>
              <w:rPr>
                <w:rFonts w:ascii="Arial" w:hAnsi="Arial"/>
              </w:rPr>
              <w:t>Route</w:t>
            </w:r>
          </w:p>
        </w:tc>
        <w:tc>
          <w:tcPr>
            <w:tcW w:w="1276" w:type="dxa"/>
            <w:tcBorders>
              <w:top w:val="single" w:sz="2" w:space="0" w:color="000000"/>
              <w:left w:val="single" w:sz="2" w:space="0" w:color="000000"/>
              <w:bottom w:val="single" w:sz="2" w:space="0" w:color="000000"/>
              <w:right w:val="single" w:sz="2" w:space="0" w:color="000000"/>
            </w:tcBorders>
            <w:shd w:val="clear" w:color="auto" w:fill="BDC0BF"/>
            <w:tcMar>
              <w:top w:w="80" w:type="dxa"/>
              <w:left w:w="80" w:type="dxa"/>
              <w:bottom w:w="80" w:type="dxa"/>
              <w:right w:w="80" w:type="dxa"/>
            </w:tcMar>
          </w:tcPr>
          <w:p w:rsidR="000773C7" w:rsidRDefault="000773C7" w:rsidP="00BC6EB4">
            <w:pPr>
              <w:pStyle w:val="TableStyle1"/>
            </w:pPr>
            <w:r>
              <w:rPr>
                <w:rFonts w:ascii="Arial" w:hAnsi="Arial"/>
              </w:rPr>
              <w:t>Formulation</w:t>
            </w:r>
          </w:p>
        </w:tc>
        <w:tc>
          <w:tcPr>
            <w:tcW w:w="850" w:type="dxa"/>
            <w:tcBorders>
              <w:top w:val="single" w:sz="2" w:space="0" w:color="000000"/>
              <w:left w:val="single" w:sz="2" w:space="0" w:color="000000"/>
              <w:bottom w:val="single" w:sz="2" w:space="0" w:color="000000"/>
              <w:right w:val="single" w:sz="2" w:space="0" w:color="000000"/>
            </w:tcBorders>
            <w:shd w:val="clear" w:color="auto" w:fill="BDC0BF"/>
            <w:tcMar>
              <w:top w:w="80" w:type="dxa"/>
              <w:left w:w="80" w:type="dxa"/>
              <w:bottom w:w="80" w:type="dxa"/>
              <w:right w:w="80" w:type="dxa"/>
            </w:tcMar>
          </w:tcPr>
          <w:p w:rsidR="000773C7" w:rsidRDefault="000773C7" w:rsidP="00BC6EB4">
            <w:pPr>
              <w:pStyle w:val="TableStyle1"/>
            </w:pPr>
            <w:r>
              <w:rPr>
                <w:rFonts w:ascii="Arial" w:hAnsi="Arial"/>
              </w:rPr>
              <w:t>Age</w:t>
            </w:r>
          </w:p>
        </w:tc>
        <w:tc>
          <w:tcPr>
            <w:tcW w:w="1134" w:type="dxa"/>
            <w:tcBorders>
              <w:top w:val="single" w:sz="2" w:space="0" w:color="000000"/>
              <w:left w:val="single" w:sz="2" w:space="0" w:color="000000"/>
              <w:bottom w:val="single" w:sz="2" w:space="0" w:color="000000"/>
              <w:right w:val="single" w:sz="2" w:space="0" w:color="000000"/>
            </w:tcBorders>
            <w:shd w:val="clear" w:color="auto" w:fill="BDC0BF"/>
            <w:tcMar>
              <w:top w:w="80" w:type="dxa"/>
              <w:left w:w="80" w:type="dxa"/>
              <w:bottom w:w="80" w:type="dxa"/>
              <w:right w:w="80" w:type="dxa"/>
            </w:tcMar>
          </w:tcPr>
          <w:p w:rsidR="000773C7" w:rsidRDefault="000773C7" w:rsidP="00BC6EB4">
            <w:pPr>
              <w:pStyle w:val="TableStyle1"/>
            </w:pPr>
            <w:r>
              <w:rPr>
                <w:rFonts w:ascii="Arial" w:hAnsi="Arial"/>
              </w:rPr>
              <w:t>Dose</w:t>
            </w:r>
          </w:p>
        </w:tc>
        <w:tc>
          <w:tcPr>
            <w:tcW w:w="1016" w:type="dxa"/>
            <w:tcBorders>
              <w:top w:val="single" w:sz="2" w:space="0" w:color="000000"/>
              <w:left w:val="single" w:sz="2" w:space="0" w:color="000000"/>
              <w:bottom w:val="single" w:sz="2" w:space="0" w:color="000000"/>
              <w:right w:val="single" w:sz="2" w:space="0" w:color="000000"/>
            </w:tcBorders>
            <w:shd w:val="clear" w:color="auto" w:fill="BDC0BF"/>
            <w:tcMar>
              <w:top w:w="80" w:type="dxa"/>
              <w:left w:w="80" w:type="dxa"/>
              <w:bottom w:w="80" w:type="dxa"/>
              <w:right w:w="80" w:type="dxa"/>
            </w:tcMar>
          </w:tcPr>
          <w:p w:rsidR="000773C7" w:rsidRDefault="000773C7" w:rsidP="00BC6EB4">
            <w:pPr>
              <w:pStyle w:val="TableStyle1"/>
            </w:pPr>
            <w:r>
              <w:rPr>
                <w:rFonts w:ascii="Arial" w:hAnsi="Arial"/>
              </w:rPr>
              <w:t>Onset of action</w:t>
            </w:r>
          </w:p>
        </w:tc>
        <w:tc>
          <w:tcPr>
            <w:tcW w:w="1273" w:type="dxa"/>
            <w:tcBorders>
              <w:top w:val="single" w:sz="2" w:space="0" w:color="000000"/>
              <w:left w:val="single" w:sz="2" w:space="0" w:color="000000"/>
              <w:bottom w:val="single" w:sz="2" w:space="0" w:color="000000"/>
              <w:right w:val="single" w:sz="2" w:space="0" w:color="000000"/>
            </w:tcBorders>
            <w:shd w:val="clear" w:color="auto" w:fill="BDC0BF"/>
            <w:tcMar>
              <w:top w:w="80" w:type="dxa"/>
              <w:left w:w="80" w:type="dxa"/>
              <w:bottom w:w="80" w:type="dxa"/>
              <w:right w:w="80" w:type="dxa"/>
            </w:tcMar>
          </w:tcPr>
          <w:p w:rsidR="000773C7" w:rsidRDefault="000773C7" w:rsidP="00BC6EB4">
            <w:pPr>
              <w:pStyle w:val="TableStyle1"/>
            </w:pPr>
            <w:r>
              <w:rPr>
                <w:rFonts w:ascii="Arial" w:hAnsi="Arial"/>
              </w:rPr>
              <w:t>Duration of action</w:t>
            </w:r>
          </w:p>
        </w:tc>
        <w:tc>
          <w:tcPr>
            <w:tcW w:w="1896" w:type="dxa"/>
            <w:tcBorders>
              <w:top w:val="single" w:sz="2" w:space="0" w:color="000000"/>
              <w:left w:val="single" w:sz="2" w:space="0" w:color="000000"/>
              <w:bottom w:val="single" w:sz="2" w:space="0" w:color="000000"/>
              <w:right w:val="single" w:sz="2" w:space="0" w:color="000000"/>
            </w:tcBorders>
            <w:shd w:val="clear" w:color="auto" w:fill="BDC0BF"/>
            <w:tcMar>
              <w:top w:w="80" w:type="dxa"/>
              <w:left w:w="80" w:type="dxa"/>
              <w:bottom w:w="80" w:type="dxa"/>
              <w:right w:w="80" w:type="dxa"/>
            </w:tcMar>
          </w:tcPr>
          <w:p w:rsidR="000773C7" w:rsidRDefault="000773C7" w:rsidP="00BC6EB4">
            <w:pPr>
              <w:pStyle w:val="TableStyle1"/>
            </w:pPr>
            <w:r>
              <w:rPr>
                <w:rFonts w:ascii="Arial" w:hAnsi="Arial"/>
              </w:rPr>
              <w:t>Maximum dose</w:t>
            </w:r>
          </w:p>
        </w:tc>
      </w:tr>
      <w:tr w:rsidR="000773C7" w:rsidTr="00BC6EB4">
        <w:trPr>
          <w:trHeight w:val="1218"/>
        </w:trPr>
        <w:tc>
          <w:tcPr>
            <w:tcW w:w="1344" w:type="dxa"/>
            <w:tcBorders>
              <w:top w:val="single" w:sz="4" w:space="0" w:color="000000"/>
              <w:left w:val="single" w:sz="2" w:space="0" w:color="000000"/>
              <w:bottom w:val="single" w:sz="2" w:space="0" w:color="000000"/>
              <w:right w:val="single" w:sz="4" w:space="0" w:color="000000"/>
            </w:tcBorders>
            <w:shd w:val="clear" w:color="auto" w:fill="E2E4E3"/>
            <w:tcMar>
              <w:top w:w="80" w:type="dxa"/>
              <w:left w:w="80" w:type="dxa"/>
              <w:bottom w:w="80" w:type="dxa"/>
              <w:right w:w="80" w:type="dxa"/>
            </w:tcMar>
          </w:tcPr>
          <w:p w:rsidR="000773C7" w:rsidRDefault="000773C7" w:rsidP="00BC6EB4">
            <w:pPr>
              <w:pStyle w:val="TableStyle1"/>
            </w:pPr>
            <w:proofErr w:type="spellStart"/>
            <w:r>
              <w:rPr>
                <w:rFonts w:ascii="Arial" w:hAnsi="Arial"/>
                <w:lang w:val="es-ES_tradnl"/>
              </w:rPr>
              <w:t>Clonidine</w:t>
            </w:r>
            <w:proofErr w:type="spellEnd"/>
            <w:r>
              <w:rPr>
                <w:rFonts w:ascii="Arial" w:hAnsi="Arial"/>
                <w:vertAlign w:val="superscript"/>
                <w:lang w:val="en-US"/>
              </w:rPr>
              <w:t>1</w:t>
            </w:r>
          </w:p>
        </w:tc>
        <w:tc>
          <w:tcPr>
            <w:tcW w:w="850" w:type="dxa"/>
            <w:tcBorders>
              <w:top w:val="single" w:sz="4" w:space="0" w:color="000000"/>
              <w:left w:val="single" w:sz="4"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oral</w:t>
            </w:r>
          </w:p>
        </w:tc>
        <w:tc>
          <w:tcPr>
            <w:tcW w:w="1276"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Default="000773C7" w:rsidP="00BC6EB4">
            <w:pPr>
              <w:pStyle w:val="TableStyle2"/>
              <w:rPr>
                <w:rStyle w:val="CommentReference"/>
                <w:rFonts w:ascii="Calibri" w:eastAsiaTheme="minorHAnsi" w:hAnsi="Calibri" w:cstheme="minorBidi"/>
                <w:color w:val="auto"/>
                <w:bdr w:val="none" w:sz="0" w:space="0" w:color="auto"/>
                <w:lang w:eastAsia="en-US"/>
              </w:rPr>
            </w:pPr>
            <w:r>
              <w:rPr>
                <w:rFonts w:ascii="Arial" w:hAnsi="Arial" w:cs="Arial"/>
              </w:rPr>
              <w:t xml:space="preserve">(use </w:t>
            </w:r>
            <w:r w:rsidRPr="00723016">
              <w:rPr>
                <w:rFonts w:ascii="Arial" w:hAnsi="Arial" w:cs="Arial"/>
              </w:rPr>
              <w:t>IV solution</w:t>
            </w:r>
            <w:r>
              <w:rPr>
                <w:rFonts w:ascii="Arial" w:hAnsi="Arial" w:cs="Arial"/>
              </w:rPr>
              <w:t xml:space="preserve"> orally)</w:t>
            </w:r>
            <w:r w:rsidRPr="00723016">
              <w:rPr>
                <w:rFonts w:ascii="Arial" w:hAnsi="Arial" w:cs="Arial"/>
              </w:rPr>
              <w:t xml:space="preserve"> </w:t>
            </w:r>
            <w:r>
              <w:rPr>
                <w:rFonts w:ascii="Arial" w:hAnsi="Arial" w:cs="Arial"/>
              </w:rPr>
              <w:br/>
            </w:r>
            <w:r w:rsidRPr="00723016">
              <w:rPr>
                <w:rFonts w:ascii="Arial" w:hAnsi="Arial" w:cs="Arial"/>
              </w:rPr>
              <w:t xml:space="preserve">150 </w:t>
            </w:r>
            <w:r>
              <w:rPr>
                <w:rFonts w:ascii="Arial" w:hAnsi="Arial" w:cs="Arial"/>
              </w:rPr>
              <w:t>micrograms</w:t>
            </w:r>
            <w:r w:rsidRPr="00723016">
              <w:rPr>
                <w:rFonts w:ascii="Arial" w:hAnsi="Arial" w:cs="Arial"/>
              </w:rPr>
              <w:t>/ml</w:t>
            </w:r>
          </w:p>
          <w:p w:rsidR="000773C7" w:rsidRDefault="000773C7" w:rsidP="00BC6EB4">
            <w:pPr>
              <w:pStyle w:val="TableStyle2"/>
              <w:rPr>
                <w:rFonts w:ascii="Arial" w:hAnsi="Arial" w:cs="Arial"/>
              </w:rPr>
            </w:pPr>
            <w:r>
              <w:rPr>
                <w:rFonts w:ascii="Arial" w:hAnsi="Arial" w:cs="Arial"/>
              </w:rPr>
              <w:t>or</w:t>
            </w:r>
          </w:p>
          <w:p w:rsidR="000773C7" w:rsidRPr="00723016" w:rsidRDefault="000773C7" w:rsidP="00BC6EB4">
            <w:pPr>
              <w:pStyle w:val="TableStyle2"/>
              <w:rPr>
                <w:rFonts w:ascii="Arial" w:hAnsi="Arial" w:cs="Arial"/>
              </w:rPr>
            </w:pPr>
            <w:r w:rsidRPr="00723016">
              <w:rPr>
                <w:rFonts w:ascii="Arial" w:hAnsi="Arial" w:cs="Arial"/>
              </w:rPr>
              <w:t>Tablets</w:t>
            </w:r>
          </w:p>
          <w:p w:rsidR="000773C7" w:rsidRPr="00723016" w:rsidRDefault="000773C7" w:rsidP="00BC6EB4">
            <w:pPr>
              <w:pStyle w:val="TableStyle2"/>
              <w:rPr>
                <w:rFonts w:ascii="Arial" w:hAnsi="Arial" w:cs="Arial"/>
              </w:rPr>
            </w:pPr>
            <w:r w:rsidRPr="00723016">
              <w:rPr>
                <w:rFonts w:ascii="Arial" w:hAnsi="Arial" w:cs="Arial"/>
              </w:rPr>
              <w:t>25</w:t>
            </w:r>
            <w:r>
              <w:rPr>
                <w:rFonts w:ascii="Arial" w:hAnsi="Arial" w:cs="Arial"/>
              </w:rPr>
              <w:t xml:space="preserve"> or 100</w:t>
            </w:r>
            <w:r w:rsidRPr="00723016">
              <w:rPr>
                <w:rFonts w:ascii="Arial" w:hAnsi="Arial" w:cs="Arial"/>
              </w:rPr>
              <w:t xml:space="preserve"> </w:t>
            </w:r>
            <w:r>
              <w:rPr>
                <w:rFonts w:ascii="Arial" w:hAnsi="Arial" w:cs="Arial"/>
              </w:rPr>
              <w:t>micrograms</w:t>
            </w:r>
          </w:p>
        </w:tc>
        <w:tc>
          <w:tcPr>
            <w:tcW w:w="850"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any</w:t>
            </w:r>
          </w:p>
        </w:tc>
        <w:tc>
          <w:tcPr>
            <w:tcW w:w="1134"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 xml:space="preserve">4-5 </w:t>
            </w:r>
            <w:r>
              <w:rPr>
                <w:rFonts w:ascii="Arial" w:hAnsi="Arial" w:cs="Arial"/>
              </w:rPr>
              <w:t>micrograms</w:t>
            </w:r>
            <w:r w:rsidRPr="00723016">
              <w:rPr>
                <w:rFonts w:ascii="Arial" w:hAnsi="Arial" w:cs="Arial"/>
              </w:rPr>
              <w:t>/kg</w:t>
            </w:r>
          </w:p>
        </w:tc>
        <w:tc>
          <w:tcPr>
            <w:tcW w:w="10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less than 1 hour</w:t>
            </w:r>
          </w:p>
        </w:tc>
        <w:tc>
          <w:tcPr>
            <w:tcW w:w="1273"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6-8 hours</w:t>
            </w:r>
          </w:p>
        </w:tc>
        <w:tc>
          <w:tcPr>
            <w:tcW w:w="1896"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 xml:space="preserve">300 </w:t>
            </w:r>
            <w:r>
              <w:rPr>
                <w:rFonts w:ascii="Arial" w:hAnsi="Arial" w:cs="Arial"/>
              </w:rPr>
              <w:t>micrograms</w:t>
            </w:r>
          </w:p>
        </w:tc>
      </w:tr>
      <w:tr w:rsidR="000773C7" w:rsidTr="00BC6EB4">
        <w:trPr>
          <w:trHeight w:val="833"/>
        </w:trPr>
        <w:tc>
          <w:tcPr>
            <w:tcW w:w="1344" w:type="dxa"/>
            <w:vMerge w:val="restart"/>
            <w:tcBorders>
              <w:top w:val="single" w:sz="2" w:space="0" w:color="000000"/>
              <w:left w:val="single" w:sz="2" w:space="0" w:color="000000"/>
              <w:right w:val="single" w:sz="4" w:space="0" w:color="000000"/>
            </w:tcBorders>
            <w:shd w:val="clear" w:color="auto" w:fill="E2E4E3"/>
            <w:tcMar>
              <w:top w:w="80" w:type="dxa"/>
              <w:left w:w="80" w:type="dxa"/>
              <w:bottom w:w="80" w:type="dxa"/>
              <w:right w:w="80" w:type="dxa"/>
            </w:tcMar>
          </w:tcPr>
          <w:p w:rsidR="000773C7" w:rsidRDefault="000773C7" w:rsidP="00BC6EB4">
            <w:pPr>
              <w:pStyle w:val="TableStyle1"/>
              <w:rPr>
                <w:rFonts w:ascii="Arial" w:hAnsi="Arial"/>
              </w:rPr>
            </w:pPr>
            <w:r>
              <w:rPr>
                <w:rFonts w:ascii="Arial" w:hAnsi="Arial"/>
              </w:rPr>
              <w:t>Dexmedetomidine</w:t>
            </w:r>
            <w:r>
              <w:rPr>
                <w:rFonts w:ascii="Arial" w:hAnsi="Arial"/>
                <w:vertAlign w:val="superscript"/>
                <w:lang w:val="en-US"/>
              </w:rPr>
              <w:t>2</w:t>
            </w:r>
          </w:p>
        </w:tc>
        <w:tc>
          <w:tcPr>
            <w:tcW w:w="850" w:type="dxa"/>
            <w:tcBorders>
              <w:top w:val="single" w:sz="2" w:space="0" w:color="000000"/>
              <w:left w:val="single" w:sz="4"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intra nasal</w:t>
            </w:r>
          </w:p>
        </w:tc>
        <w:tc>
          <w:tcPr>
            <w:tcW w:w="1276" w:type="dxa"/>
            <w:vMerge w:val="restart"/>
            <w:tcBorders>
              <w:top w:val="single" w:sz="2" w:space="0" w:color="000000"/>
              <w:left w:val="single" w:sz="2" w:space="0" w:color="000000"/>
              <w:right w:val="single" w:sz="2" w:space="0" w:color="000000"/>
            </w:tcBorders>
            <w:shd w:val="clear" w:color="auto" w:fill="EEEEEE"/>
            <w:tcMar>
              <w:top w:w="80" w:type="dxa"/>
              <w:left w:w="80" w:type="dxa"/>
              <w:bottom w:w="80" w:type="dxa"/>
              <w:right w:w="80" w:type="dxa"/>
            </w:tcMar>
          </w:tcPr>
          <w:p w:rsidR="000773C7" w:rsidRPr="00001070" w:rsidRDefault="000773C7" w:rsidP="00BC6EB4">
            <w:pPr>
              <w:pStyle w:val="TableStyle2"/>
              <w:rPr>
                <w:rFonts w:ascii="Arial" w:hAnsi="Arial" w:cs="Arial"/>
              </w:rPr>
            </w:pPr>
            <w:r w:rsidRPr="00001070">
              <w:rPr>
                <w:rFonts w:ascii="Arial" w:hAnsi="Arial" w:cs="Arial"/>
              </w:rPr>
              <w:t>100 micrograms/ml</w:t>
            </w:r>
          </w:p>
          <w:p w:rsidR="000773C7" w:rsidRPr="00001070" w:rsidRDefault="000773C7" w:rsidP="00BC6EB4">
            <w:pPr>
              <w:rPr>
                <w:rFonts w:cs="Arial"/>
                <w:sz w:val="20"/>
                <w:szCs w:val="20"/>
              </w:rPr>
            </w:pPr>
            <w:r w:rsidRPr="00001070">
              <w:rPr>
                <w:rFonts w:cs="Arial"/>
                <w:sz w:val="20"/>
                <w:szCs w:val="20"/>
              </w:rPr>
              <w:t>Solution for injection may be administered via these routes – this is not within the product license</w:t>
            </w:r>
          </w:p>
        </w:tc>
        <w:tc>
          <w:tcPr>
            <w:tcW w:w="850"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any</w:t>
            </w:r>
          </w:p>
        </w:tc>
        <w:tc>
          <w:tcPr>
            <w:tcW w:w="1134"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1-2 m</w:t>
            </w:r>
            <w:r>
              <w:rPr>
                <w:rFonts w:ascii="Arial" w:hAnsi="Arial" w:cs="Arial"/>
              </w:rPr>
              <w:t>icrograms</w:t>
            </w:r>
            <w:r w:rsidRPr="00723016">
              <w:rPr>
                <w:rFonts w:ascii="Arial" w:hAnsi="Arial" w:cs="Arial"/>
              </w:rPr>
              <w:t>/kg</w:t>
            </w:r>
          </w:p>
        </w:tc>
        <w:tc>
          <w:tcPr>
            <w:tcW w:w="10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30</w:t>
            </w:r>
            <w:r>
              <w:rPr>
                <w:rFonts w:ascii="Arial" w:hAnsi="Arial" w:cs="Arial"/>
              </w:rPr>
              <w:t xml:space="preserve"> - 45</w:t>
            </w:r>
            <w:r w:rsidRPr="00723016">
              <w:rPr>
                <w:rFonts w:ascii="Arial" w:hAnsi="Arial" w:cs="Arial"/>
              </w:rPr>
              <w:t xml:space="preserve"> minutes</w:t>
            </w:r>
          </w:p>
        </w:tc>
        <w:tc>
          <w:tcPr>
            <w:tcW w:w="1273"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1-</w:t>
            </w:r>
            <w:r>
              <w:rPr>
                <w:rFonts w:ascii="Arial" w:hAnsi="Arial" w:cs="Arial"/>
              </w:rPr>
              <w:t>6</w:t>
            </w:r>
            <w:r w:rsidRPr="00723016">
              <w:rPr>
                <w:rFonts w:ascii="Arial" w:hAnsi="Arial" w:cs="Arial"/>
              </w:rPr>
              <w:t xml:space="preserve"> hours</w:t>
            </w:r>
          </w:p>
        </w:tc>
        <w:tc>
          <w:tcPr>
            <w:tcW w:w="189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Pr="00723016" w:rsidRDefault="000773C7" w:rsidP="00BC6EB4">
            <w:pPr>
              <w:rPr>
                <w:rFonts w:cs="Arial"/>
                <w:sz w:val="20"/>
                <w:szCs w:val="20"/>
              </w:rPr>
            </w:pPr>
            <w:r>
              <w:rPr>
                <w:rFonts w:cs="Arial"/>
                <w:color w:val="000000"/>
                <w:sz w:val="20"/>
                <w:szCs w:val="20"/>
                <w:u w:color="000000"/>
              </w:rPr>
              <w:t>Use MAD device to deliver drug</w:t>
            </w:r>
          </w:p>
        </w:tc>
      </w:tr>
      <w:tr w:rsidR="000773C7" w:rsidTr="00BC6EB4">
        <w:trPr>
          <w:trHeight w:val="803"/>
        </w:trPr>
        <w:tc>
          <w:tcPr>
            <w:tcW w:w="1344" w:type="dxa"/>
            <w:vMerge/>
            <w:tcBorders>
              <w:left w:val="single" w:sz="2" w:space="0" w:color="000000"/>
              <w:right w:val="single" w:sz="4" w:space="0" w:color="000000"/>
            </w:tcBorders>
            <w:shd w:val="clear" w:color="auto" w:fill="E2E4E3"/>
            <w:tcMar>
              <w:top w:w="80" w:type="dxa"/>
              <w:left w:w="80" w:type="dxa"/>
              <w:bottom w:w="80" w:type="dxa"/>
              <w:right w:w="80" w:type="dxa"/>
            </w:tcMar>
          </w:tcPr>
          <w:p w:rsidR="000773C7" w:rsidRDefault="000773C7" w:rsidP="00BC6EB4">
            <w:pPr>
              <w:pStyle w:val="TableStyle1"/>
            </w:pPr>
          </w:p>
        </w:tc>
        <w:tc>
          <w:tcPr>
            <w:tcW w:w="850" w:type="dxa"/>
            <w:tcBorders>
              <w:top w:val="single" w:sz="2" w:space="0" w:color="000000"/>
              <w:left w:val="single" w:sz="4"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buccal</w:t>
            </w:r>
          </w:p>
        </w:tc>
        <w:tc>
          <w:tcPr>
            <w:tcW w:w="1276" w:type="dxa"/>
            <w:vMerge/>
            <w:tcBorders>
              <w:left w:val="single" w:sz="2" w:space="0" w:color="000000"/>
              <w:right w:val="single" w:sz="2" w:space="0" w:color="000000"/>
            </w:tcBorders>
            <w:shd w:val="clear" w:color="auto" w:fill="FFFFFF" w:themeFill="background1"/>
            <w:tcMar>
              <w:top w:w="80" w:type="dxa"/>
              <w:left w:w="80" w:type="dxa"/>
              <w:bottom w:w="80" w:type="dxa"/>
              <w:right w:w="80" w:type="dxa"/>
            </w:tcMar>
          </w:tcPr>
          <w:p w:rsidR="000773C7" w:rsidRPr="00723016" w:rsidRDefault="000773C7" w:rsidP="00BC6EB4">
            <w:pPr>
              <w:rPr>
                <w:rFonts w:cs="Arial"/>
                <w:sz w:val="20"/>
                <w:szCs w:val="20"/>
              </w:rPr>
            </w:pPr>
          </w:p>
        </w:tc>
        <w:tc>
          <w:tcPr>
            <w:tcW w:w="85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rsidR="000773C7" w:rsidRPr="00723016" w:rsidRDefault="000773C7" w:rsidP="00BC6EB4">
            <w:pPr>
              <w:rPr>
                <w:rFonts w:cs="Arial"/>
                <w:sz w:val="20"/>
                <w:szCs w:val="20"/>
              </w:rPr>
            </w:pPr>
            <w:r w:rsidRPr="00723016">
              <w:rPr>
                <w:rFonts w:cs="Arial"/>
                <w:color w:val="000000"/>
                <w:sz w:val="20"/>
                <w:szCs w:val="20"/>
                <w:u w:color="000000"/>
              </w:rPr>
              <w:t>any</w:t>
            </w:r>
          </w:p>
        </w:tc>
        <w:tc>
          <w:tcPr>
            <w:tcW w:w="1134"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1-4 m</w:t>
            </w:r>
            <w:r>
              <w:rPr>
                <w:rFonts w:ascii="Arial" w:hAnsi="Arial" w:cs="Arial"/>
              </w:rPr>
              <w:t>icrograms</w:t>
            </w:r>
            <w:r w:rsidRPr="00723016">
              <w:rPr>
                <w:rFonts w:ascii="Arial" w:hAnsi="Arial" w:cs="Arial"/>
              </w:rPr>
              <w:t xml:space="preserve"> /kg</w:t>
            </w:r>
          </w:p>
        </w:tc>
        <w:tc>
          <w:tcPr>
            <w:tcW w:w="1016"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rsidR="000773C7" w:rsidRPr="00723016" w:rsidRDefault="000773C7" w:rsidP="00BC6EB4">
            <w:pPr>
              <w:rPr>
                <w:rFonts w:cs="Arial"/>
                <w:sz w:val="20"/>
                <w:szCs w:val="20"/>
              </w:rPr>
            </w:pPr>
            <w:r w:rsidRPr="00723016">
              <w:rPr>
                <w:rFonts w:cs="Arial"/>
                <w:color w:val="000000"/>
                <w:sz w:val="20"/>
                <w:szCs w:val="20"/>
                <w:u w:color="000000"/>
              </w:rPr>
              <w:t>10-15 minutes</w:t>
            </w:r>
          </w:p>
        </w:tc>
        <w:tc>
          <w:tcPr>
            <w:tcW w:w="1273"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rsidR="000773C7" w:rsidRPr="00723016" w:rsidRDefault="000773C7" w:rsidP="00BC6EB4">
            <w:pPr>
              <w:rPr>
                <w:rFonts w:cs="Arial"/>
                <w:sz w:val="20"/>
                <w:szCs w:val="20"/>
              </w:rPr>
            </w:pPr>
            <w:r w:rsidRPr="00723016">
              <w:rPr>
                <w:rFonts w:cs="Arial"/>
                <w:color w:val="000000"/>
                <w:sz w:val="20"/>
                <w:szCs w:val="20"/>
                <w:u w:color="000000"/>
              </w:rPr>
              <w:t>1-</w:t>
            </w:r>
            <w:r>
              <w:rPr>
                <w:rFonts w:cs="Arial"/>
                <w:color w:val="000000"/>
                <w:sz w:val="20"/>
                <w:szCs w:val="20"/>
                <w:u w:color="000000"/>
              </w:rPr>
              <w:t>6</w:t>
            </w:r>
            <w:r w:rsidRPr="00723016">
              <w:rPr>
                <w:rFonts w:cs="Arial"/>
                <w:color w:val="000000"/>
                <w:sz w:val="20"/>
                <w:szCs w:val="20"/>
                <w:u w:color="000000"/>
              </w:rPr>
              <w:t xml:space="preserve"> hours</w:t>
            </w:r>
          </w:p>
        </w:tc>
        <w:tc>
          <w:tcPr>
            <w:tcW w:w="1896" w:type="dxa"/>
            <w:vMerge w:val="restart"/>
            <w:tcBorders>
              <w:top w:val="single" w:sz="2" w:space="0" w:color="000000"/>
              <w:left w:val="single" w:sz="2" w:space="0" w:color="000000"/>
              <w:right w:val="single" w:sz="2" w:space="0" w:color="000000"/>
            </w:tcBorders>
            <w:shd w:val="clear" w:color="auto" w:fill="FFFFFF" w:themeFill="background1"/>
            <w:tcMar>
              <w:top w:w="80" w:type="dxa"/>
              <w:left w:w="80" w:type="dxa"/>
              <w:bottom w:w="80" w:type="dxa"/>
              <w:right w:w="80" w:type="dxa"/>
            </w:tcMar>
          </w:tcPr>
          <w:p w:rsidR="000773C7" w:rsidRDefault="000773C7" w:rsidP="00BC6EB4">
            <w:pPr>
              <w:rPr>
                <w:rFonts w:cs="Arial"/>
                <w:color w:val="000000"/>
                <w:sz w:val="20"/>
                <w:szCs w:val="20"/>
                <w:u w:color="000000"/>
              </w:rPr>
            </w:pPr>
            <w:r>
              <w:rPr>
                <w:rFonts w:cs="Arial"/>
                <w:color w:val="000000"/>
                <w:sz w:val="20"/>
                <w:szCs w:val="20"/>
                <w:u w:color="000000"/>
              </w:rPr>
              <w:t>May have prolonged recovery due to duration of action</w:t>
            </w:r>
          </w:p>
          <w:p w:rsidR="000773C7" w:rsidRPr="00723016" w:rsidRDefault="000773C7" w:rsidP="00BC6EB4">
            <w:pPr>
              <w:pStyle w:val="TableStyle2"/>
              <w:rPr>
                <w:rFonts w:ascii="Arial" w:hAnsi="Arial" w:cs="Arial"/>
              </w:rPr>
            </w:pPr>
            <w:r>
              <w:rPr>
                <w:rFonts w:ascii="Arial" w:hAnsi="Arial" w:cs="Arial"/>
              </w:rPr>
              <w:t>Bradycardia is common</w:t>
            </w:r>
          </w:p>
        </w:tc>
      </w:tr>
      <w:tr w:rsidR="000773C7" w:rsidTr="00BC6EB4">
        <w:trPr>
          <w:trHeight w:val="658"/>
        </w:trPr>
        <w:tc>
          <w:tcPr>
            <w:tcW w:w="1344" w:type="dxa"/>
            <w:vMerge/>
            <w:tcBorders>
              <w:left w:val="single" w:sz="2" w:space="0" w:color="000000"/>
              <w:bottom w:val="single" w:sz="2" w:space="0" w:color="000000"/>
              <w:right w:val="single" w:sz="4" w:space="0" w:color="000000"/>
            </w:tcBorders>
            <w:shd w:val="clear" w:color="auto" w:fill="E2E4E3"/>
          </w:tcPr>
          <w:p w:rsidR="000773C7" w:rsidRDefault="000773C7" w:rsidP="00BC6EB4"/>
        </w:tc>
        <w:tc>
          <w:tcPr>
            <w:tcW w:w="850" w:type="dxa"/>
            <w:tcBorders>
              <w:top w:val="single" w:sz="2" w:space="0" w:color="000000"/>
              <w:left w:val="single" w:sz="4"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oral</w:t>
            </w:r>
          </w:p>
        </w:tc>
        <w:tc>
          <w:tcPr>
            <w:tcW w:w="1276" w:type="dxa"/>
            <w:vMerge/>
            <w:tcBorders>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rsidR="000773C7" w:rsidRPr="00723016" w:rsidRDefault="000773C7" w:rsidP="00BC6EB4">
            <w:pPr>
              <w:rPr>
                <w:rFonts w:cs="Arial"/>
                <w:sz w:val="20"/>
                <w:szCs w:val="20"/>
              </w:rPr>
            </w:pPr>
          </w:p>
        </w:tc>
        <w:tc>
          <w:tcPr>
            <w:tcW w:w="850"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rsidR="000773C7" w:rsidRPr="00723016" w:rsidRDefault="000773C7" w:rsidP="00BC6EB4">
            <w:pPr>
              <w:rPr>
                <w:rFonts w:cs="Arial"/>
                <w:sz w:val="20"/>
                <w:szCs w:val="20"/>
              </w:rPr>
            </w:pPr>
            <w:r>
              <w:rPr>
                <w:rFonts w:cs="Arial"/>
                <w:sz w:val="20"/>
                <w:szCs w:val="20"/>
              </w:rPr>
              <w:t>a</w:t>
            </w:r>
            <w:r w:rsidRPr="00723016">
              <w:rPr>
                <w:rFonts w:cs="Arial"/>
                <w:sz w:val="20"/>
                <w:szCs w:val="20"/>
              </w:rPr>
              <w:t>ny</w:t>
            </w:r>
          </w:p>
        </w:tc>
        <w:tc>
          <w:tcPr>
            <w:tcW w:w="1134"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4 m</w:t>
            </w:r>
            <w:r>
              <w:rPr>
                <w:rFonts w:ascii="Arial" w:hAnsi="Arial" w:cs="Arial"/>
              </w:rPr>
              <w:t>icrograms</w:t>
            </w:r>
            <w:r w:rsidRPr="00723016">
              <w:rPr>
                <w:rFonts w:ascii="Arial" w:hAnsi="Arial" w:cs="Arial"/>
              </w:rPr>
              <w:t xml:space="preserve"> /kg</w:t>
            </w:r>
          </w:p>
        </w:tc>
        <w:tc>
          <w:tcPr>
            <w:tcW w:w="1016"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rsidR="000773C7" w:rsidRPr="00723016" w:rsidRDefault="000773C7" w:rsidP="00BC6EB4">
            <w:pPr>
              <w:rPr>
                <w:rFonts w:cs="Arial"/>
                <w:sz w:val="20"/>
                <w:szCs w:val="20"/>
              </w:rPr>
            </w:pPr>
            <w:r>
              <w:rPr>
                <w:rFonts w:cs="Arial"/>
                <w:sz w:val="20"/>
                <w:szCs w:val="20"/>
              </w:rPr>
              <w:t>30 - 45</w:t>
            </w:r>
            <w:r w:rsidRPr="00723016">
              <w:rPr>
                <w:rFonts w:cs="Arial"/>
                <w:sz w:val="20"/>
                <w:szCs w:val="20"/>
              </w:rPr>
              <w:t xml:space="preserve"> minutes</w:t>
            </w:r>
          </w:p>
        </w:tc>
        <w:tc>
          <w:tcPr>
            <w:tcW w:w="1273"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rsidR="000773C7" w:rsidRPr="00723016" w:rsidRDefault="000773C7" w:rsidP="00BC6EB4">
            <w:pPr>
              <w:rPr>
                <w:rFonts w:cs="Arial"/>
                <w:sz w:val="20"/>
                <w:szCs w:val="20"/>
              </w:rPr>
            </w:pPr>
            <w:r w:rsidRPr="00723016">
              <w:rPr>
                <w:rFonts w:cs="Arial"/>
                <w:sz w:val="20"/>
                <w:szCs w:val="20"/>
              </w:rPr>
              <w:t>1-</w:t>
            </w:r>
            <w:r>
              <w:rPr>
                <w:rFonts w:cs="Arial"/>
                <w:sz w:val="20"/>
                <w:szCs w:val="20"/>
              </w:rPr>
              <w:t>6</w:t>
            </w:r>
            <w:r w:rsidRPr="00723016">
              <w:rPr>
                <w:rFonts w:cs="Arial"/>
                <w:sz w:val="20"/>
                <w:szCs w:val="20"/>
              </w:rPr>
              <w:t xml:space="preserve"> hours</w:t>
            </w:r>
          </w:p>
        </w:tc>
        <w:tc>
          <w:tcPr>
            <w:tcW w:w="1896" w:type="dxa"/>
            <w:vMerge/>
            <w:tcBorders>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p>
        </w:tc>
      </w:tr>
      <w:tr w:rsidR="000773C7" w:rsidTr="00BC6EB4">
        <w:trPr>
          <w:trHeight w:val="490"/>
        </w:trPr>
        <w:tc>
          <w:tcPr>
            <w:tcW w:w="1344" w:type="dxa"/>
            <w:vMerge w:val="restart"/>
            <w:tcBorders>
              <w:top w:val="single" w:sz="2" w:space="0" w:color="000000"/>
              <w:left w:val="single" w:sz="2" w:space="0" w:color="000000"/>
              <w:right w:val="single" w:sz="4" w:space="0" w:color="000000"/>
            </w:tcBorders>
            <w:shd w:val="clear" w:color="auto" w:fill="E2E4E3"/>
            <w:tcMar>
              <w:top w:w="80" w:type="dxa"/>
              <w:left w:w="80" w:type="dxa"/>
              <w:bottom w:w="80" w:type="dxa"/>
              <w:right w:w="80" w:type="dxa"/>
            </w:tcMar>
          </w:tcPr>
          <w:p w:rsidR="000773C7" w:rsidRPr="00711F34" w:rsidRDefault="000773C7" w:rsidP="00BC6EB4">
            <w:pPr>
              <w:pStyle w:val="TableStyle1"/>
              <w:jc w:val="both"/>
              <w:rPr>
                <w:vertAlign w:val="superscript"/>
              </w:rPr>
            </w:pPr>
            <w:r>
              <w:rPr>
                <w:rFonts w:ascii="Arial" w:hAnsi="Arial"/>
              </w:rPr>
              <w:t>Midazolam</w:t>
            </w:r>
            <w:r>
              <w:rPr>
                <w:rFonts w:ascii="Arial" w:hAnsi="Arial"/>
                <w:vertAlign w:val="superscript"/>
              </w:rPr>
              <w:t>3,4,5</w:t>
            </w:r>
          </w:p>
        </w:tc>
        <w:tc>
          <w:tcPr>
            <w:tcW w:w="850" w:type="dxa"/>
            <w:tcBorders>
              <w:top w:val="single" w:sz="2" w:space="0" w:color="000000"/>
              <w:left w:val="single" w:sz="4"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Pr>
                <w:rFonts w:ascii="Arial" w:hAnsi="Arial" w:cs="Arial"/>
              </w:rPr>
              <w:t>o</w:t>
            </w:r>
            <w:r w:rsidRPr="00723016">
              <w:rPr>
                <w:rFonts w:ascii="Arial" w:hAnsi="Arial" w:cs="Arial"/>
              </w:rPr>
              <w:t>ral</w:t>
            </w:r>
            <w:r w:rsidRPr="008841A6">
              <w:rPr>
                <w:rFonts w:ascii="Arial" w:hAnsi="Arial" w:cs="Arial"/>
                <w:vertAlign w:val="superscript"/>
              </w:rPr>
              <w:t>8</w:t>
            </w:r>
            <w:r>
              <w:rPr>
                <w:rFonts w:ascii="Arial" w:hAnsi="Arial" w:cs="Arial"/>
              </w:rPr>
              <w:br/>
            </w:r>
            <w:r w:rsidRPr="007D10D4">
              <w:rPr>
                <w:rFonts w:ascii="Arial" w:hAnsi="Arial" w:cs="Arial"/>
                <w:sz w:val="18"/>
                <w:szCs w:val="18"/>
              </w:rPr>
              <w:t>(</w:t>
            </w:r>
            <w:proofErr w:type="spellStart"/>
            <w:r w:rsidRPr="007D10D4">
              <w:rPr>
                <w:rFonts w:ascii="Arial" w:hAnsi="Arial" w:cs="Arial"/>
                <w:sz w:val="18"/>
                <w:szCs w:val="18"/>
              </w:rPr>
              <w:t>Ozalin</w:t>
            </w:r>
            <w:proofErr w:type="spellEnd"/>
            <w:r w:rsidRPr="007D10D4">
              <w:rPr>
                <w:rFonts w:ascii="Arial" w:hAnsi="Arial" w:cs="Arial"/>
                <w:sz w:val="18"/>
                <w:szCs w:val="18"/>
              </w:rPr>
              <w:t>)</w:t>
            </w:r>
          </w:p>
        </w:tc>
        <w:tc>
          <w:tcPr>
            <w:tcW w:w="127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Pr>
                <w:rFonts w:ascii="Arial" w:hAnsi="Arial" w:cs="Arial"/>
              </w:rPr>
              <w:t xml:space="preserve">Oral solution </w:t>
            </w:r>
            <w:r w:rsidRPr="00723016">
              <w:rPr>
                <w:rFonts w:ascii="Arial" w:hAnsi="Arial" w:cs="Arial"/>
              </w:rPr>
              <w:t>2mg/ml</w:t>
            </w:r>
          </w:p>
        </w:tc>
        <w:tc>
          <w:tcPr>
            <w:tcW w:w="85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any</w:t>
            </w:r>
          </w:p>
        </w:tc>
        <w:tc>
          <w:tcPr>
            <w:tcW w:w="113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Pr>
                <w:rFonts w:ascii="Arial" w:hAnsi="Arial" w:cs="Arial"/>
              </w:rPr>
              <w:t>0.25</w:t>
            </w:r>
            <w:r w:rsidRPr="00723016">
              <w:rPr>
                <w:rFonts w:ascii="Arial" w:hAnsi="Arial" w:cs="Arial"/>
              </w:rPr>
              <w:t xml:space="preserve"> mg/kg</w:t>
            </w:r>
          </w:p>
        </w:tc>
        <w:tc>
          <w:tcPr>
            <w:tcW w:w="10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20-30 minutes</w:t>
            </w:r>
          </w:p>
        </w:tc>
        <w:tc>
          <w:tcPr>
            <w:tcW w:w="127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1-6 hours</w:t>
            </w:r>
          </w:p>
        </w:tc>
        <w:tc>
          <w:tcPr>
            <w:tcW w:w="189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lang w:val="en-US"/>
              </w:rPr>
              <w:t>20 mg</w:t>
            </w:r>
            <w:r w:rsidRPr="00723016">
              <w:rPr>
                <w:rFonts w:ascii="Arial" w:hAnsi="Arial" w:cs="Arial"/>
                <w:vertAlign w:val="superscript"/>
                <w:lang w:val="en-US"/>
              </w:rPr>
              <w:t>3</w:t>
            </w:r>
          </w:p>
        </w:tc>
      </w:tr>
      <w:tr w:rsidR="000773C7" w:rsidTr="00BC6EB4">
        <w:trPr>
          <w:trHeight w:val="490"/>
        </w:trPr>
        <w:tc>
          <w:tcPr>
            <w:tcW w:w="1344" w:type="dxa"/>
            <w:vMerge/>
            <w:tcBorders>
              <w:left w:val="single" w:sz="2" w:space="0" w:color="000000"/>
              <w:bottom w:val="single" w:sz="2" w:space="0" w:color="000000"/>
              <w:right w:val="single" w:sz="4" w:space="0" w:color="000000"/>
            </w:tcBorders>
            <w:shd w:val="clear" w:color="auto" w:fill="E2E4E3"/>
            <w:tcMar>
              <w:top w:w="80" w:type="dxa"/>
              <w:left w:w="80" w:type="dxa"/>
              <w:bottom w:w="80" w:type="dxa"/>
              <w:right w:w="80" w:type="dxa"/>
            </w:tcMar>
          </w:tcPr>
          <w:p w:rsidR="000773C7" w:rsidRDefault="000773C7" w:rsidP="00BC6EB4">
            <w:pPr>
              <w:pStyle w:val="TableStyle1"/>
              <w:jc w:val="both"/>
              <w:rPr>
                <w:rFonts w:ascii="Arial" w:hAnsi="Arial"/>
              </w:rPr>
            </w:pPr>
          </w:p>
        </w:tc>
        <w:tc>
          <w:tcPr>
            <w:tcW w:w="850" w:type="dxa"/>
            <w:tcBorders>
              <w:top w:val="single" w:sz="2" w:space="0" w:color="000000"/>
              <w:left w:val="single" w:sz="4"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Pr="00723016" w:rsidRDefault="000773C7" w:rsidP="00BC6EB4">
            <w:pPr>
              <w:pStyle w:val="TableStyle2"/>
              <w:rPr>
                <w:rFonts w:ascii="Arial" w:hAnsi="Arial" w:cs="Arial"/>
              </w:rPr>
            </w:pPr>
            <w:r>
              <w:rPr>
                <w:rFonts w:ascii="Arial" w:hAnsi="Arial" w:cs="Arial"/>
              </w:rPr>
              <w:t>o</w:t>
            </w:r>
            <w:r w:rsidRPr="00723016">
              <w:rPr>
                <w:rFonts w:ascii="Arial" w:hAnsi="Arial" w:cs="Arial"/>
              </w:rPr>
              <w:t>ral</w:t>
            </w:r>
            <w:r>
              <w:rPr>
                <w:rFonts w:ascii="Arial" w:hAnsi="Arial" w:cs="Arial"/>
              </w:rPr>
              <w:br/>
            </w:r>
            <w:r>
              <w:rPr>
                <w:rFonts w:ascii="Arial" w:hAnsi="Arial" w:cs="Arial"/>
                <w:sz w:val="18"/>
                <w:szCs w:val="18"/>
              </w:rPr>
              <w:t>(IV solution)</w:t>
            </w:r>
          </w:p>
        </w:tc>
        <w:tc>
          <w:tcPr>
            <w:tcW w:w="127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Default="000773C7" w:rsidP="00BC6EB4">
            <w:pPr>
              <w:pStyle w:val="TableStyle2"/>
              <w:rPr>
                <w:rFonts w:ascii="Arial" w:hAnsi="Arial" w:cs="Arial"/>
              </w:rPr>
            </w:pPr>
            <w:r>
              <w:rPr>
                <w:rFonts w:ascii="Arial" w:hAnsi="Arial" w:cs="Arial"/>
              </w:rPr>
              <w:t>IV solution</w:t>
            </w:r>
          </w:p>
        </w:tc>
        <w:tc>
          <w:tcPr>
            <w:tcW w:w="850"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any</w:t>
            </w:r>
          </w:p>
        </w:tc>
        <w:tc>
          <w:tcPr>
            <w:tcW w:w="1134"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Default="000773C7" w:rsidP="00BC6EB4">
            <w:pPr>
              <w:pStyle w:val="TableStyle2"/>
              <w:rPr>
                <w:rFonts w:ascii="Arial" w:hAnsi="Arial" w:cs="Arial"/>
              </w:rPr>
            </w:pPr>
            <w:r>
              <w:rPr>
                <w:rFonts w:ascii="Arial" w:hAnsi="Arial" w:cs="Arial"/>
              </w:rPr>
              <w:t>0.5</w:t>
            </w:r>
            <w:r w:rsidRPr="00723016">
              <w:rPr>
                <w:rFonts w:ascii="Arial" w:hAnsi="Arial" w:cs="Arial"/>
              </w:rPr>
              <w:t xml:space="preserve"> mg/kg</w:t>
            </w:r>
          </w:p>
        </w:tc>
        <w:tc>
          <w:tcPr>
            <w:tcW w:w="10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20-30 minutes</w:t>
            </w:r>
          </w:p>
        </w:tc>
        <w:tc>
          <w:tcPr>
            <w:tcW w:w="1273"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1-6 hours</w:t>
            </w:r>
          </w:p>
        </w:tc>
        <w:tc>
          <w:tcPr>
            <w:tcW w:w="189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Pr="00723016" w:rsidRDefault="000773C7" w:rsidP="00BC6EB4">
            <w:pPr>
              <w:pStyle w:val="TableStyle2"/>
              <w:rPr>
                <w:rFonts w:ascii="Arial" w:hAnsi="Arial" w:cs="Arial"/>
                <w:lang w:val="en-US"/>
              </w:rPr>
            </w:pPr>
            <w:r w:rsidRPr="00723016">
              <w:rPr>
                <w:rFonts w:ascii="Arial" w:hAnsi="Arial" w:cs="Arial"/>
                <w:lang w:val="en-US"/>
              </w:rPr>
              <w:t>20 mg</w:t>
            </w:r>
            <w:r w:rsidRPr="00723016">
              <w:rPr>
                <w:rFonts w:ascii="Arial" w:hAnsi="Arial" w:cs="Arial"/>
                <w:vertAlign w:val="superscript"/>
                <w:lang w:val="en-US"/>
              </w:rPr>
              <w:t>3</w:t>
            </w:r>
          </w:p>
        </w:tc>
      </w:tr>
      <w:tr w:rsidR="000773C7" w:rsidTr="00BC6EB4">
        <w:trPr>
          <w:trHeight w:val="579"/>
        </w:trPr>
        <w:tc>
          <w:tcPr>
            <w:tcW w:w="1344" w:type="dxa"/>
            <w:vMerge w:val="restart"/>
            <w:tcBorders>
              <w:top w:val="single" w:sz="2" w:space="0" w:color="000000"/>
              <w:left w:val="single" w:sz="2" w:space="0" w:color="000000"/>
              <w:bottom w:val="single" w:sz="2" w:space="0" w:color="000000"/>
              <w:right w:val="single" w:sz="4" w:space="0" w:color="000000"/>
            </w:tcBorders>
            <w:shd w:val="clear" w:color="auto" w:fill="E2E4E3"/>
            <w:tcMar>
              <w:top w:w="80" w:type="dxa"/>
              <w:left w:w="80" w:type="dxa"/>
              <w:bottom w:w="80" w:type="dxa"/>
              <w:right w:w="80" w:type="dxa"/>
            </w:tcMar>
          </w:tcPr>
          <w:p w:rsidR="000773C7" w:rsidRDefault="000773C7" w:rsidP="00BC6EB4">
            <w:pPr>
              <w:pStyle w:val="TableStyle1"/>
            </w:pPr>
            <w:r>
              <w:rPr>
                <w:rFonts w:ascii="Arial" w:hAnsi="Arial"/>
              </w:rPr>
              <w:t>Ketamine</w:t>
            </w:r>
            <w:r>
              <w:rPr>
                <w:rFonts w:ascii="Arial" w:hAnsi="Arial"/>
                <w:vertAlign w:val="superscript"/>
                <w:lang w:val="en-US"/>
              </w:rPr>
              <w:t>5,6</w:t>
            </w:r>
          </w:p>
        </w:tc>
        <w:tc>
          <w:tcPr>
            <w:tcW w:w="850" w:type="dxa"/>
            <w:tcBorders>
              <w:top w:val="single" w:sz="2" w:space="0" w:color="000000"/>
              <w:left w:val="single" w:sz="4"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Oral</w:t>
            </w:r>
          </w:p>
        </w:tc>
        <w:tc>
          <w:tcPr>
            <w:tcW w:w="1276" w:type="dxa"/>
            <w:vMerge w:val="restart"/>
            <w:tcBorders>
              <w:top w:val="single" w:sz="2" w:space="0" w:color="000000"/>
              <w:left w:val="single" w:sz="2" w:space="0" w:color="000000"/>
              <w:right w:val="single" w:sz="2" w:space="0" w:color="000000"/>
            </w:tcBorders>
            <w:shd w:val="clear" w:color="auto" w:fill="auto"/>
            <w:tcMar>
              <w:top w:w="80" w:type="dxa"/>
              <w:left w:w="80" w:type="dxa"/>
              <w:bottom w:w="80" w:type="dxa"/>
              <w:right w:w="80" w:type="dxa"/>
            </w:tcMar>
          </w:tcPr>
          <w:p w:rsidR="000773C7" w:rsidRPr="00001070" w:rsidRDefault="000773C7" w:rsidP="00BC6EB4">
            <w:pPr>
              <w:pStyle w:val="TableStyle2"/>
              <w:rPr>
                <w:rFonts w:ascii="Arial" w:hAnsi="Arial" w:cs="Arial"/>
              </w:rPr>
            </w:pPr>
            <w:r w:rsidRPr="00001070">
              <w:rPr>
                <w:rFonts w:ascii="Arial" w:hAnsi="Arial" w:cs="Arial"/>
              </w:rPr>
              <w:t>50mg/ml</w:t>
            </w:r>
          </w:p>
          <w:p w:rsidR="000773C7" w:rsidRPr="00723016" w:rsidRDefault="000773C7" w:rsidP="00BC6EB4">
            <w:pPr>
              <w:pStyle w:val="TableStyle2"/>
              <w:rPr>
                <w:rFonts w:ascii="Arial" w:hAnsi="Arial" w:cs="Arial"/>
              </w:rPr>
            </w:pPr>
            <w:r w:rsidRPr="00001070">
              <w:rPr>
                <w:rFonts w:ascii="Arial" w:hAnsi="Arial" w:cs="Arial"/>
              </w:rPr>
              <w:t>Solution for injection may be administered via these routes – this is not within the product license</w:t>
            </w:r>
          </w:p>
        </w:tc>
        <w:tc>
          <w:tcPr>
            <w:tcW w:w="85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&gt;1 year</w:t>
            </w:r>
          </w:p>
        </w:tc>
        <w:tc>
          <w:tcPr>
            <w:tcW w:w="113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Pr>
                <w:rFonts w:ascii="Arial" w:hAnsi="Arial" w:cs="Arial"/>
              </w:rPr>
              <w:t xml:space="preserve">5-10 </w:t>
            </w:r>
            <w:r w:rsidRPr="00723016">
              <w:rPr>
                <w:rFonts w:ascii="Arial" w:hAnsi="Arial" w:cs="Arial"/>
              </w:rPr>
              <w:t>mg/kg</w:t>
            </w:r>
          </w:p>
        </w:tc>
        <w:tc>
          <w:tcPr>
            <w:tcW w:w="10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20-30 minutes</w:t>
            </w:r>
          </w:p>
        </w:tc>
        <w:tc>
          <w:tcPr>
            <w:tcW w:w="127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1-2 hours</w:t>
            </w:r>
          </w:p>
        </w:tc>
        <w:tc>
          <w:tcPr>
            <w:tcW w:w="189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p>
        </w:tc>
      </w:tr>
      <w:tr w:rsidR="000773C7" w:rsidTr="00BC6EB4">
        <w:trPr>
          <w:trHeight w:val="438"/>
        </w:trPr>
        <w:tc>
          <w:tcPr>
            <w:tcW w:w="1344" w:type="dxa"/>
            <w:vMerge/>
            <w:tcBorders>
              <w:top w:val="single" w:sz="2" w:space="0" w:color="000000"/>
              <w:left w:val="single" w:sz="2" w:space="0" w:color="000000"/>
              <w:bottom w:val="single" w:sz="2" w:space="0" w:color="000000"/>
              <w:right w:val="single" w:sz="4" w:space="0" w:color="000000"/>
            </w:tcBorders>
            <w:shd w:val="clear" w:color="auto" w:fill="E2E4E3"/>
          </w:tcPr>
          <w:p w:rsidR="000773C7" w:rsidRDefault="000773C7" w:rsidP="00BC6EB4"/>
        </w:tc>
        <w:tc>
          <w:tcPr>
            <w:tcW w:w="850" w:type="dxa"/>
            <w:tcBorders>
              <w:top w:val="single" w:sz="2" w:space="0" w:color="000000"/>
              <w:left w:val="single" w:sz="4"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intra nasal</w:t>
            </w:r>
          </w:p>
        </w:tc>
        <w:tc>
          <w:tcPr>
            <w:tcW w:w="1276" w:type="dxa"/>
            <w:vMerge/>
            <w:tcBorders>
              <w:left w:val="single" w:sz="2" w:space="0" w:color="000000"/>
              <w:right w:val="single" w:sz="2" w:space="0" w:color="000000"/>
            </w:tcBorders>
            <w:shd w:val="clear" w:color="auto" w:fill="EEEEEE"/>
            <w:tcMar>
              <w:top w:w="80" w:type="dxa"/>
              <w:left w:w="80" w:type="dxa"/>
              <w:bottom w:w="80" w:type="dxa"/>
              <w:right w:w="80" w:type="dxa"/>
            </w:tcMar>
          </w:tcPr>
          <w:p w:rsidR="000773C7" w:rsidRPr="00723016" w:rsidRDefault="000773C7" w:rsidP="00BC6EB4">
            <w:pPr>
              <w:pStyle w:val="TableStyle2"/>
              <w:rPr>
                <w:rFonts w:ascii="Arial" w:hAnsi="Arial" w:cs="Arial"/>
              </w:rPr>
            </w:pPr>
          </w:p>
        </w:tc>
        <w:tc>
          <w:tcPr>
            <w:tcW w:w="850"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&gt;1 year</w:t>
            </w:r>
          </w:p>
        </w:tc>
        <w:tc>
          <w:tcPr>
            <w:tcW w:w="1134"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5-10</w:t>
            </w:r>
            <w:r>
              <w:rPr>
                <w:rFonts w:ascii="Arial" w:hAnsi="Arial" w:cs="Arial"/>
              </w:rPr>
              <w:t xml:space="preserve"> </w:t>
            </w:r>
            <w:r w:rsidRPr="00723016">
              <w:rPr>
                <w:rFonts w:ascii="Arial" w:hAnsi="Arial" w:cs="Arial"/>
              </w:rPr>
              <w:t>mg/kg</w:t>
            </w:r>
          </w:p>
        </w:tc>
        <w:tc>
          <w:tcPr>
            <w:tcW w:w="10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10-15 minutes</w:t>
            </w:r>
          </w:p>
        </w:tc>
        <w:tc>
          <w:tcPr>
            <w:tcW w:w="1273"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1-2 hours</w:t>
            </w:r>
          </w:p>
        </w:tc>
        <w:tc>
          <w:tcPr>
            <w:tcW w:w="189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0773C7" w:rsidRPr="00723016" w:rsidRDefault="000773C7" w:rsidP="00BC6EB4">
            <w:pPr>
              <w:pStyle w:val="TableStyle2"/>
              <w:rPr>
                <w:rFonts w:ascii="Arial" w:hAnsi="Arial" w:cs="Arial"/>
              </w:rPr>
            </w:pPr>
          </w:p>
        </w:tc>
      </w:tr>
      <w:tr w:rsidR="000773C7" w:rsidTr="00BC6EB4">
        <w:trPr>
          <w:trHeight w:val="490"/>
        </w:trPr>
        <w:tc>
          <w:tcPr>
            <w:tcW w:w="1344" w:type="dxa"/>
            <w:vMerge/>
            <w:tcBorders>
              <w:top w:val="single" w:sz="2" w:space="0" w:color="000000"/>
              <w:left w:val="single" w:sz="2" w:space="0" w:color="000000"/>
              <w:bottom w:val="single" w:sz="2" w:space="0" w:color="000000"/>
              <w:right w:val="single" w:sz="4" w:space="0" w:color="000000"/>
            </w:tcBorders>
            <w:shd w:val="clear" w:color="auto" w:fill="E2E4E3"/>
          </w:tcPr>
          <w:p w:rsidR="000773C7" w:rsidRDefault="000773C7" w:rsidP="00BC6EB4"/>
        </w:tc>
        <w:tc>
          <w:tcPr>
            <w:tcW w:w="850" w:type="dxa"/>
            <w:tcBorders>
              <w:top w:val="single" w:sz="2" w:space="0" w:color="000000"/>
              <w:left w:val="single" w:sz="4"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intra muscular</w:t>
            </w:r>
          </w:p>
        </w:tc>
        <w:tc>
          <w:tcPr>
            <w:tcW w:w="1276" w:type="dxa"/>
            <w:vMerge/>
            <w:tcBorders>
              <w:left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p>
        </w:tc>
        <w:tc>
          <w:tcPr>
            <w:tcW w:w="85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&gt;1 year</w:t>
            </w:r>
          </w:p>
        </w:tc>
        <w:tc>
          <w:tcPr>
            <w:tcW w:w="113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5</w:t>
            </w:r>
            <w:r>
              <w:rPr>
                <w:rFonts w:ascii="Arial" w:hAnsi="Arial" w:cs="Arial"/>
              </w:rPr>
              <w:t xml:space="preserve"> </w:t>
            </w:r>
            <w:r w:rsidRPr="00723016">
              <w:rPr>
                <w:rFonts w:ascii="Arial" w:hAnsi="Arial" w:cs="Arial"/>
              </w:rPr>
              <w:t>mg/kg</w:t>
            </w:r>
          </w:p>
        </w:tc>
        <w:tc>
          <w:tcPr>
            <w:tcW w:w="10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5 minutes</w:t>
            </w:r>
          </w:p>
        </w:tc>
        <w:tc>
          <w:tcPr>
            <w:tcW w:w="127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sidRPr="00723016">
              <w:rPr>
                <w:rFonts w:ascii="Arial" w:hAnsi="Arial" w:cs="Arial"/>
              </w:rPr>
              <w:t>1-2 hours</w:t>
            </w:r>
          </w:p>
        </w:tc>
        <w:tc>
          <w:tcPr>
            <w:tcW w:w="189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p>
        </w:tc>
      </w:tr>
      <w:tr w:rsidR="000773C7" w:rsidTr="00BC6EB4">
        <w:trPr>
          <w:trHeight w:val="490"/>
        </w:trPr>
        <w:tc>
          <w:tcPr>
            <w:tcW w:w="1344" w:type="dxa"/>
            <w:tcBorders>
              <w:top w:val="single" w:sz="2" w:space="0" w:color="000000"/>
              <w:left w:val="single" w:sz="2" w:space="0" w:color="000000"/>
              <w:bottom w:val="single" w:sz="2" w:space="0" w:color="000000"/>
              <w:right w:val="single" w:sz="4" w:space="0" w:color="000000"/>
            </w:tcBorders>
            <w:shd w:val="clear" w:color="auto" w:fill="E2E4E3"/>
          </w:tcPr>
          <w:p w:rsidR="000773C7" w:rsidRPr="00B313F6" w:rsidRDefault="000773C7" w:rsidP="00BC6EB4">
            <w:pPr>
              <w:rPr>
                <w:b/>
                <w:bCs/>
              </w:rPr>
            </w:pPr>
            <w:r w:rsidRPr="00B313F6">
              <w:rPr>
                <w:b/>
                <w:bCs/>
              </w:rPr>
              <w:t>Ketamine with Midazolam</w:t>
            </w:r>
          </w:p>
        </w:tc>
        <w:tc>
          <w:tcPr>
            <w:tcW w:w="850" w:type="dxa"/>
            <w:tcBorders>
              <w:top w:val="single" w:sz="2" w:space="0" w:color="000000"/>
              <w:left w:val="single" w:sz="4"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Pr>
                <w:rFonts w:ascii="Arial" w:hAnsi="Arial" w:cs="Arial"/>
              </w:rPr>
              <w:t>Oral</w:t>
            </w:r>
          </w:p>
        </w:tc>
        <w:tc>
          <w:tcPr>
            <w:tcW w:w="1276" w:type="dxa"/>
            <w:tcBorders>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p>
        </w:tc>
        <w:tc>
          <w:tcPr>
            <w:tcW w:w="85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Pr>
                <w:rFonts w:ascii="Arial" w:hAnsi="Arial" w:cs="Arial"/>
              </w:rPr>
              <w:t xml:space="preserve">&gt;1 </w:t>
            </w:r>
            <w:proofErr w:type="spellStart"/>
            <w:r>
              <w:rPr>
                <w:rFonts w:ascii="Arial" w:hAnsi="Arial" w:cs="Arial"/>
              </w:rPr>
              <w:t>yr</w:t>
            </w:r>
            <w:proofErr w:type="spellEnd"/>
          </w:p>
        </w:tc>
        <w:tc>
          <w:tcPr>
            <w:tcW w:w="113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Default="000773C7" w:rsidP="00BC6EB4">
            <w:pPr>
              <w:pStyle w:val="TableStyle2"/>
              <w:rPr>
                <w:rFonts w:ascii="Arial" w:hAnsi="Arial" w:cs="Arial"/>
              </w:rPr>
            </w:pPr>
            <w:r>
              <w:rPr>
                <w:rFonts w:ascii="Arial" w:hAnsi="Arial" w:cs="Arial"/>
              </w:rPr>
              <w:t>Ketamine 3-5mg/kg</w:t>
            </w:r>
          </w:p>
          <w:p w:rsidR="000773C7" w:rsidRDefault="000773C7" w:rsidP="00BC6EB4">
            <w:pPr>
              <w:pStyle w:val="TableStyle2"/>
              <w:rPr>
                <w:rFonts w:ascii="Arial" w:hAnsi="Arial" w:cs="Arial"/>
              </w:rPr>
            </w:pPr>
          </w:p>
          <w:p w:rsidR="000773C7" w:rsidRPr="00723016" w:rsidRDefault="000773C7" w:rsidP="00BC6EB4">
            <w:pPr>
              <w:pStyle w:val="TableStyle2"/>
              <w:rPr>
                <w:rFonts w:ascii="Arial" w:hAnsi="Arial" w:cs="Arial"/>
              </w:rPr>
            </w:pPr>
            <w:r>
              <w:rPr>
                <w:rFonts w:ascii="Arial" w:hAnsi="Arial" w:cs="Arial"/>
              </w:rPr>
              <w:t>Midazolam as above</w:t>
            </w:r>
          </w:p>
        </w:tc>
        <w:tc>
          <w:tcPr>
            <w:tcW w:w="10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Pr>
                <w:rFonts w:ascii="Arial" w:hAnsi="Arial" w:cs="Arial"/>
              </w:rPr>
              <w:t>20-30 mins</w:t>
            </w:r>
          </w:p>
        </w:tc>
        <w:tc>
          <w:tcPr>
            <w:tcW w:w="127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r>
              <w:rPr>
                <w:rFonts w:ascii="Arial" w:hAnsi="Arial" w:cs="Arial"/>
              </w:rPr>
              <w:t>1-6 hours</w:t>
            </w:r>
          </w:p>
        </w:tc>
        <w:tc>
          <w:tcPr>
            <w:tcW w:w="189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0773C7" w:rsidRPr="00723016" w:rsidRDefault="000773C7" w:rsidP="00BC6EB4">
            <w:pPr>
              <w:pStyle w:val="TableStyle2"/>
              <w:rPr>
                <w:rFonts w:ascii="Arial" w:hAnsi="Arial" w:cs="Arial"/>
              </w:rPr>
            </w:pPr>
          </w:p>
        </w:tc>
      </w:tr>
    </w:tbl>
    <w:p w:rsidR="002E0AD8" w:rsidRDefault="002E0AD8" w:rsidP="002E0AD8">
      <w:pPr>
        <w:pStyle w:val="NDHTBodyText"/>
        <w:ind w:left="0" w:firstLine="0"/>
        <w:rPr>
          <w:b/>
          <w:bCs/>
        </w:rPr>
      </w:pPr>
    </w:p>
    <w:p w:rsidR="000773C7" w:rsidRDefault="000773C7" w:rsidP="002E0AD8">
      <w:pPr>
        <w:pStyle w:val="NDHTBodyText"/>
        <w:ind w:left="0" w:firstLine="0"/>
        <w:rPr>
          <w:b/>
          <w:bCs/>
        </w:rPr>
      </w:pPr>
    </w:p>
    <w:p w:rsidR="002E0AD8" w:rsidRDefault="002E0AD8" w:rsidP="002E0AD8">
      <w:pPr>
        <w:pStyle w:val="NDHTBodyText"/>
        <w:numPr>
          <w:ilvl w:val="1"/>
          <w:numId w:val="15"/>
        </w:numPr>
        <w:ind w:left="567" w:hanging="567"/>
        <w:rPr>
          <w:b/>
          <w:bCs/>
        </w:rPr>
      </w:pPr>
      <w:r>
        <w:rPr>
          <w:b/>
          <w:bCs/>
        </w:rPr>
        <w:lastRenderedPageBreak/>
        <w:t>Notes</w:t>
      </w:r>
    </w:p>
    <w:p w:rsidR="000773C7" w:rsidRDefault="000773C7" w:rsidP="000773C7">
      <w:pPr>
        <w:pStyle w:val="ListParagraph"/>
        <w:rPr>
          <w:b/>
          <w:bCs/>
        </w:rPr>
      </w:pPr>
    </w:p>
    <w:p w:rsidR="000773C7" w:rsidRPr="000773C7" w:rsidRDefault="000773C7" w:rsidP="000773C7">
      <w:pPr>
        <w:pStyle w:val="NDHTBodyText"/>
        <w:numPr>
          <w:ilvl w:val="1"/>
          <w:numId w:val="23"/>
        </w:numPr>
        <w:ind w:left="993" w:hanging="338"/>
      </w:pPr>
      <w:r w:rsidRPr="000773C7">
        <w:t xml:space="preserve">The 100 microgram Clonidine tablets can be crushed and dispersed in water. This can be considered to minimise the volume of liquid. </w:t>
      </w:r>
    </w:p>
    <w:p w:rsidR="000773C7" w:rsidRPr="000773C7" w:rsidRDefault="000773C7" w:rsidP="000773C7">
      <w:pPr>
        <w:pStyle w:val="NDHTBodyText"/>
        <w:numPr>
          <w:ilvl w:val="1"/>
          <w:numId w:val="23"/>
        </w:numPr>
        <w:ind w:left="993" w:hanging="338"/>
      </w:pPr>
      <w:r w:rsidRPr="000773C7">
        <w:t>Dexmedetomidine is shorter acting than clonidine, has little if any respiratory depression, is easy to administer intranasally and is not as irritant as midazolam. IV Dexmedetomidine is available from the drug cupboard in theatre 6.</w:t>
      </w:r>
    </w:p>
    <w:p w:rsidR="000773C7" w:rsidRPr="000773C7" w:rsidRDefault="000773C7" w:rsidP="000773C7">
      <w:pPr>
        <w:pStyle w:val="NDHTBodyText"/>
        <w:numPr>
          <w:ilvl w:val="1"/>
          <w:numId w:val="23"/>
        </w:numPr>
        <w:ind w:left="993" w:hanging="338"/>
      </w:pPr>
      <w:r w:rsidRPr="000773C7">
        <w:t>Oral midazolam can be increased above the recommended maximum dose but this is the sole responsibility of the Anaesthetist concerned.</w:t>
      </w:r>
    </w:p>
    <w:p w:rsidR="000773C7" w:rsidRPr="000773C7" w:rsidRDefault="000773C7" w:rsidP="000773C7">
      <w:pPr>
        <w:pStyle w:val="NDHTBodyText"/>
        <w:numPr>
          <w:ilvl w:val="1"/>
          <w:numId w:val="23"/>
        </w:numPr>
        <w:ind w:left="993" w:hanging="338"/>
      </w:pPr>
      <w:r w:rsidRPr="000773C7">
        <w:t>Ketamine can be mixed and given with midazolam at the dose described above.</w:t>
      </w:r>
    </w:p>
    <w:p w:rsidR="000773C7" w:rsidRPr="000773C7" w:rsidRDefault="000773C7" w:rsidP="000773C7">
      <w:pPr>
        <w:pStyle w:val="NDHTBodyText"/>
        <w:numPr>
          <w:ilvl w:val="1"/>
          <w:numId w:val="23"/>
        </w:numPr>
        <w:ind w:left="993" w:hanging="338"/>
      </w:pPr>
      <w:r w:rsidRPr="000773C7">
        <w:t>Dexmedetomidine can be mixed and given with midazolam at the doses described above.</w:t>
      </w:r>
    </w:p>
    <w:p w:rsidR="000773C7" w:rsidRPr="000773C7" w:rsidRDefault="000773C7" w:rsidP="000773C7">
      <w:pPr>
        <w:pStyle w:val="NDHTBodyText"/>
        <w:numPr>
          <w:ilvl w:val="1"/>
          <w:numId w:val="23"/>
        </w:numPr>
        <w:ind w:left="993" w:hanging="338"/>
      </w:pPr>
      <w:r w:rsidRPr="000773C7">
        <w:t>Ketamine is a good analgesic but is hallucinogenic and patients should be recovered in a relatively quiet and non-stimulating environment. The IV solution is available from the theatre 6 Controlled Drug cupboard.</w:t>
      </w:r>
    </w:p>
    <w:p w:rsidR="000773C7" w:rsidRPr="000773C7" w:rsidRDefault="000773C7" w:rsidP="000773C7">
      <w:pPr>
        <w:pStyle w:val="NDHTBodyText"/>
        <w:numPr>
          <w:ilvl w:val="1"/>
          <w:numId w:val="23"/>
        </w:numPr>
        <w:ind w:left="993" w:hanging="338"/>
      </w:pPr>
      <w:r w:rsidRPr="000773C7">
        <w:t xml:space="preserve">If asked to prescribe a premedication in order to facilitate attendance for surgery. This is not a usual process and should undergo an MDT discussion prior to consideration. Alternative strategies should be sought, such as desensitisation. </w:t>
      </w:r>
    </w:p>
    <w:p w:rsidR="000773C7" w:rsidRPr="002E0AD8" w:rsidRDefault="000773C7" w:rsidP="000773C7">
      <w:pPr>
        <w:pStyle w:val="NDHTBodyText"/>
        <w:numPr>
          <w:ilvl w:val="1"/>
          <w:numId w:val="23"/>
        </w:numPr>
        <w:ind w:left="993" w:hanging="338"/>
        <w:rPr>
          <w:b/>
          <w:bCs/>
        </w:rPr>
      </w:pPr>
      <w:r w:rsidRPr="000773C7">
        <w:t>Oral Midazolam (</w:t>
      </w:r>
      <w:proofErr w:type="spellStart"/>
      <w:r w:rsidRPr="000773C7">
        <w:t>Ozalin</w:t>
      </w:r>
      <w:proofErr w:type="spellEnd"/>
      <w:r w:rsidRPr="000773C7">
        <w:t>®) comes in a pack including an ampoule of 10mg/5ml, drawing up straw and syringe. The syringe that has graduations based on patient weight. Physicians prescribe the dose as per normal practice and the nursing staff have undergone training to dispense correctly.</w:t>
      </w:r>
    </w:p>
    <w:p w:rsidR="00D822CC" w:rsidRDefault="00D822CC" w:rsidP="00D822CC">
      <w:pPr>
        <w:spacing w:after="160" w:line="240" w:lineRule="auto"/>
        <w:ind w:left="720" w:hanging="720"/>
        <w:rPr>
          <w:rFonts w:cs="Arial"/>
          <w:sz w:val="24"/>
          <w:szCs w:val="24"/>
        </w:rPr>
      </w:pPr>
    </w:p>
    <w:p w:rsidR="002C3817" w:rsidRDefault="002C3817">
      <w:pPr>
        <w:spacing w:after="200"/>
        <w:rPr>
          <w:rFonts w:eastAsiaTheme="majorEastAsia" w:cs="Arial"/>
          <w:b/>
          <w:bCs/>
          <w:sz w:val="24"/>
          <w:szCs w:val="24"/>
        </w:rPr>
      </w:pPr>
      <w:r>
        <w:rPr>
          <w:rFonts w:cs="Arial"/>
          <w:sz w:val="24"/>
          <w:szCs w:val="24"/>
        </w:rPr>
        <w:br w:type="page"/>
      </w:r>
    </w:p>
    <w:p w:rsidR="002C3817" w:rsidRPr="00B932B5" w:rsidRDefault="002C3817" w:rsidP="002C3817">
      <w:pPr>
        <w:pStyle w:val="Heading1"/>
      </w:pPr>
      <w:r>
        <w:rPr>
          <w:rFonts w:cs="Arial"/>
          <w:sz w:val="24"/>
          <w:szCs w:val="24"/>
        </w:rPr>
        <w:lastRenderedPageBreak/>
        <w:t>4.</w:t>
      </w:r>
      <w:bookmarkStart w:id="13" w:name="_Toc111443945"/>
      <w:r w:rsidR="00367655">
        <w:rPr>
          <w:rFonts w:cs="Arial"/>
          <w:sz w:val="24"/>
          <w:szCs w:val="24"/>
        </w:rPr>
        <w:t>9</w:t>
      </w:r>
      <w:r w:rsidR="00367655">
        <w:rPr>
          <w:rFonts w:cs="Arial"/>
          <w:sz w:val="24"/>
          <w:szCs w:val="24"/>
        </w:rPr>
        <w:tab/>
      </w:r>
      <w:r>
        <w:t xml:space="preserve">Appendix 1: </w:t>
      </w:r>
      <w:r w:rsidRPr="003E76F0">
        <w:t xml:space="preserve">Sedative Premedication </w:t>
      </w:r>
      <w:r>
        <w:t>Flow Chart</w:t>
      </w:r>
      <w:bookmarkEnd w:id="13"/>
    </w:p>
    <w:p w:rsidR="004E1ABD" w:rsidRDefault="004E1ABD" w:rsidP="00D822CC">
      <w:pPr>
        <w:spacing w:after="160" w:line="240" w:lineRule="auto"/>
        <w:ind w:left="720" w:hanging="720"/>
        <w:rPr>
          <w:rFonts w:cs="Arial"/>
          <w:sz w:val="24"/>
          <w:szCs w:val="24"/>
        </w:rPr>
      </w:pPr>
    </w:p>
    <w:tbl>
      <w:tblPr>
        <w:tblStyle w:val="TableGrid"/>
        <w:tblW w:w="0" w:type="auto"/>
        <w:tblLook w:val="04A0" w:firstRow="1" w:lastRow="0" w:firstColumn="1" w:lastColumn="0" w:noHBand="0" w:noVBand="1"/>
      </w:tblPr>
      <w:tblGrid>
        <w:gridCol w:w="4466"/>
        <w:gridCol w:w="4550"/>
      </w:tblGrid>
      <w:tr w:rsidR="002C3817" w:rsidRPr="00472022" w:rsidTr="002C3817">
        <w:tc>
          <w:tcPr>
            <w:tcW w:w="4466" w:type="dxa"/>
            <w:shd w:val="clear" w:color="auto" w:fill="C0504D" w:themeFill="accent2"/>
          </w:tcPr>
          <w:p w:rsidR="002C3817" w:rsidRPr="00B932B5"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hAnsi="Calibri" w:cs="Calibri"/>
                <w:b/>
                <w:color w:val="FFFFFF" w:themeColor="background1"/>
                <w:sz w:val="24"/>
                <w:szCs w:val="24"/>
              </w:rPr>
            </w:pPr>
            <w:r w:rsidRPr="00B932B5">
              <w:rPr>
                <w:rFonts w:ascii="Calibri" w:hAnsi="Calibri" w:cs="Calibri"/>
                <w:b/>
                <w:color w:val="FFFFFF" w:themeColor="background1"/>
                <w:sz w:val="24"/>
                <w:szCs w:val="24"/>
              </w:rPr>
              <w:t>Advantages</w:t>
            </w:r>
          </w:p>
        </w:tc>
        <w:tc>
          <w:tcPr>
            <w:tcW w:w="4550" w:type="dxa"/>
            <w:shd w:val="clear" w:color="auto" w:fill="C0504D" w:themeFill="accent2"/>
          </w:tcPr>
          <w:p w:rsidR="002C3817" w:rsidRPr="00B932B5"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hAnsi="Calibri" w:cs="Calibri"/>
                <w:b/>
                <w:color w:val="FFFFFF" w:themeColor="background1"/>
                <w:sz w:val="24"/>
                <w:szCs w:val="24"/>
              </w:rPr>
            </w:pPr>
            <w:r w:rsidRPr="00B932B5">
              <w:rPr>
                <w:rFonts w:ascii="Calibri" w:hAnsi="Calibri" w:cs="Calibri"/>
                <w:b/>
                <w:color w:val="FFFFFF" w:themeColor="background1"/>
                <w:sz w:val="24"/>
                <w:szCs w:val="24"/>
              </w:rPr>
              <w:t>Disadvantages</w:t>
            </w:r>
          </w:p>
        </w:tc>
      </w:tr>
      <w:tr w:rsidR="002C3817" w:rsidRPr="0052208C" w:rsidTr="002C3817">
        <w:tc>
          <w:tcPr>
            <w:tcW w:w="4466" w:type="dxa"/>
          </w:tcPr>
          <w:p w:rsidR="002C3817" w:rsidRPr="00B932B5" w:rsidRDefault="002C3817" w:rsidP="002C3817">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r w:rsidRPr="00B932B5">
              <w:rPr>
                <w:rFonts w:ascii="Calibri" w:hAnsi="Calibri" w:cs="Calibri"/>
              </w:rPr>
              <w:t>Reduces both patient and parental anxiety and improves overall satisfaction with the experience</w:t>
            </w:r>
          </w:p>
          <w:p w:rsidR="002C3817" w:rsidRPr="00B932B5" w:rsidRDefault="002C3817" w:rsidP="002C3817">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r w:rsidRPr="00B932B5">
              <w:rPr>
                <w:rFonts w:ascii="Calibri" w:hAnsi="Calibri" w:cs="Calibri"/>
              </w:rPr>
              <w:t>Provides ante grade amnesia</w:t>
            </w:r>
          </w:p>
          <w:p w:rsidR="002C3817" w:rsidRPr="00B932B5" w:rsidRDefault="002C3817" w:rsidP="002C3817">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r w:rsidRPr="00B932B5">
              <w:rPr>
                <w:rFonts w:ascii="Calibri" w:hAnsi="Calibri" w:cs="Calibri"/>
              </w:rPr>
              <w:t xml:space="preserve">Reduces postoperative </w:t>
            </w:r>
            <w:proofErr w:type="spellStart"/>
            <w:r w:rsidRPr="00B932B5">
              <w:rPr>
                <w:rFonts w:ascii="Calibri" w:hAnsi="Calibri" w:cs="Calibri"/>
              </w:rPr>
              <w:t>behavio</w:t>
            </w:r>
            <w:r>
              <w:rPr>
                <w:rFonts w:ascii="Calibri" w:hAnsi="Calibri" w:cs="Calibri"/>
              </w:rPr>
              <w:t>ur</w:t>
            </w:r>
            <w:r w:rsidRPr="00B932B5">
              <w:rPr>
                <w:rFonts w:ascii="Calibri" w:hAnsi="Calibri" w:cs="Calibri"/>
              </w:rPr>
              <w:t>al</w:t>
            </w:r>
            <w:proofErr w:type="spellEnd"/>
            <w:r w:rsidRPr="00B932B5">
              <w:rPr>
                <w:rFonts w:ascii="Calibri" w:hAnsi="Calibri" w:cs="Calibri"/>
              </w:rPr>
              <w:t xml:space="preserve"> changes and adverse outcomes in children</w:t>
            </w:r>
          </w:p>
        </w:tc>
        <w:tc>
          <w:tcPr>
            <w:tcW w:w="4550" w:type="dxa"/>
          </w:tcPr>
          <w:p w:rsidR="002C3817" w:rsidRPr="00B932B5" w:rsidRDefault="002C3817" w:rsidP="002C3817">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r w:rsidRPr="00B932B5">
              <w:rPr>
                <w:rFonts w:ascii="Calibri" w:hAnsi="Calibri" w:cs="Calibri"/>
              </w:rPr>
              <w:t>Noncompliance by the child may worsen anxiety</w:t>
            </w:r>
          </w:p>
          <w:p w:rsidR="002C3817" w:rsidRPr="00B932B5" w:rsidRDefault="002C3817" w:rsidP="002C3817">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r w:rsidRPr="00B932B5">
              <w:rPr>
                <w:rFonts w:ascii="Calibri" w:hAnsi="Calibri" w:cs="Calibri"/>
              </w:rPr>
              <w:t>Paradoxical reaction may be seen in response to some drugs e.g. Midazolam</w:t>
            </w:r>
          </w:p>
          <w:p w:rsidR="002C3817" w:rsidRPr="00B932B5" w:rsidRDefault="002C3817" w:rsidP="002C3817">
            <w:pPr>
              <w:pStyle w:val="Default"/>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r w:rsidRPr="00B932B5">
              <w:rPr>
                <w:rFonts w:ascii="Calibri" w:hAnsi="Calibri" w:cs="Calibri"/>
              </w:rPr>
              <w:t>May potentiate the effect of other sedative drugs</w:t>
            </w:r>
          </w:p>
        </w:tc>
      </w:tr>
      <w:tr w:rsidR="002C3817" w:rsidRPr="00472022" w:rsidTr="002C3817">
        <w:tc>
          <w:tcPr>
            <w:tcW w:w="4467" w:type="dxa"/>
            <w:shd w:val="clear" w:color="auto" w:fill="C0504D" w:themeFill="accent2"/>
          </w:tcPr>
          <w:p w:rsidR="002C3817" w:rsidRPr="00B932B5"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hAnsi="Calibri" w:cs="Calibri"/>
                <w:b/>
                <w:color w:val="FFFFFF" w:themeColor="background1"/>
                <w:sz w:val="24"/>
                <w:szCs w:val="24"/>
              </w:rPr>
            </w:pPr>
            <w:r w:rsidRPr="00B932B5">
              <w:rPr>
                <w:rFonts w:ascii="Calibri" w:hAnsi="Calibri" w:cs="Calibri"/>
                <w:b/>
                <w:color w:val="FFFFFF" w:themeColor="background1"/>
                <w:sz w:val="24"/>
                <w:szCs w:val="24"/>
              </w:rPr>
              <w:t>Indications</w:t>
            </w:r>
          </w:p>
        </w:tc>
        <w:tc>
          <w:tcPr>
            <w:tcW w:w="4549" w:type="dxa"/>
            <w:shd w:val="clear" w:color="auto" w:fill="C0504D" w:themeFill="accent2"/>
          </w:tcPr>
          <w:p w:rsidR="002C3817" w:rsidRPr="00B932B5"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hAnsi="Calibri" w:cs="Calibri"/>
                <w:b/>
                <w:color w:val="FFFFFF" w:themeColor="background1"/>
                <w:sz w:val="24"/>
                <w:szCs w:val="24"/>
              </w:rPr>
            </w:pPr>
            <w:r w:rsidRPr="00B932B5">
              <w:rPr>
                <w:rFonts w:ascii="Calibri" w:hAnsi="Calibri" w:cs="Calibri"/>
                <w:b/>
                <w:color w:val="FFFFFF" w:themeColor="background1"/>
                <w:sz w:val="24"/>
                <w:szCs w:val="24"/>
              </w:rPr>
              <w:t>Contraindications</w:t>
            </w:r>
          </w:p>
        </w:tc>
      </w:tr>
      <w:tr w:rsidR="002C3817" w:rsidRPr="0052208C" w:rsidTr="002C3817">
        <w:tc>
          <w:tcPr>
            <w:tcW w:w="4467" w:type="dxa"/>
          </w:tcPr>
          <w:p w:rsidR="002C3817" w:rsidRPr="00B932B5"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r w:rsidRPr="00B932B5">
              <w:rPr>
                <w:rFonts w:ascii="Calibri" w:hAnsi="Calibri" w:cs="Calibri"/>
              </w:rPr>
              <w:t>Need for sedative premedication should be part of pre-</w:t>
            </w:r>
            <w:proofErr w:type="spellStart"/>
            <w:r w:rsidRPr="00B932B5">
              <w:rPr>
                <w:rFonts w:ascii="Calibri" w:hAnsi="Calibri" w:cs="Calibri"/>
              </w:rPr>
              <w:t>anaesthetic</w:t>
            </w:r>
            <w:proofErr w:type="spellEnd"/>
            <w:r w:rsidRPr="00B932B5">
              <w:rPr>
                <w:rFonts w:ascii="Calibri" w:hAnsi="Calibri" w:cs="Calibri"/>
              </w:rPr>
              <w:t xml:space="preserve"> assessment of any child or adult with special needs. The following patients are likely to benefit from premedication.</w:t>
            </w:r>
          </w:p>
          <w:p w:rsidR="002C3817" w:rsidRPr="00B932B5"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p>
          <w:p w:rsidR="002C3817" w:rsidRPr="00030968" w:rsidRDefault="002C3817" w:rsidP="002C3817">
            <w:pPr>
              <w:pStyle w:val="Default"/>
              <w:numPr>
                <w:ilvl w:val="0"/>
                <w:numId w:val="25"/>
              </w:numPr>
              <w:rPr>
                <w:rFonts w:ascii="Calibri" w:hAnsi="Calibri" w:cs="Calibri"/>
              </w:rPr>
            </w:pPr>
            <w:r w:rsidRPr="00030968">
              <w:rPr>
                <w:rFonts w:ascii="Calibri" w:hAnsi="Calibri" w:cs="Calibri"/>
              </w:rPr>
              <w:t xml:space="preserve">Children or adults with special educational or </w:t>
            </w:r>
            <w:proofErr w:type="spellStart"/>
            <w:r w:rsidRPr="00030968">
              <w:rPr>
                <w:rFonts w:ascii="Calibri" w:hAnsi="Calibri" w:cs="Calibri"/>
              </w:rPr>
              <w:t>behavio</w:t>
            </w:r>
            <w:r>
              <w:rPr>
                <w:rFonts w:ascii="Calibri" w:hAnsi="Calibri" w:cs="Calibri"/>
              </w:rPr>
              <w:t>u</w:t>
            </w:r>
            <w:r w:rsidRPr="00030968">
              <w:rPr>
                <w:rFonts w:ascii="Calibri" w:hAnsi="Calibri" w:cs="Calibri"/>
              </w:rPr>
              <w:t>ral</w:t>
            </w:r>
            <w:proofErr w:type="spellEnd"/>
            <w:r w:rsidRPr="00030968">
              <w:rPr>
                <w:rFonts w:ascii="Calibri" w:hAnsi="Calibri" w:cs="Calibri"/>
              </w:rPr>
              <w:t xml:space="preserve"> needs e.g. Autism, </w:t>
            </w:r>
            <w:proofErr w:type="spellStart"/>
            <w:r w:rsidRPr="00030968">
              <w:rPr>
                <w:rFonts w:ascii="Calibri" w:hAnsi="Calibri" w:cs="Calibri"/>
              </w:rPr>
              <w:t>Aspergers</w:t>
            </w:r>
            <w:proofErr w:type="spellEnd"/>
            <w:r w:rsidRPr="00030968">
              <w:rPr>
                <w:rFonts w:ascii="Calibri" w:hAnsi="Calibri" w:cs="Calibri"/>
              </w:rPr>
              <w:t xml:space="preserve">, Down’s syndrome </w:t>
            </w:r>
          </w:p>
          <w:p w:rsidR="002C3817" w:rsidRPr="00030968" w:rsidRDefault="002C3817" w:rsidP="002C3817">
            <w:pPr>
              <w:pStyle w:val="Default"/>
              <w:numPr>
                <w:ilvl w:val="0"/>
                <w:numId w:val="25"/>
              </w:numPr>
              <w:rPr>
                <w:rFonts w:ascii="Calibri" w:hAnsi="Calibri" w:cs="Calibri"/>
              </w:rPr>
            </w:pPr>
            <w:r w:rsidRPr="00030968">
              <w:rPr>
                <w:rFonts w:ascii="Calibri" w:hAnsi="Calibri" w:cs="Calibri"/>
              </w:rPr>
              <w:t>Children having major surgery</w:t>
            </w:r>
          </w:p>
          <w:p w:rsidR="002C3817" w:rsidRPr="00030968" w:rsidRDefault="002C3817" w:rsidP="002C3817">
            <w:pPr>
              <w:pStyle w:val="Default"/>
              <w:numPr>
                <w:ilvl w:val="0"/>
                <w:numId w:val="25"/>
              </w:numPr>
              <w:rPr>
                <w:rFonts w:ascii="Calibri" w:hAnsi="Calibri" w:cs="Calibri"/>
              </w:rPr>
            </w:pPr>
            <w:r w:rsidRPr="00030968">
              <w:rPr>
                <w:rFonts w:ascii="Calibri" w:hAnsi="Calibri" w:cs="Calibri"/>
              </w:rPr>
              <w:t xml:space="preserve">Children having repeated procedures </w:t>
            </w:r>
          </w:p>
          <w:p w:rsidR="002C3817" w:rsidRPr="00030968" w:rsidRDefault="002C3817" w:rsidP="002C3817">
            <w:pPr>
              <w:pStyle w:val="Default"/>
              <w:numPr>
                <w:ilvl w:val="0"/>
                <w:numId w:val="25"/>
              </w:numPr>
              <w:rPr>
                <w:rFonts w:ascii="Calibri" w:hAnsi="Calibri" w:cs="Calibri"/>
              </w:rPr>
            </w:pPr>
            <w:r w:rsidRPr="00030968">
              <w:rPr>
                <w:rFonts w:ascii="Calibri" w:hAnsi="Calibri" w:cs="Calibri"/>
              </w:rPr>
              <w:t xml:space="preserve">Children who have had a previous bad experience of the hospital environment </w:t>
            </w:r>
          </w:p>
          <w:p w:rsidR="002C3817" w:rsidRPr="00030968" w:rsidRDefault="002C3817" w:rsidP="002C3817">
            <w:pPr>
              <w:pStyle w:val="Default"/>
              <w:numPr>
                <w:ilvl w:val="0"/>
                <w:numId w:val="25"/>
              </w:numPr>
              <w:rPr>
                <w:rFonts w:ascii="Calibri" w:hAnsi="Calibri" w:cs="Calibri"/>
              </w:rPr>
            </w:pPr>
            <w:r w:rsidRPr="00030968">
              <w:rPr>
                <w:rFonts w:ascii="Calibri" w:hAnsi="Calibri" w:cs="Calibri"/>
              </w:rPr>
              <w:t>Children or adults with anxiety</w:t>
            </w:r>
          </w:p>
          <w:p w:rsidR="002C3817" w:rsidRDefault="002C3817" w:rsidP="002C3817">
            <w:pPr>
              <w:pStyle w:val="Default"/>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r w:rsidRPr="00030968">
              <w:rPr>
                <w:rFonts w:ascii="Calibri" w:hAnsi="Calibri" w:cs="Calibri"/>
              </w:rPr>
              <w:t xml:space="preserve">Children with past history of stormy </w:t>
            </w:r>
            <w:proofErr w:type="spellStart"/>
            <w:r w:rsidRPr="00030968">
              <w:rPr>
                <w:rFonts w:ascii="Calibri" w:hAnsi="Calibri" w:cs="Calibri"/>
              </w:rPr>
              <w:t>anaesthetic</w:t>
            </w:r>
            <w:proofErr w:type="spellEnd"/>
            <w:r w:rsidRPr="00030968">
              <w:rPr>
                <w:rFonts w:ascii="Calibri" w:hAnsi="Calibri" w:cs="Calibri"/>
              </w:rPr>
              <w:t xml:space="preserve"> induction or emergence</w:t>
            </w:r>
          </w:p>
          <w:p w:rsidR="002C3817" w:rsidRPr="00B932B5"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ind w:left="720"/>
              <w:rPr>
                <w:rFonts w:ascii="Calibri" w:hAnsi="Calibri" w:cs="Calibri"/>
              </w:rPr>
            </w:pPr>
          </w:p>
        </w:tc>
        <w:tc>
          <w:tcPr>
            <w:tcW w:w="4549" w:type="dxa"/>
          </w:tcPr>
          <w:p w:rsidR="002C3817" w:rsidRPr="00B932B5"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r w:rsidRPr="00B932B5">
              <w:rPr>
                <w:rFonts w:ascii="Calibri" w:hAnsi="Calibri" w:cs="Calibri"/>
              </w:rPr>
              <w:t>The following are some conditions where a careful risk assessment must be made prior to prescribing sedative premedication</w:t>
            </w:r>
          </w:p>
          <w:p w:rsidR="002C3817"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p>
          <w:p w:rsidR="002C3817"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p>
          <w:p w:rsidR="002C3817" w:rsidRPr="00B932B5"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p>
          <w:p w:rsidR="002C3817" w:rsidRPr="00472022" w:rsidRDefault="002C3817" w:rsidP="002C3817">
            <w:pPr>
              <w:pStyle w:val="Default"/>
              <w:numPr>
                <w:ilvl w:val="0"/>
                <w:numId w:val="26"/>
              </w:numPr>
              <w:rPr>
                <w:rFonts w:ascii="Calibri" w:hAnsi="Calibri" w:cs="Calibri"/>
              </w:rPr>
            </w:pPr>
            <w:r w:rsidRPr="00472022">
              <w:rPr>
                <w:rFonts w:ascii="Calibri" w:hAnsi="Calibri" w:cs="Calibri"/>
              </w:rPr>
              <w:t xml:space="preserve">Anticipated difficult airway </w:t>
            </w:r>
          </w:p>
          <w:p w:rsidR="002C3817" w:rsidRPr="00472022" w:rsidRDefault="002C3817" w:rsidP="002C3817">
            <w:pPr>
              <w:pStyle w:val="Default"/>
              <w:numPr>
                <w:ilvl w:val="0"/>
                <w:numId w:val="26"/>
              </w:numPr>
              <w:rPr>
                <w:rFonts w:ascii="Calibri" w:hAnsi="Calibri" w:cs="Calibri"/>
              </w:rPr>
            </w:pPr>
            <w:r w:rsidRPr="00472022">
              <w:rPr>
                <w:rFonts w:ascii="Calibri" w:hAnsi="Calibri" w:cs="Calibri"/>
              </w:rPr>
              <w:t xml:space="preserve">Increased aspiration risk </w:t>
            </w:r>
          </w:p>
          <w:p w:rsidR="002C3817" w:rsidRPr="00472022" w:rsidRDefault="002C3817" w:rsidP="002C3817">
            <w:pPr>
              <w:pStyle w:val="Default"/>
              <w:numPr>
                <w:ilvl w:val="0"/>
                <w:numId w:val="26"/>
              </w:numPr>
              <w:rPr>
                <w:rFonts w:ascii="Calibri" w:hAnsi="Calibri" w:cs="Calibri"/>
              </w:rPr>
            </w:pPr>
            <w:r w:rsidRPr="00472022">
              <w:rPr>
                <w:rFonts w:ascii="Calibri" w:hAnsi="Calibri" w:cs="Calibri"/>
              </w:rPr>
              <w:t xml:space="preserve">Obstructive sleep </w:t>
            </w:r>
            <w:proofErr w:type="spellStart"/>
            <w:r w:rsidRPr="00472022">
              <w:rPr>
                <w:rFonts w:ascii="Calibri" w:hAnsi="Calibri" w:cs="Calibri"/>
              </w:rPr>
              <w:t>apnoea</w:t>
            </w:r>
            <w:proofErr w:type="spellEnd"/>
            <w:r w:rsidRPr="00472022">
              <w:rPr>
                <w:rFonts w:ascii="Calibri" w:hAnsi="Calibri" w:cs="Calibri"/>
              </w:rPr>
              <w:t xml:space="preserve"> </w:t>
            </w:r>
          </w:p>
          <w:p w:rsidR="002C3817" w:rsidRPr="00472022" w:rsidRDefault="002C3817" w:rsidP="002C3817">
            <w:pPr>
              <w:pStyle w:val="Default"/>
              <w:numPr>
                <w:ilvl w:val="0"/>
                <w:numId w:val="26"/>
              </w:numPr>
              <w:rPr>
                <w:rFonts w:ascii="Calibri" w:hAnsi="Calibri" w:cs="Calibri"/>
              </w:rPr>
            </w:pPr>
            <w:r w:rsidRPr="00472022">
              <w:rPr>
                <w:rFonts w:ascii="Calibri" w:hAnsi="Calibri" w:cs="Calibri"/>
              </w:rPr>
              <w:t xml:space="preserve">Raised intracranial pressure </w:t>
            </w:r>
          </w:p>
          <w:p w:rsidR="002C3817" w:rsidRPr="00472022" w:rsidRDefault="002C3817" w:rsidP="002C3817">
            <w:pPr>
              <w:pStyle w:val="Default"/>
              <w:numPr>
                <w:ilvl w:val="0"/>
                <w:numId w:val="26"/>
              </w:numPr>
              <w:rPr>
                <w:rFonts w:ascii="Calibri" w:hAnsi="Calibri" w:cs="Calibri"/>
              </w:rPr>
            </w:pPr>
            <w:r w:rsidRPr="00472022">
              <w:rPr>
                <w:rFonts w:ascii="Calibri" w:hAnsi="Calibri" w:cs="Calibri"/>
              </w:rPr>
              <w:t>Acute systemic illness e.g. severe sepsis</w:t>
            </w:r>
          </w:p>
          <w:p w:rsidR="002C3817" w:rsidRPr="00472022" w:rsidRDefault="002C3817" w:rsidP="002C3817">
            <w:pPr>
              <w:pStyle w:val="Default"/>
              <w:numPr>
                <w:ilvl w:val="0"/>
                <w:numId w:val="26"/>
              </w:numPr>
              <w:rPr>
                <w:rFonts w:ascii="Calibri" w:hAnsi="Calibri" w:cs="Calibri"/>
              </w:rPr>
            </w:pPr>
            <w:r w:rsidRPr="00472022">
              <w:rPr>
                <w:rFonts w:ascii="Calibri" w:hAnsi="Calibri" w:cs="Calibri"/>
              </w:rPr>
              <w:t>Reduced SpO2 on room air</w:t>
            </w:r>
          </w:p>
          <w:p w:rsidR="002C3817" w:rsidRPr="00472022" w:rsidRDefault="002C3817" w:rsidP="002C3817">
            <w:pPr>
              <w:pStyle w:val="Default"/>
              <w:numPr>
                <w:ilvl w:val="0"/>
                <w:numId w:val="26"/>
              </w:numPr>
              <w:rPr>
                <w:rFonts w:ascii="Calibri" w:hAnsi="Calibri" w:cs="Calibri"/>
              </w:rPr>
            </w:pPr>
            <w:r w:rsidRPr="00472022">
              <w:rPr>
                <w:rFonts w:ascii="Calibri" w:hAnsi="Calibri" w:cs="Calibri"/>
              </w:rPr>
              <w:t>Severe renal or hepatic impairment</w:t>
            </w:r>
          </w:p>
          <w:p w:rsidR="002C3817" w:rsidRPr="00B932B5" w:rsidRDefault="002C3817" w:rsidP="002C3817">
            <w:pPr>
              <w:pStyle w:val="Default"/>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r w:rsidRPr="00472022">
              <w:rPr>
                <w:rFonts w:ascii="Calibri" w:hAnsi="Calibri" w:cs="Calibri"/>
              </w:rPr>
              <w:t xml:space="preserve">Previous allergic or </w:t>
            </w:r>
            <w:proofErr w:type="spellStart"/>
            <w:r w:rsidRPr="00472022">
              <w:rPr>
                <w:rFonts w:ascii="Calibri" w:hAnsi="Calibri" w:cs="Calibri"/>
              </w:rPr>
              <w:t>behavioural</w:t>
            </w:r>
            <w:proofErr w:type="spellEnd"/>
            <w:r w:rsidRPr="00472022">
              <w:rPr>
                <w:rFonts w:ascii="Calibri" w:hAnsi="Calibri" w:cs="Calibri"/>
              </w:rPr>
              <w:t xml:space="preserve"> reaction to the premedication proposed </w:t>
            </w:r>
          </w:p>
          <w:p w:rsidR="002C3817" w:rsidRPr="00B932B5"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ind w:left="720"/>
              <w:rPr>
                <w:rFonts w:ascii="Calibri" w:hAnsi="Calibri" w:cs="Calibri"/>
              </w:rPr>
            </w:pPr>
          </w:p>
        </w:tc>
      </w:tr>
    </w:tbl>
    <w:tbl>
      <w:tblPr>
        <w:tblStyle w:val="TableGrid2"/>
        <w:tblW w:w="0" w:type="auto"/>
        <w:tblLook w:val="04A0" w:firstRow="1" w:lastRow="0" w:firstColumn="1" w:lastColumn="0" w:noHBand="0" w:noVBand="1"/>
      </w:tblPr>
      <w:tblGrid>
        <w:gridCol w:w="9016"/>
      </w:tblGrid>
      <w:tr w:rsidR="002C3817" w:rsidRPr="00472022" w:rsidTr="002C3817">
        <w:tc>
          <w:tcPr>
            <w:tcW w:w="9016" w:type="dxa"/>
            <w:shd w:val="clear" w:color="auto" w:fill="C0504D" w:themeFill="accent2"/>
          </w:tcPr>
          <w:p w:rsidR="002C3817" w:rsidRPr="00B932B5"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hAnsi="Calibri" w:cs="Calibri"/>
                <w:b/>
                <w:color w:val="FFFFFF" w:themeColor="background1"/>
                <w:sz w:val="24"/>
                <w:szCs w:val="24"/>
              </w:rPr>
            </w:pPr>
            <w:r w:rsidRPr="00B932B5">
              <w:rPr>
                <w:rFonts w:ascii="Calibri" w:hAnsi="Calibri" w:cs="Calibri"/>
                <w:b/>
                <w:color w:val="FFFFFF" w:themeColor="background1"/>
                <w:sz w:val="24"/>
                <w:szCs w:val="24"/>
              </w:rPr>
              <w:t>Practical considerations</w:t>
            </w:r>
          </w:p>
        </w:tc>
      </w:tr>
      <w:tr w:rsidR="002C3817" w:rsidRPr="0052208C" w:rsidTr="002C3817">
        <w:tc>
          <w:tcPr>
            <w:tcW w:w="9016" w:type="dxa"/>
          </w:tcPr>
          <w:p w:rsidR="002C3817" w:rsidRPr="00B932B5" w:rsidRDefault="002C3817" w:rsidP="002C3817">
            <w:pPr>
              <w:pStyle w:val="Default"/>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r w:rsidRPr="00B932B5">
              <w:rPr>
                <w:rFonts w:ascii="Calibri" w:hAnsi="Calibri" w:cs="Calibri"/>
                <w:b/>
              </w:rPr>
              <w:t>Confirm fasting status</w:t>
            </w:r>
            <w:r w:rsidRPr="00B932B5">
              <w:rPr>
                <w:rFonts w:ascii="Calibri" w:hAnsi="Calibri" w:cs="Calibri"/>
              </w:rPr>
              <w:t xml:space="preserve"> (refer to fasting guidelines for all patients having an </w:t>
            </w:r>
            <w:proofErr w:type="spellStart"/>
            <w:r w:rsidRPr="00B932B5">
              <w:rPr>
                <w:rFonts w:ascii="Calibri" w:hAnsi="Calibri" w:cs="Calibri"/>
              </w:rPr>
              <w:t>anaesthetic</w:t>
            </w:r>
            <w:proofErr w:type="spellEnd"/>
            <w:r w:rsidRPr="00B932B5">
              <w:rPr>
                <w:rFonts w:ascii="Calibri" w:hAnsi="Calibri" w:cs="Calibri"/>
              </w:rPr>
              <w:t xml:space="preserve"> at NDDH)</w:t>
            </w:r>
          </w:p>
          <w:p w:rsidR="002C3817" w:rsidRPr="00B932B5" w:rsidRDefault="002C3817" w:rsidP="002C3817">
            <w:pPr>
              <w:pStyle w:val="Default"/>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r>
              <w:rPr>
                <w:rFonts w:ascii="Calibri" w:hAnsi="Calibri" w:cs="Calibri"/>
                <w:b/>
              </w:rPr>
              <w:t>Discuss with</w:t>
            </w:r>
            <w:r w:rsidRPr="00B932B5">
              <w:rPr>
                <w:rFonts w:ascii="Calibri" w:hAnsi="Calibri" w:cs="Calibri"/>
                <w:b/>
              </w:rPr>
              <w:t xml:space="preserve"> the parents or </w:t>
            </w:r>
            <w:proofErr w:type="spellStart"/>
            <w:r w:rsidRPr="00B932B5">
              <w:rPr>
                <w:rFonts w:ascii="Calibri" w:hAnsi="Calibri" w:cs="Calibri"/>
                <w:b/>
              </w:rPr>
              <w:t>carers</w:t>
            </w:r>
            <w:proofErr w:type="spellEnd"/>
            <w:r w:rsidRPr="00B932B5">
              <w:rPr>
                <w:rFonts w:ascii="Calibri" w:hAnsi="Calibri" w:cs="Calibri"/>
                <w:b/>
              </w:rPr>
              <w:t xml:space="preserve"> of the child/patient</w:t>
            </w:r>
            <w:r w:rsidRPr="00B932B5">
              <w:rPr>
                <w:rFonts w:ascii="Calibri" w:hAnsi="Calibri" w:cs="Calibri"/>
              </w:rPr>
              <w:t xml:space="preserve"> (where appropriate) </w:t>
            </w:r>
            <w:r>
              <w:rPr>
                <w:rFonts w:ascii="Calibri" w:hAnsi="Calibri" w:cs="Calibri"/>
                <w:b/>
              </w:rPr>
              <w:t>and document</w:t>
            </w:r>
            <w:r w:rsidRPr="00B932B5">
              <w:rPr>
                <w:rFonts w:ascii="Calibri" w:hAnsi="Calibri" w:cs="Calibri"/>
              </w:rPr>
              <w:t xml:space="preserve"> </w:t>
            </w:r>
            <w:r>
              <w:rPr>
                <w:rFonts w:ascii="Calibri" w:hAnsi="Calibri" w:cs="Calibri"/>
              </w:rPr>
              <w:t xml:space="preserve">what </w:t>
            </w:r>
            <w:r w:rsidRPr="00B932B5">
              <w:rPr>
                <w:rFonts w:ascii="Calibri" w:hAnsi="Calibri" w:cs="Calibri"/>
              </w:rPr>
              <w:t>they can expect from the premedication</w:t>
            </w:r>
          </w:p>
          <w:p w:rsidR="002C3817" w:rsidRPr="00B932B5" w:rsidRDefault="002C3817" w:rsidP="002C3817">
            <w:pPr>
              <w:pStyle w:val="Default"/>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r w:rsidRPr="00B932B5">
              <w:rPr>
                <w:rFonts w:ascii="Calibri" w:hAnsi="Calibri" w:cs="Calibri"/>
                <w:b/>
              </w:rPr>
              <w:t xml:space="preserve">Prescribe the premedication </w:t>
            </w:r>
            <w:r w:rsidRPr="00B932B5">
              <w:rPr>
                <w:rFonts w:ascii="Calibri" w:hAnsi="Calibri" w:cs="Calibri"/>
              </w:rPr>
              <w:t xml:space="preserve">on the drug / </w:t>
            </w:r>
            <w:proofErr w:type="spellStart"/>
            <w:r w:rsidRPr="00B932B5">
              <w:rPr>
                <w:rFonts w:ascii="Calibri" w:hAnsi="Calibri" w:cs="Calibri"/>
              </w:rPr>
              <w:t>anaesthetic</w:t>
            </w:r>
            <w:proofErr w:type="spellEnd"/>
            <w:r w:rsidRPr="00B932B5">
              <w:rPr>
                <w:rFonts w:ascii="Calibri" w:hAnsi="Calibri" w:cs="Calibri"/>
              </w:rPr>
              <w:t xml:space="preserve"> chart, including</w:t>
            </w:r>
            <w:r w:rsidRPr="00B932B5">
              <w:rPr>
                <w:rFonts w:ascii="Calibri" w:hAnsi="Calibri" w:cs="Calibri"/>
                <w:b/>
              </w:rPr>
              <w:t xml:space="preserve"> route dose and time</w:t>
            </w:r>
            <w:r w:rsidRPr="00B932B5">
              <w:rPr>
                <w:rFonts w:ascii="Calibri" w:hAnsi="Calibri" w:cs="Calibri"/>
              </w:rPr>
              <w:t xml:space="preserve"> when it should be administered (different drugs have variable onset times see chart below)</w:t>
            </w:r>
          </w:p>
          <w:p w:rsidR="002C3817" w:rsidRPr="00B932B5" w:rsidRDefault="002C3817" w:rsidP="002C3817">
            <w:pPr>
              <w:pStyle w:val="Default"/>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r w:rsidRPr="00B932B5">
              <w:rPr>
                <w:rFonts w:ascii="Calibri" w:hAnsi="Calibri" w:cs="Calibri"/>
                <w:b/>
              </w:rPr>
              <w:t>Inform the preoperative / day surgery nurse</w:t>
            </w:r>
            <w:r w:rsidRPr="00B932B5">
              <w:rPr>
                <w:rFonts w:ascii="Calibri" w:hAnsi="Calibri" w:cs="Calibri"/>
              </w:rPr>
              <w:t xml:space="preserve"> responsible for the patient that a “premed” has been prescribed to ensure that it is given at the appropriate time.</w:t>
            </w:r>
          </w:p>
          <w:p w:rsidR="002C3817" w:rsidRPr="00B932B5" w:rsidRDefault="002C3817" w:rsidP="002C3817">
            <w:pPr>
              <w:pStyle w:val="Default"/>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r w:rsidRPr="00B932B5">
              <w:rPr>
                <w:rFonts w:ascii="Calibri" w:hAnsi="Calibri" w:cs="Calibri"/>
              </w:rPr>
              <w:t xml:space="preserve">Oral premedication drugs can be given </w:t>
            </w:r>
            <w:r w:rsidRPr="00B932B5">
              <w:rPr>
                <w:rFonts w:ascii="Calibri" w:hAnsi="Calibri" w:cs="Calibri"/>
                <w:b/>
              </w:rPr>
              <w:t>mixed with a small volume</w:t>
            </w:r>
            <w:r w:rsidRPr="00B932B5">
              <w:rPr>
                <w:rFonts w:ascii="Calibri" w:hAnsi="Calibri" w:cs="Calibri"/>
              </w:rPr>
              <w:t xml:space="preserve"> (5-30ml) </w:t>
            </w:r>
            <w:r w:rsidRPr="00B932B5">
              <w:rPr>
                <w:rFonts w:ascii="Calibri" w:hAnsi="Calibri" w:cs="Calibri"/>
                <w:b/>
              </w:rPr>
              <w:t>of clear solution</w:t>
            </w:r>
            <w:r w:rsidRPr="00B932B5">
              <w:rPr>
                <w:rFonts w:ascii="Calibri" w:hAnsi="Calibri" w:cs="Calibri"/>
              </w:rPr>
              <w:t xml:space="preserve"> (e.g. </w:t>
            </w:r>
            <w:proofErr w:type="spellStart"/>
            <w:r w:rsidRPr="00B932B5">
              <w:rPr>
                <w:rFonts w:ascii="Calibri" w:hAnsi="Calibri" w:cs="Calibri"/>
              </w:rPr>
              <w:t>ribena</w:t>
            </w:r>
            <w:proofErr w:type="spellEnd"/>
            <w:r w:rsidRPr="00B932B5">
              <w:rPr>
                <w:rFonts w:ascii="Calibri" w:hAnsi="Calibri" w:cs="Calibri"/>
              </w:rPr>
              <w:t>, orange juice or paracetamol mixture) which the child usually accepts to mask the unpleasant taste</w:t>
            </w:r>
          </w:p>
          <w:p w:rsidR="002C3817" w:rsidRPr="00B932B5" w:rsidRDefault="002C3817" w:rsidP="002C3817">
            <w:pPr>
              <w:pStyle w:val="Default"/>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r w:rsidRPr="00B932B5">
              <w:rPr>
                <w:rFonts w:ascii="Calibri" w:hAnsi="Calibri" w:cs="Calibri"/>
              </w:rPr>
              <w:t xml:space="preserve">Sedative drugs should be provided in a </w:t>
            </w:r>
            <w:r w:rsidRPr="00B932B5">
              <w:rPr>
                <w:rFonts w:ascii="Calibri" w:hAnsi="Calibri" w:cs="Calibri"/>
                <w:b/>
              </w:rPr>
              <w:t>safe environment</w:t>
            </w:r>
            <w:r w:rsidRPr="00B932B5">
              <w:rPr>
                <w:rFonts w:ascii="Calibri" w:hAnsi="Calibri" w:cs="Calibri"/>
              </w:rPr>
              <w:t xml:space="preserve"> where resuscitation equipment and drugs can be accessed</w:t>
            </w:r>
          </w:p>
          <w:p w:rsidR="002C3817" w:rsidRDefault="002C3817" w:rsidP="002C3817">
            <w:pPr>
              <w:pStyle w:val="Default"/>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rPr>
            </w:pPr>
            <w:r w:rsidRPr="00B932B5">
              <w:rPr>
                <w:rFonts w:ascii="Calibri" w:hAnsi="Calibri" w:cs="Calibri"/>
              </w:rPr>
              <w:t xml:space="preserve">A sedated child / adult should be </w:t>
            </w:r>
            <w:r w:rsidRPr="00B932B5">
              <w:rPr>
                <w:rFonts w:ascii="Calibri" w:hAnsi="Calibri" w:cs="Calibri"/>
                <w:b/>
              </w:rPr>
              <w:t>appropriately monitored</w:t>
            </w:r>
            <w:r w:rsidRPr="00B932B5">
              <w:rPr>
                <w:rFonts w:ascii="Calibri" w:hAnsi="Calibri" w:cs="Calibri"/>
              </w:rPr>
              <w:t xml:space="preserve"> at all times.</w:t>
            </w:r>
          </w:p>
          <w:p w:rsidR="002C3817" w:rsidRPr="00B932B5"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ind w:left="720"/>
              <w:rPr>
                <w:rFonts w:ascii="Calibri" w:hAnsi="Calibri" w:cs="Calibri"/>
              </w:rPr>
            </w:pPr>
          </w:p>
        </w:tc>
      </w:tr>
    </w:tbl>
    <w:p w:rsidR="002C3817" w:rsidRPr="00415889" w:rsidRDefault="002C3817" w:rsidP="00D822CC">
      <w:pPr>
        <w:spacing w:after="160" w:line="240" w:lineRule="auto"/>
        <w:ind w:left="720" w:hanging="720"/>
        <w:rPr>
          <w:rFonts w:cs="Arial"/>
          <w:sz w:val="24"/>
          <w:szCs w:val="24"/>
        </w:rPr>
      </w:pPr>
    </w:p>
    <w:tbl>
      <w:tblPr>
        <w:tblStyle w:val="TableGrid"/>
        <w:tblW w:w="0" w:type="auto"/>
        <w:tblLook w:val="04A0" w:firstRow="1" w:lastRow="0" w:firstColumn="1" w:lastColumn="0" w:noHBand="0" w:noVBand="1"/>
      </w:tblPr>
      <w:tblGrid>
        <w:gridCol w:w="9016"/>
      </w:tblGrid>
      <w:tr w:rsidR="002C3817" w:rsidRPr="00542CA5" w:rsidTr="00BC6EB4">
        <w:tc>
          <w:tcPr>
            <w:tcW w:w="9016" w:type="dxa"/>
            <w:shd w:val="clear" w:color="auto" w:fill="C0504D" w:themeFill="accent2"/>
          </w:tcPr>
          <w:p w:rsidR="002C3817" w:rsidRPr="00B932B5"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hAnsi="Calibri" w:cs="Calibri"/>
                <w:b/>
                <w:color w:val="FFFFFF" w:themeColor="background1"/>
                <w:sz w:val="24"/>
                <w:szCs w:val="24"/>
              </w:rPr>
            </w:pPr>
            <w:bookmarkStart w:id="14" w:name="_Toc317778030"/>
            <w:r w:rsidRPr="00B932B5">
              <w:rPr>
                <w:rFonts w:ascii="Calibri" w:hAnsi="Calibri" w:cs="Calibri"/>
                <w:b/>
                <w:color w:val="FFFFFF" w:themeColor="background1"/>
                <w:sz w:val="24"/>
                <w:szCs w:val="24"/>
              </w:rPr>
              <w:lastRenderedPageBreak/>
              <w:t>Tips and trouble shooting</w:t>
            </w:r>
          </w:p>
        </w:tc>
      </w:tr>
      <w:tr w:rsidR="002C3817" w:rsidRPr="00542CA5" w:rsidTr="00BC6EB4">
        <w:tc>
          <w:tcPr>
            <w:tcW w:w="9016" w:type="dxa"/>
          </w:tcPr>
          <w:p w:rsidR="002C3817" w:rsidRPr="00B932B5"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720"/>
              <w:rPr>
                <w:rFonts w:ascii="Calibri" w:hAnsi="Calibri" w:cs="Calibri"/>
              </w:rPr>
            </w:pPr>
          </w:p>
          <w:p w:rsidR="002C3817" w:rsidRPr="00B932B5" w:rsidRDefault="002C3817" w:rsidP="002C3817">
            <w:pPr>
              <w:pStyle w:val="Default"/>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Calibri" w:hAnsi="Calibri" w:cs="Calibri"/>
              </w:rPr>
            </w:pPr>
            <w:r w:rsidRPr="00B932B5">
              <w:rPr>
                <w:rFonts w:ascii="Calibri" w:hAnsi="Calibri" w:cs="Calibri"/>
              </w:rPr>
              <w:t>Oral midazolam has a quick and reliable onset and is most frequently used at NDDH</w:t>
            </w:r>
          </w:p>
          <w:p w:rsidR="002C3817" w:rsidRPr="00B932B5" w:rsidRDefault="002C3817" w:rsidP="002C3817">
            <w:pPr>
              <w:pStyle w:val="Default"/>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Calibri" w:hAnsi="Calibri" w:cs="Calibri"/>
              </w:rPr>
            </w:pPr>
            <w:r w:rsidRPr="00B932B5">
              <w:rPr>
                <w:rFonts w:ascii="Calibri" w:hAnsi="Calibri" w:cs="Calibri"/>
              </w:rPr>
              <w:t>Oral midazolam</w:t>
            </w:r>
            <w:r>
              <w:rPr>
                <w:rFonts w:ascii="Calibri" w:hAnsi="Calibri" w:cs="Calibri"/>
              </w:rPr>
              <w:t xml:space="preserve"> (</w:t>
            </w:r>
            <w:proofErr w:type="spellStart"/>
            <w:r>
              <w:rPr>
                <w:rFonts w:ascii="Calibri" w:hAnsi="Calibri" w:cs="Calibri"/>
              </w:rPr>
              <w:t>Ozalin</w:t>
            </w:r>
            <w:proofErr w:type="spellEnd"/>
            <w:r>
              <w:rPr>
                <w:rFonts w:ascii="Calibri" w:hAnsi="Calibri" w:cs="Calibri"/>
              </w:rPr>
              <w:t>) does not have</w:t>
            </w:r>
            <w:r w:rsidRPr="00B932B5">
              <w:rPr>
                <w:rFonts w:ascii="Calibri" w:hAnsi="Calibri" w:cs="Calibri"/>
              </w:rPr>
              <w:t xml:space="preserve"> an unpleasant taste</w:t>
            </w:r>
            <w:r>
              <w:rPr>
                <w:rFonts w:ascii="Calibri" w:hAnsi="Calibri" w:cs="Calibri"/>
              </w:rPr>
              <w:t xml:space="preserve"> unlike the tradition Buccal Midazolam. </w:t>
            </w:r>
            <w:r w:rsidRPr="00B932B5">
              <w:rPr>
                <w:rFonts w:ascii="Calibri" w:hAnsi="Calibri" w:cs="Calibri"/>
              </w:rPr>
              <w:t xml:space="preserve"> </w:t>
            </w:r>
          </w:p>
          <w:p w:rsidR="002C3817" w:rsidRDefault="002C3817" w:rsidP="002C3817">
            <w:pPr>
              <w:pStyle w:val="Default"/>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Calibri" w:hAnsi="Calibri" w:cs="Calibri"/>
              </w:rPr>
            </w:pPr>
            <w:r w:rsidRPr="00B932B5">
              <w:rPr>
                <w:rFonts w:ascii="Calibri" w:hAnsi="Calibri" w:cs="Calibri"/>
              </w:rPr>
              <w:t xml:space="preserve">Oral midazolam may be combined </w:t>
            </w:r>
            <w:r>
              <w:rPr>
                <w:rFonts w:ascii="Calibri" w:hAnsi="Calibri" w:cs="Calibri"/>
              </w:rPr>
              <w:t xml:space="preserve">by the </w:t>
            </w:r>
            <w:proofErr w:type="spellStart"/>
            <w:r>
              <w:rPr>
                <w:rFonts w:ascii="Calibri" w:hAnsi="Calibri" w:cs="Calibri"/>
              </w:rPr>
              <w:t>anaesthetist</w:t>
            </w:r>
            <w:proofErr w:type="spellEnd"/>
            <w:r>
              <w:rPr>
                <w:rFonts w:ascii="Calibri" w:hAnsi="Calibri" w:cs="Calibri"/>
              </w:rPr>
              <w:t xml:space="preserve"> </w:t>
            </w:r>
            <w:r w:rsidRPr="00B932B5">
              <w:rPr>
                <w:rFonts w:ascii="Calibri" w:hAnsi="Calibri" w:cs="Calibri"/>
              </w:rPr>
              <w:t xml:space="preserve">with </w:t>
            </w:r>
            <w:r>
              <w:rPr>
                <w:rFonts w:ascii="Calibri" w:hAnsi="Calibri" w:cs="Calibri"/>
              </w:rPr>
              <w:t>dexmedetomidine or clonidine for a longer duration of action.</w:t>
            </w:r>
          </w:p>
          <w:p w:rsidR="002C3817" w:rsidRPr="00B932B5" w:rsidRDefault="002C3817" w:rsidP="002C3817">
            <w:pPr>
              <w:pStyle w:val="Default"/>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Calibri" w:hAnsi="Calibri" w:cs="Calibri"/>
              </w:rPr>
            </w:pPr>
            <w:r>
              <w:rPr>
                <w:rFonts w:ascii="Calibri" w:hAnsi="Calibri" w:cs="Calibri"/>
              </w:rPr>
              <w:t xml:space="preserve">Oral midazolam can be combined with </w:t>
            </w:r>
            <w:r w:rsidRPr="00B932B5">
              <w:rPr>
                <w:rFonts w:ascii="Calibri" w:hAnsi="Calibri" w:cs="Calibri"/>
              </w:rPr>
              <w:t>oral ketamine for a quicker onset</w:t>
            </w:r>
            <w:r>
              <w:rPr>
                <w:rFonts w:ascii="Calibri" w:hAnsi="Calibri" w:cs="Calibri"/>
              </w:rPr>
              <w:t>.</w:t>
            </w:r>
          </w:p>
          <w:p w:rsidR="002C3817" w:rsidRDefault="002C3817" w:rsidP="002C3817">
            <w:pPr>
              <w:pStyle w:val="Default"/>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Calibri" w:hAnsi="Calibri" w:cs="Calibri"/>
              </w:rPr>
            </w:pPr>
            <w:r>
              <w:rPr>
                <w:rFonts w:ascii="Calibri" w:hAnsi="Calibri" w:cs="Calibri"/>
              </w:rPr>
              <w:t xml:space="preserve">Oral / </w:t>
            </w:r>
            <w:r w:rsidRPr="00B932B5">
              <w:rPr>
                <w:rFonts w:ascii="Calibri" w:hAnsi="Calibri" w:cs="Calibri"/>
              </w:rPr>
              <w:t>Intranasal dexmedetomidine is also an alternative to oral midazolam</w:t>
            </w:r>
            <w:r>
              <w:rPr>
                <w:rFonts w:ascii="Calibri" w:hAnsi="Calibri" w:cs="Calibri"/>
              </w:rPr>
              <w:t>. Its onset of action is slower.</w:t>
            </w:r>
          </w:p>
          <w:p w:rsidR="002C3817" w:rsidRPr="00E50368" w:rsidRDefault="002C3817" w:rsidP="002C3817">
            <w:pPr>
              <w:pStyle w:val="Default"/>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Calibri" w:hAnsi="Calibri" w:cs="Calibri"/>
              </w:rPr>
            </w:pPr>
            <w:r>
              <w:rPr>
                <w:rFonts w:ascii="Calibri" w:hAnsi="Calibri" w:cs="Calibri"/>
              </w:rPr>
              <w:t>B</w:t>
            </w:r>
            <w:r w:rsidRPr="00B932B5">
              <w:rPr>
                <w:rFonts w:ascii="Calibri" w:hAnsi="Calibri" w:cs="Calibri"/>
              </w:rPr>
              <w:t>eware additive sedative effects and consider dose reduction</w:t>
            </w:r>
            <w:r>
              <w:rPr>
                <w:rFonts w:ascii="Calibri" w:hAnsi="Calibri" w:cs="Calibri"/>
              </w:rPr>
              <w:t xml:space="preserve">. </w:t>
            </w:r>
          </w:p>
          <w:p w:rsidR="002C3817" w:rsidRPr="00B932B5" w:rsidRDefault="002C3817" w:rsidP="002C3817">
            <w:pPr>
              <w:pStyle w:val="Default"/>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Calibri" w:hAnsi="Calibri" w:cs="Calibri"/>
              </w:rPr>
            </w:pPr>
            <w:r w:rsidRPr="00B932B5">
              <w:rPr>
                <w:rFonts w:ascii="Calibri" w:hAnsi="Calibri" w:cs="Calibri"/>
              </w:rPr>
              <w:t xml:space="preserve">In </w:t>
            </w:r>
            <w:r>
              <w:rPr>
                <w:rFonts w:ascii="Calibri" w:hAnsi="Calibri" w:cs="Calibri"/>
              </w:rPr>
              <w:t>c</w:t>
            </w:r>
            <w:r w:rsidRPr="00B932B5">
              <w:rPr>
                <w:rFonts w:ascii="Calibri" w:hAnsi="Calibri" w:cs="Calibri"/>
              </w:rPr>
              <w:t xml:space="preserve">hildren with previous </w:t>
            </w:r>
            <w:r w:rsidRPr="00B932B5">
              <w:rPr>
                <w:rFonts w:ascii="Calibri" w:hAnsi="Calibri" w:cs="Calibri"/>
                <w:b/>
              </w:rPr>
              <w:t>emergence agitation</w:t>
            </w:r>
            <w:r w:rsidRPr="00B932B5">
              <w:rPr>
                <w:rFonts w:ascii="Calibri" w:hAnsi="Calibri" w:cs="Calibri"/>
              </w:rPr>
              <w:t xml:space="preserve"> or </w:t>
            </w:r>
            <w:r w:rsidRPr="00B932B5">
              <w:rPr>
                <w:rFonts w:ascii="Calibri" w:hAnsi="Calibri" w:cs="Calibri"/>
                <w:b/>
              </w:rPr>
              <w:t>paradoxical reaction to midazolam</w:t>
            </w:r>
            <w:r w:rsidRPr="00B932B5">
              <w:rPr>
                <w:rFonts w:ascii="Calibri" w:hAnsi="Calibri" w:cs="Calibri"/>
              </w:rPr>
              <w:t>, clonidine or dexmedetomidine given either as a premedication or intraoperatively, may have a beneficial effect.</w:t>
            </w:r>
          </w:p>
          <w:p w:rsidR="002C3817" w:rsidRPr="00B932B5" w:rsidRDefault="002C3817" w:rsidP="002C3817">
            <w:pPr>
              <w:pStyle w:val="Default"/>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Calibri" w:hAnsi="Calibri" w:cs="Calibri"/>
              </w:rPr>
            </w:pPr>
            <w:r w:rsidRPr="00B932B5">
              <w:rPr>
                <w:rFonts w:ascii="Calibri" w:hAnsi="Calibri" w:cs="Calibri"/>
              </w:rPr>
              <w:t xml:space="preserve">Intranasal /transmucosal (buccal) route often has a quicker onset and may be used when oral </w:t>
            </w:r>
            <w:proofErr w:type="spellStart"/>
            <w:r w:rsidRPr="00B932B5">
              <w:rPr>
                <w:rFonts w:ascii="Calibri" w:hAnsi="Calibri" w:cs="Calibri"/>
              </w:rPr>
              <w:t>premedications</w:t>
            </w:r>
            <w:proofErr w:type="spellEnd"/>
            <w:r w:rsidRPr="00B932B5">
              <w:rPr>
                <w:rFonts w:ascii="Calibri" w:hAnsi="Calibri" w:cs="Calibri"/>
              </w:rPr>
              <w:t xml:space="preserve"> are refused, keeping in mind that trying the intranasal route in a distressed child may pose a risk of injury to staff and child (beware that absorption from the intranasal route may be variable)</w:t>
            </w:r>
          </w:p>
          <w:p w:rsidR="002C3817" w:rsidRDefault="002C3817" w:rsidP="002C3817">
            <w:pPr>
              <w:pStyle w:val="Default"/>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Calibri" w:hAnsi="Calibri" w:cs="Calibri"/>
              </w:rPr>
            </w:pPr>
            <w:proofErr w:type="spellStart"/>
            <w:r>
              <w:rPr>
                <w:rFonts w:ascii="Calibri" w:hAnsi="Calibri" w:cs="Calibri"/>
              </w:rPr>
              <w:t>Ozalin</w:t>
            </w:r>
            <w:proofErr w:type="spellEnd"/>
            <w:r w:rsidRPr="00B932B5">
              <w:rPr>
                <w:rFonts w:ascii="Calibri" w:hAnsi="Calibri" w:cs="Calibri"/>
              </w:rPr>
              <w:t>®</w:t>
            </w:r>
            <w:r>
              <w:rPr>
                <w:rFonts w:ascii="Calibri" w:hAnsi="Calibri" w:cs="Calibri"/>
              </w:rPr>
              <w:t xml:space="preserve"> is a licensed product for oral administration. It is given at a dose of 0.25mg/kg by an oral syringe. It does not have a bitter </w:t>
            </w:r>
            <w:proofErr w:type="spellStart"/>
            <w:r>
              <w:rPr>
                <w:rFonts w:ascii="Calibri" w:hAnsi="Calibri" w:cs="Calibri"/>
              </w:rPr>
              <w:t>flavour</w:t>
            </w:r>
            <w:proofErr w:type="spellEnd"/>
            <w:r>
              <w:rPr>
                <w:rFonts w:ascii="Calibri" w:hAnsi="Calibri" w:cs="Calibri"/>
              </w:rPr>
              <w:t xml:space="preserve"> and so can be given without juice. </w:t>
            </w:r>
          </w:p>
          <w:p w:rsidR="002C3817" w:rsidRPr="00B932B5" w:rsidRDefault="002C3817" w:rsidP="002C3817">
            <w:pPr>
              <w:pStyle w:val="Default"/>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Calibri" w:hAnsi="Calibri" w:cs="Calibri"/>
              </w:rPr>
            </w:pPr>
            <w:r w:rsidRPr="00B932B5">
              <w:rPr>
                <w:rFonts w:ascii="Calibri" w:hAnsi="Calibri" w:cs="Calibri"/>
              </w:rPr>
              <w:t>Use a MAD (mucosal atomizing device- available in theatre 6) and a 2ml syringe to deliver the drug effectively and safely when using the intranasal route</w:t>
            </w:r>
          </w:p>
          <w:p w:rsidR="002C3817" w:rsidRDefault="002C3817" w:rsidP="002C3817">
            <w:pPr>
              <w:pStyle w:val="Default"/>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Calibri" w:hAnsi="Calibri" w:cs="Calibri"/>
              </w:rPr>
            </w:pPr>
            <w:r w:rsidRPr="00B932B5">
              <w:rPr>
                <w:rFonts w:ascii="Calibri" w:hAnsi="Calibri" w:cs="Calibri"/>
              </w:rPr>
              <w:t xml:space="preserve">Intra muscular drugs (Ketamine) may be used as an alternative in noncompliant children / patients if premedication is felt necessary (see footnote on use of Ketamine </w:t>
            </w:r>
            <w:r>
              <w:rPr>
                <w:rFonts w:ascii="Calibri" w:hAnsi="Calibri" w:cs="Calibri"/>
              </w:rPr>
              <w:t>intramuscular injection</w:t>
            </w:r>
            <w:r w:rsidRPr="00B932B5">
              <w:rPr>
                <w:rFonts w:ascii="Calibri" w:hAnsi="Calibri" w:cs="Calibri"/>
              </w:rPr>
              <w:t xml:space="preserve">) </w:t>
            </w:r>
          </w:p>
          <w:p w:rsidR="002C3817" w:rsidRPr="002352A4" w:rsidRDefault="002C3817" w:rsidP="002C3817">
            <w:pPr>
              <w:pStyle w:val="Default"/>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Calibri" w:hAnsi="Calibri" w:cs="Calibri"/>
              </w:rPr>
            </w:pPr>
            <w:r w:rsidRPr="002352A4">
              <w:rPr>
                <w:rFonts w:ascii="Calibri" w:hAnsi="Calibri" w:cs="Calibri"/>
              </w:rPr>
              <w:t xml:space="preserve">It is not normal practice that a sedative is prescribed prior to coming to hospital. Alternatives should be sought (such as desensitization) and an MDT should be undertaken so that shared decision making can be undertaken in the best interest of the patient. </w:t>
            </w:r>
          </w:p>
          <w:p w:rsidR="002C3817"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Calibri" w:hAnsi="Calibri" w:cs="Calibri"/>
              </w:rPr>
            </w:pPr>
          </w:p>
          <w:p w:rsidR="002C3817"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Calibri" w:hAnsi="Calibri" w:cs="Calibri"/>
              </w:rPr>
            </w:pPr>
          </w:p>
          <w:p w:rsidR="002C3817"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720"/>
              <w:rPr>
                <w:rFonts w:ascii="Calibri" w:hAnsi="Calibri" w:cs="Calibri"/>
              </w:rPr>
            </w:pPr>
          </w:p>
          <w:p w:rsidR="002C3817" w:rsidRPr="00B932B5"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720"/>
              <w:rPr>
                <w:rFonts w:ascii="Calibri" w:hAnsi="Calibri" w:cs="Calibri"/>
              </w:rPr>
            </w:pPr>
          </w:p>
        </w:tc>
      </w:tr>
    </w:tbl>
    <w:p w:rsidR="002C3817" w:rsidRDefault="002C3817">
      <w:pPr>
        <w:spacing w:after="200"/>
        <w:rPr>
          <w:sz w:val="24"/>
          <w:szCs w:val="24"/>
        </w:rPr>
      </w:pPr>
    </w:p>
    <w:tbl>
      <w:tblPr>
        <w:tblStyle w:val="TableGrid"/>
        <w:tblW w:w="0" w:type="auto"/>
        <w:jc w:val="center"/>
        <w:shd w:val="clear" w:color="auto" w:fill="C0504D" w:themeFill="accent2"/>
        <w:tblLook w:val="04A0" w:firstRow="1" w:lastRow="0" w:firstColumn="1" w:lastColumn="0" w:noHBand="0" w:noVBand="1"/>
      </w:tblPr>
      <w:tblGrid>
        <w:gridCol w:w="9016"/>
      </w:tblGrid>
      <w:tr w:rsidR="002C3817" w:rsidRPr="00835F23" w:rsidTr="00BC6EB4">
        <w:trPr>
          <w:jc w:val="center"/>
        </w:trPr>
        <w:tc>
          <w:tcPr>
            <w:tcW w:w="9016" w:type="dxa"/>
            <w:shd w:val="clear" w:color="auto" w:fill="C0504D" w:themeFill="accent2"/>
          </w:tcPr>
          <w:p w:rsidR="002C3817" w:rsidRPr="00B932B5" w:rsidRDefault="002C3817" w:rsidP="00BC6EB4">
            <w:pPr>
              <w:pStyle w:val="Default"/>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hAnsi="Calibri" w:cs="Calibri"/>
                <w:color w:val="FFFFFF" w:themeColor="background1"/>
                <w:sz w:val="24"/>
                <w:szCs w:val="24"/>
              </w:rPr>
            </w:pPr>
            <w:r w:rsidRPr="00B932B5">
              <w:rPr>
                <w:rFonts w:ascii="Calibri" w:hAnsi="Calibri" w:cs="Calibri"/>
                <w:color w:val="FFFFFF" w:themeColor="background1"/>
                <w:sz w:val="24"/>
                <w:szCs w:val="24"/>
              </w:rPr>
              <w:lastRenderedPageBreak/>
              <w:t>Suggested Pathway for Choosing Sedative Premedication</w:t>
            </w:r>
            <w:r>
              <w:rPr>
                <w:rFonts w:ascii="Calibri" w:hAnsi="Calibri" w:cs="Calibri"/>
                <w:color w:val="FFFFFF" w:themeColor="background1"/>
                <w:sz w:val="24"/>
                <w:szCs w:val="24"/>
              </w:rPr>
              <w:t xml:space="preserve"> in Children</w:t>
            </w:r>
          </w:p>
        </w:tc>
      </w:tr>
    </w:tbl>
    <w:p w:rsidR="002C3817" w:rsidRDefault="002C3817">
      <w:pPr>
        <w:spacing w:after="200"/>
        <w:rPr>
          <w:sz w:val="24"/>
          <w:szCs w:val="24"/>
        </w:rPr>
      </w:pPr>
    </w:p>
    <w:p w:rsidR="002C3817" w:rsidRDefault="002C3817" w:rsidP="002C3817">
      <w:pPr>
        <w:rPr>
          <w:rFonts w:eastAsiaTheme="majorEastAsia" w:cstheme="majorBidi"/>
          <w:b/>
          <w:bCs/>
          <w:color w:val="8064A2" w:themeColor="accent4"/>
          <w:sz w:val="32"/>
          <w:szCs w:val="28"/>
        </w:rPr>
      </w:pPr>
      <w:r w:rsidRPr="00835F23">
        <w:rPr>
          <w:rFonts w:eastAsiaTheme="majorEastAsia" w:cstheme="majorBidi"/>
          <w:b/>
          <w:bCs/>
          <w:noProof/>
          <w:color w:val="8064A2" w:themeColor="accent4"/>
          <w:sz w:val="32"/>
          <w:szCs w:val="28"/>
          <w:lang w:eastAsia="en-GB"/>
        </w:rPr>
        <mc:AlternateContent>
          <mc:Choice Requires="wps">
            <w:drawing>
              <wp:anchor distT="0" distB="0" distL="114300" distR="114300" simplePos="0" relativeHeight="251659264" behindDoc="0" locked="0" layoutInCell="1" allowOverlap="1" wp14:anchorId="0B537BEA" wp14:editId="1CC56D1E">
                <wp:simplePos x="0" y="0"/>
                <wp:positionH relativeFrom="column">
                  <wp:posOffset>1687279</wp:posOffset>
                </wp:positionH>
                <wp:positionV relativeFrom="paragraph">
                  <wp:posOffset>59750</wp:posOffset>
                </wp:positionV>
                <wp:extent cx="2510790" cy="349885"/>
                <wp:effectExtent l="0" t="0" r="22860" b="12065"/>
                <wp:wrapNone/>
                <wp:docPr id="3" name="Flowchart: Process 1"/>
                <wp:cNvGraphicFramePr/>
                <a:graphic xmlns:a="http://schemas.openxmlformats.org/drawingml/2006/main">
                  <a:graphicData uri="http://schemas.microsoft.com/office/word/2010/wordprocessingShape">
                    <wps:wsp>
                      <wps:cNvSpPr/>
                      <wps:spPr>
                        <a:xfrm>
                          <a:off x="0" y="0"/>
                          <a:ext cx="2510790" cy="349885"/>
                        </a:xfrm>
                        <a:prstGeom prst="flowChartProcess">
                          <a:avLst/>
                        </a:prstGeom>
                        <a:solidFill>
                          <a:srgbClr val="FFFFFF"/>
                        </a:solidFill>
                        <a:ln w="25400" cap="flat" cmpd="sng" algn="ctr">
                          <a:solidFill>
                            <a:srgbClr val="000000"/>
                          </a:solidFill>
                          <a:prstDash val="solid"/>
                        </a:ln>
                        <a:effectLst/>
                      </wps:spPr>
                      <wps:txbx>
                        <w:txbxContent>
                          <w:p w:rsidR="002C3817" w:rsidRDefault="002C3817" w:rsidP="002C3817">
                            <w:pPr>
                              <w:jc w:val="center"/>
                            </w:pPr>
                            <w:r>
                              <w:t>Sedative Premedication Required?</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537BEA" id="_x0000_t109" coordsize="21600,21600" o:spt="109" path="m,l,21600r21600,l21600,xe">
                <v:stroke joinstyle="miter"/>
                <v:path gradientshapeok="t" o:connecttype="rect"/>
              </v:shapetype>
              <v:shape id="Flowchart: Process 1" o:spid="_x0000_s1026" type="#_x0000_t109" style="position:absolute;margin-left:132.85pt;margin-top:4.7pt;width:197.7pt;height:2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" strokeweight="2pt">
                <v:textbox inset="4pt,4pt,4pt,4pt">
                  <w:txbxContent>
                    <w:p w:rsidR="002C3817" w:rsidRDefault="002C3817" w:rsidP="002C3817">
                      <w:pPr>
                        <w:jc w:val="center"/>
                      </w:pPr>
                      <w:r>
                        <w:t>Sedative Premedication Required?</w:t>
                      </w:r>
                    </w:p>
                  </w:txbxContent>
                </v:textbox>
              </v:shape>
            </w:pict>
          </mc:Fallback>
        </mc:AlternateContent>
      </w:r>
    </w:p>
    <w:p w:rsidR="002C3817" w:rsidRDefault="002C3817" w:rsidP="002C3817">
      <w:pPr>
        <w:rPr>
          <w:rFonts w:eastAsiaTheme="majorEastAsia" w:cstheme="majorBidi"/>
          <w:b/>
          <w:bCs/>
          <w:color w:val="8064A2" w:themeColor="accent4"/>
          <w:sz w:val="32"/>
          <w:szCs w:val="28"/>
        </w:rPr>
      </w:pPr>
      <w:r w:rsidRPr="00835F23">
        <w:rPr>
          <w:rFonts w:eastAsiaTheme="majorEastAsia" w:cstheme="majorBidi"/>
          <w:b/>
          <w:bCs/>
          <w:noProof/>
          <w:color w:val="8064A2" w:themeColor="accent4"/>
          <w:sz w:val="32"/>
          <w:szCs w:val="28"/>
          <w:lang w:eastAsia="en-GB"/>
        </w:rPr>
        <mc:AlternateContent>
          <mc:Choice Requires="wps">
            <w:drawing>
              <wp:anchor distT="0" distB="0" distL="114300" distR="114300" simplePos="0" relativeHeight="251665408" behindDoc="0" locked="0" layoutInCell="1" allowOverlap="1" wp14:anchorId="5CF7E436" wp14:editId="2CFAD8AD">
                <wp:simplePos x="0" y="0"/>
                <wp:positionH relativeFrom="column">
                  <wp:posOffset>3148019</wp:posOffset>
                </wp:positionH>
                <wp:positionV relativeFrom="paragraph">
                  <wp:posOffset>2904549</wp:posOffset>
                </wp:positionV>
                <wp:extent cx="2838091" cy="1000760"/>
                <wp:effectExtent l="12700" t="12700" r="6985" b="10160"/>
                <wp:wrapNone/>
                <wp:docPr id="15" name="Rectangle 15"/>
                <wp:cNvGraphicFramePr/>
                <a:graphic xmlns:a="http://schemas.openxmlformats.org/drawingml/2006/main">
                  <a:graphicData uri="http://schemas.microsoft.com/office/word/2010/wordprocessingShape">
                    <wps:wsp>
                      <wps:cNvSpPr/>
                      <wps:spPr>
                        <a:xfrm>
                          <a:off x="0" y="0"/>
                          <a:ext cx="2838091" cy="1000760"/>
                        </a:xfrm>
                        <a:prstGeom prst="rect">
                          <a:avLst/>
                        </a:prstGeom>
                        <a:solidFill>
                          <a:srgbClr val="FFFFFF"/>
                        </a:solidFill>
                        <a:ln w="25400" cap="flat" cmpd="sng" algn="ctr">
                          <a:solidFill>
                            <a:srgbClr val="000000"/>
                          </a:solidFill>
                          <a:prstDash val="solid"/>
                        </a:ln>
                        <a:effectLst/>
                      </wps:spPr>
                      <wps:txbx>
                        <w:txbxContent>
                          <w:p w:rsidR="002C3817" w:rsidRPr="006A3792" w:rsidRDefault="002C3817" w:rsidP="002C3817">
                            <w:pPr>
                              <w:pStyle w:val="CommentText"/>
                              <w:numPr>
                                <w:ilvl w:val="0"/>
                                <w:numId w:val="30"/>
                              </w:numPr>
                            </w:pPr>
                            <w:r w:rsidRPr="00B932B5">
                              <w:rPr>
                                <w:b/>
                              </w:rPr>
                              <w:t xml:space="preserve">Buccal Dexmedetomidine 1-4 </w:t>
                            </w:r>
                            <w:r>
                              <w:rPr>
                                <w:b/>
                              </w:rPr>
                              <w:t>micrograms</w:t>
                            </w:r>
                            <w:r w:rsidRPr="00F16574">
                              <w:rPr>
                                <w:b/>
                              </w:rPr>
                              <w:t>/kg</w:t>
                            </w:r>
                          </w:p>
                          <w:p w:rsidR="002C3817" w:rsidRDefault="002C3817" w:rsidP="002C3817">
                            <w:pPr>
                              <w:pStyle w:val="CommentSubject"/>
                              <w:numPr>
                                <w:ilvl w:val="0"/>
                                <w:numId w:val="30"/>
                              </w:numPr>
                            </w:pPr>
                            <w:r>
                              <w:t>Intranasal Dexmedetomidine 2 micrograms/kg</w:t>
                            </w:r>
                          </w:p>
                          <w:p w:rsidR="002C3817" w:rsidRDefault="002C3817" w:rsidP="002C3817">
                            <w:pPr>
                              <w:pStyle w:val="CommentSubject"/>
                              <w:numPr>
                                <w:ilvl w:val="0"/>
                                <w:numId w:val="30"/>
                              </w:numPr>
                            </w:pPr>
                            <w:r>
                              <w:t>Intramuscular Ketamine 5 micrograms/kg</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ect w14:anchorId="5CF7E436" id="Rectangle 15" o:spid="_x0000_s1027" style="position:absolute;margin-left:247.9pt;margin-top:228.7pt;width:223.45pt;height:78.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" strokeweight="2pt">
                <v:textbox style="mso-fit-shape-to-text:t" inset="4pt,4pt,4pt,4pt">
                  <w:txbxContent>
                    <w:p w:rsidR="002C3817" w:rsidRPr="006A3792" w:rsidRDefault="002C3817" w:rsidP="002C3817">
                      <w:pPr>
                        <w:pStyle w:val="CommentText"/>
                        <w:numPr>
                          <w:ilvl w:val="0"/>
                          <w:numId w:val="30"/>
                        </w:numPr>
                      </w:pPr>
                      <w:r w:rsidRPr="00B932B5">
                        <w:rPr>
                          <w:b/>
                        </w:rPr>
                        <w:t xml:space="preserve">Buccal Dexmedetomidine 1-4 </w:t>
                      </w:r>
                      <w:r>
                        <w:rPr>
                          <w:b/>
                        </w:rPr>
                        <w:t>micrograms</w:t>
                      </w:r>
                      <w:r w:rsidRPr="00F16574">
                        <w:rPr>
                          <w:b/>
                        </w:rPr>
                        <w:t>/kg</w:t>
                      </w:r>
                    </w:p>
                    <w:p w:rsidR="002C3817" w:rsidRDefault="002C3817" w:rsidP="002C3817">
                      <w:pPr>
                        <w:pStyle w:val="CommentSubject"/>
                        <w:numPr>
                          <w:ilvl w:val="0"/>
                          <w:numId w:val="30"/>
                        </w:numPr>
                      </w:pPr>
                      <w:r>
                        <w:t>Intranasal Dexmedetomidine 2 micrograms/kg</w:t>
                      </w:r>
                    </w:p>
                    <w:p w:rsidR="002C3817" w:rsidRDefault="002C3817" w:rsidP="002C3817">
                      <w:pPr>
                        <w:pStyle w:val="CommentSubject"/>
                        <w:numPr>
                          <w:ilvl w:val="0"/>
                          <w:numId w:val="30"/>
                        </w:numPr>
                      </w:pPr>
                      <w:r>
                        <w:t>Intramuscular Ketamine 5 micrograms/kg</w:t>
                      </w:r>
                    </w:p>
                  </w:txbxContent>
                </v:textbox>
              </v:rect>
            </w:pict>
          </mc:Fallback>
        </mc:AlternateContent>
      </w:r>
      <w:r w:rsidRPr="00835F23">
        <w:rPr>
          <w:rFonts w:eastAsiaTheme="majorEastAsia" w:cstheme="majorBidi"/>
          <w:b/>
          <w:bCs/>
          <w:noProof/>
          <w:color w:val="8064A2" w:themeColor="accent4"/>
          <w:sz w:val="32"/>
          <w:szCs w:val="28"/>
          <w:lang w:eastAsia="en-GB"/>
        </w:rPr>
        <mc:AlternateContent>
          <mc:Choice Requires="wps">
            <w:drawing>
              <wp:anchor distT="0" distB="0" distL="114300" distR="114300" simplePos="0" relativeHeight="251669504" behindDoc="0" locked="0" layoutInCell="1" allowOverlap="1" wp14:anchorId="2E5739F8" wp14:editId="63579FC1">
                <wp:simplePos x="0" y="0"/>
                <wp:positionH relativeFrom="column">
                  <wp:posOffset>4551716</wp:posOffset>
                </wp:positionH>
                <wp:positionV relativeFrom="paragraph">
                  <wp:posOffset>2068399</wp:posOffset>
                </wp:positionV>
                <wp:extent cx="0" cy="688340"/>
                <wp:effectExtent l="95250" t="0" r="114300" b="54610"/>
                <wp:wrapNone/>
                <wp:docPr id="19" name="Straight Arrow Connector 19"/>
                <wp:cNvGraphicFramePr/>
                <a:graphic xmlns:a="http://schemas.openxmlformats.org/drawingml/2006/main">
                  <a:graphicData uri="http://schemas.microsoft.com/office/word/2010/wordprocessingShape">
                    <wps:wsp>
                      <wps:cNvCnPr/>
                      <wps:spPr>
                        <a:xfrm>
                          <a:off x="0" y="0"/>
                          <a:ext cx="0" cy="688340"/>
                        </a:xfrm>
                        <a:prstGeom prst="straightConnector1">
                          <a:avLst/>
                        </a:prstGeom>
                        <a:noFill/>
                        <a:ln w="9525" cap="flat" cmpd="sng" algn="ctr">
                          <a:solidFill>
                            <a:srgbClr val="000000">
                              <a:shade val="95000"/>
                              <a:satMod val="104999"/>
                            </a:srgbClr>
                          </a:solidFill>
                          <a:prstDash val="solid"/>
                          <a:tailEnd type="arrow"/>
                        </a:ln>
                        <a:effectLst/>
                      </wps:spPr>
                      <wps:bodyPr/>
                    </wps:wsp>
                  </a:graphicData>
                </a:graphic>
              </wp:anchor>
            </w:drawing>
          </mc:Choice>
          <mc:Fallback>
            <w:pict>
              <v:shapetype w14:anchorId="7514AE87" id="_x0000_t32" coordsize="21600,21600" o:spt="32" o:oned="t" path="m,l21600,21600e" filled="f">
                <v:path arrowok="t" fillok="f" o:connecttype="none"/>
                <o:lock v:ext="edit" shapetype="t"/>
              </v:shapetype>
              <v:shape id="Straight Arrow Connector 19" o:spid="_x0000_s1026" type="#_x0000_t32" style="position:absolute;margin-left:358.4pt;margin-top:162.85pt;width:0;height:54.2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">
                <v:stroke endarrow="open"/>
              </v:shape>
            </w:pict>
          </mc:Fallback>
        </mc:AlternateContent>
      </w:r>
      <w:r w:rsidRPr="00835F23">
        <w:rPr>
          <w:rFonts w:eastAsiaTheme="majorEastAsia" w:cstheme="majorBidi"/>
          <w:b/>
          <w:bCs/>
          <w:noProof/>
          <w:color w:val="8064A2" w:themeColor="accent4"/>
          <w:sz w:val="32"/>
          <w:szCs w:val="28"/>
          <w:lang w:eastAsia="en-GB"/>
        </w:rPr>
        <mc:AlternateContent>
          <mc:Choice Requires="wps">
            <w:drawing>
              <wp:anchor distT="0" distB="0" distL="114300" distR="114300" simplePos="0" relativeHeight="251668480" behindDoc="0" locked="0" layoutInCell="1" allowOverlap="1" wp14:anchorId="3398A5F3" wp14:editId="02233844">
                <wp:simplePos x="0" y="0"/>
                <wp:positionH relativeFrom="column">
                  <wp:posOffset>1342689</wp:posOffset>
                </wp:positionH>
                <wp:positionV relativeFrom="paragraph">
                  <wp:posOffset>2068363</wp:posOffset>
                </wp:positionV>
                <wp:extent cx="0" cy="688340"/>
                <wp:effectExtent l="95250" t="0" r="114300" b="54610"/>
                <wp:wrapNone/>
                <wp:docPr id="18" name="Straight Arrow Connector 18"/>
                <wp:cNvGraphicFramePr/>
                <a:graphic xmlns:a="http://schemas.openxmlformats.org/drawingml/2006/main">
                  <a:graphicData uri="http://schemas.microsoft.com/office/word/2010/wordprocessingShape">
                    <wps:wsp>
                      <wps:cNvCnPr/>
                      <wps:spPr>
                        <a:xfrm>
                          <a:off x="0" y="0"/>
                          <a:ext cx="0" cy="688340"/>
                        </a:xfrm>
                        <a:prstGeom prst="straightConnector1">
                          <a:avLst/>
                        </a:prstGeom>
                        <a:noFill/>
                        <a:ln w="9525" cap="flat" cmpd="sng" algn="ctr">
                          <a:solidFill>
                            <a:srgbClr val="000000">
                              <a:shade val="95000"/>
                              <a:satMod val="104999"/>
                            </a:srgbClr>
                          </a:solidFill>
                          <a:prstDash val="solid"/>
                          <a:tailEnd type="arrow"/>
                        </a:ln>
                        <a:effectLst/>
                      </wps:spPr>
                      <wps:bodyPr/>
                    </wps:wsp>
                  </a:graphicData>
                </a:graphic>
              </wp:anchor>
            </w:drawing>
          </mc:Choice>
          <mc:Fallback>
            <w:pict>
              <v:shape w14:anchorId="1E84F84F" id="Straight Arrow Connector 18" o:spid="_x0000_s1026" type="#_x0000_t32" style="position:absolute;margin-left:105.7pt;margin-top:162.85pt;width:0;height:54.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">
                <v:stroke endarrow="open"/>
              </v:shape>
            </w:pict>
          </mc:Fallback>
        </mc:AlternateContent>
      </w:r>
      <w:r w:rsidRPr="00835F23">
        <w:rPr>
          <w:rFonts w:eastAsiaTheme="majorEastAsia" w:cstheme="majorBidi"/>
          <w:b/>
          <w:bCs/>
          <w:noProof/>
          <w:color w:val="8064A2" w:themeColor="accent4"/>
          <w:sz w:val="32"/>
          <w:szCs w:val="28"/>
          <w:lang w:eastAsia="en-GB"/>
        </w:rPr>
        <mc:AlternateContent>
          <mc:Choice Requires="wps">
            <w:drawing>
              <wp:anchor distT="0" distB="0" distL="114300" distR="114300" simplePos="0" relativeHeight="251662336" behindDoc="0" locked="0" layoutInCell="1" allowOverlap="1" wp14:anchorId="1C324C24" wp14:editId="509FC6D7">
                <wp:simplePos x="0" y="0"/>
                <wp:positionH relativeFrom="column">
                  <wp:posOffset>4320276</wp:posOffset>
                </wp:positionH>
                <wp:positionV relativeFrom="paragraph">
                  <wp:posOffset>1693809</wp:posOffset>
                </wp:positionV>
                <wp:extent cx="457200" cy="302260"/>
                <wp:effectExtent l="0" t="0" r="19050" b="21590"/>
                <wp:wrapNone/>
                <wp:docPr id="6" name="Flowchart: Process 9"/>
                <wp:cNvGraphicFramePr/>
                <a:graphic xmlns:a="http://schemas.openxmlformats.org/drawingml/2006/main">
                  <a:graphicData uri="http://schemas.microsoft.com/office/word/2010/wordprocessingShape">
                    <wps:wsp>
                      <wps:cNvSpPr/>
                      <wps:spPr>
                        <a:xfrm>
                          <a:off x="0" y="0"/>
                          <a:ext cx="457200" cy="302260"/>
                        </a:xfrm>
                        <a:prstGeom prst="flowChartProcess">
                          <a:avLst/>
                        </a:prstGeom>
                        <a:solidFill>
                          <a:srgbClr val="FFFFFF"/>
                        </a:solidFill>
                        <a:ln w="25400" cap="flat" cmpd="sng" algn="ctr">
                          <a:solidFill>
                            <a:srgbClr val="000000"/>
                          </a:solidFill>
                          <a:prstDash val="solid"/>
                        </a:ln>
                        <a:effectLst/>
                      </wps:spPr>
                      <wps:txbx>
                        <w:txbxContent>
                          <w:p w:rsidR="002C3817" w:rsidRDefault="002C3817" w:rsidP="002C3817">
                            <w:pPr>
                              <w:jc w:val="center"/>
                            </w:pPr>
                            <w:r>
                              <w:t>No</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anchor>
            </w:drawing>
          </mc:Choice>
          <mc:Fallback>
            <w:pict>
              <v:shape w14:anchorId="1C324C24" id="Flowchart: Process 9" o:spid="_x0000_s1028" type="#_x0000_t109" style="position:absolute;margin-left:340.2pt;margin-top:133.35pt;width:36pt;height:23.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" strokeweight="2pt">
                <v:textbox style="mso-fit-shape-to-text:t" inset="4pt,4pt,4pt,4pt">
                  <w:txbxContent>
                    <w:p w:rsidR="002C3817" w:rsidRDefault="002C3817" w:rsidP="002C3817">
                      <w:pPr>
                        <w:jc w:val="center"/>
                      </w:pPr>
                      <w:r>
                        <w:t>No</w:t>
                      </w:r>
                    </w:p>
                  </w:txbxContent>
                </v:textbox>
              </v:shape>
            </w:pict>
          </mc:Fallback>
        </mc:AlternateContent>
      </w:r>
      <w:r w:rsidRPr="00835F23">
        <w:rPr>
          <w:rFonts w:eastAsiaTheme="majorEastAsia" w:cstheme="majorBidi"/>
          <w:b/>
          <w:bCs/>
          <w:noProof/>
          <w:color w:val="8064A2" w:themeColor="accent4"/>
          <w:sz w:val="32"/>
          <w:szCs w:val="28"/>
          <w:lang w:eastAsia="en-GB"/>
        </w:rPr>
        <mc:AlternateContent>
          <mc:Choice Requires="wps">
            <w:drawing>
              <wp:anchor distT="0" distB="0" distL="114300" distR="114300" simplePos="0" relativeHeight="251661312" behindDoc="0" locked="0" layoutInCell="1" allowOverlap="1" wp14:anchorId="1C9BF4B5" wp14:editId="26078BFD">
                <wp:simplePos x="0" y="0"/>
                <wp:positionH relativeFrom="column">
                  <wp:posOffset>1059311</wp:posOffset>
                </wp:positionH>
                <wp:positionV relativeFrom="paragraph">
                  <wp:posOffset>1697439</wp:posOffset>
                </wp:positionV>
                <wp:extent cx="571500" cy="342900"/>
                <wp:effectExtent l="0" t="0" r="19050" b="21590"/>
                <wp:wrapNone/>
                <wp:docPr id="4" name="Rectangle 4"/>
                <wp:cNvGraphicFramePr/>
                <a:graphic xmlns:a="http://schemas.openxmlformats.org/drawingml/2006/main">
                  <a:graphicData uri="http://schemas.microsoft.com/office/word/2010/wordprocessingShape">
                    <wps:wsp>
                      <wps:cNvSpPr/>
                      <wps:spPr>
                        <a:xfrm>
                          <a:off x="0" y="0"/>
                          <a:ext cx="571500" cy="342900"/>
                        </a:xfrm>
                        <a:prstGeom prst="rect">
                          <a:avLst/>
                        </a:prstGeom>
                        <a:solidFill>
                          <a:srgbClr val="FFFFFF"/>
                        </a:solidFill>
                        <a:ln w="25400" cap="flat" cmpd="sng" algn="ctr">
                          <a:solidFill>
                            <a:srgbClr val="000000"/>
                          </a:solidFill>
                          <a:prstDash val="solid"/>
                        </a:ln>
                        <a:effectLst/>
                      </wps:spPr>
                      <wps:txbx>
                        <w:txbxContent>
                          <w:p w:rsidR="002C3817" w:rsidRDefault="002C3817" w:rsidP="002C3817">
                            <w:pPr>
                              <w:jc w:val="center"/>
                            </w:pPr>
                            <w:r>
                              <w:t>Yes</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anchor>
            </w:drawing>
          </mc:Choice>
          <mc:Fallback>
            <w:pict>
              <v:rect w14:anchorId="1C9BF4B5" id="Rectangle 4" o:spid="_x0000_s1029" style="position:absolute;margin-left:83.4pt;margin-top:133.65pt;width:45pt;height:2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" strokeweight="2pt">
                <v:textbox style="mso-fit-shape-to-text:t" inset="4pt,4pt,4pt,4pt">
                  <w:txbxContent>
                    <w:p w:rsidR="002C3817" w:rsidRDefault="002C3817" w:rsidP="002C3817">
                      <w:pPr>
                        <w:jc w:val="center"/>
                      </w:pPr>
                      <w:r>
                        <w:t>Yes</w:t>
                      </w:r>
                    </w:p>
                  </w:txbxContent>
                </v:textbox>
              </v:rect>
            </w:pict>
          </mc:Fallback>
        </mc:AlternateContent>
      </w:r>
      <w:r w:rsidRPr="00835F23">
        <w:rPr>
          <w:rFonts w:eastAsiaTheme="majorEastAsia" w:cstheme="majorBidi"/>
          <w:b/>
          <w:bCs/>
          <w:noProof/>
          <w:color w:val="8064A2" w:themeColor="accent4"/>
          <w:sz w:val="32"/>
          <w:szCs w:val="28"/>
          <w:lang w:eastAsia="en-GB"/>
        </w:rPr>
        <mc:AlternateContent>
          <mc:Choice Requires="wps">
            <w:drawing>
              <wp:anchor distT="0" distB="0" distL="114300" distR="114300" simplePos="0" relativeHeight="251666432" behindDoc="0" locked="0" layoutInCell="1" allowOverlap="1" wp14:anchorId="0A922049" wp14:editId="22ED4CEA">
                <wp:simplePos x="0" y="0"/>
                <wp:positionH relativeFrom="column">
                  <wp:posOffset>4543701</wp:posOffset>
                </wp:positionH>
                <wp:positionV relativeFrom="paragraph">
                  <wp:posOffset>1011424</wp:posOffset>
                </wp:positionV>
                <wp:extent cx="0" cy="688340"/>
                <wp:effectExtent l="95250" t="0" r="114300" b="54610"/>
                <wp:wrapNone/>
                <wp:docPr id="16" name="Straight Arrow Connector 16"/>
                <wp:cNvGraphicFramePr/>
                <a:graphic xmlns:a="http://schemas.openxmlformats.org/drawingml/2006/main">
                  <a:graphicData uri="http://schemas.microsoft.com/office/word/2010/wordprocessingShape">
                    <wps:wsp>
                      <wps:cNvCnPr/>
                      <wps:spPr>
                        <a:xfrm>
                          <a:off x="0" y="0"/>
                          <a:ext cx="0" cy="688340"/>
                        </a:xfrm>
                        <a:prstGeom prst="straightConnector1">
                          <a:avLst/>
                        </a:prstGeom>
                        <a:noFill/>
                        <a:ln w="9525" cap="flat" cmpd="sng" algn="ctr">
                          <a:solidFill>
                            <a:srgbClr val="000000">
                              <a:shade val="95000"/>
                              <a:satMod val="104999"/>
                            </a:srgbClr>
                          </a:solidFill>
                          <a:prstDash val="solid"/>
                          <a:tailEnd type="arrow"/>
                        </a:ln>
                        <a:effectLst/>
                      </wps:spPr>
                      <wps:bodyPr/>
                    </wps:wsp>
                  </a:graphicData>
                </a:graphic>
                <wp14:sizeRelH relativeFrom="margin">
                  <wp14:pctWidth>0</wp14:pctWidth>
                </wp14:sizeRelH>
              </wp:anchor>
            </w:drawing>
          </mc:Choice>
          <mc:Fallback>
            <w:pict>
              <v:shape w14:anchorId="134C97DD" id="Straight Arrow Connector 16" o:spid="_x0000_s1026" type="#_x0000_t32" style="position:absolute;margin-left:357.75pt;margin-top:79.65pt;width:0;height:54.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">
                <v:stroke endarrow="open"/>
              </v:shape>
            </w:pict>
          </mc:Fallback>
        </mc:AlternateContent>
      </w:r>
      <w:r w:rsidRPr="00835F23">
        <w:rPr>
          <w:rFonts w:eastAsiaTheme="majorEastAsia" w:cstheme="majorBidi"/>
          <w:b/>
          <w:bCs/>
          <w:noProof/>
          <w:color w:val="8064A2" w:themeColor="accent4"/>
          <w:sz w:val="32"/>
          <w:szCs w:val="28"/>
          <w:lang w:eastAsia="en-GB"/>
        </w:rPr>
        <mc:AlternateContent>
          <mc:Choice Requires="wps">
            <w:drawing>
              <wp:anchor distT="0" distB="0" distL="114300" distR="114300" simplePos="0" relativeHeight="251664384" behindDoc="0" locked="0" layoutInCell="1" allowOverlap="1" wp14:anchorId="04AC6FEC" wp14:editId="664E6C13">
                <wp:simplePos x="0" y="0"/>
                <wp:positionH relativeFrom="column">
                  <wp:posOffset>1348153</wp:posOffset>
                </wp:positionH>
                <wp:positionV relativeFrom="paragraph">
                  <wp:posOffset>1008884</wp:posOffset>
                </wp:positionV>
                <wp:extent cx="0" cy="688340"/>
                <wp:effectExtent l="95250" t="0" r="114300" b="54610"/>
                <wp:wrapNone/>
                <wp:docPr id="14" name="Straight Arrow Connector 14"/>
                <wp:cNvGraphicFramePr/>
                <a:graphic xmlns:a="http://schemas.openxmlformats.org/drawingml/2006/main">
                  <a:graphicData uri="http://schemas.microsoft.com/office/word/2010/wordprocessingShape">
                    <wps:wsp>
                      <wps:cNvCnPr/>
                      <wps:spPr>
                        <a:xfrm>
                          <a:off x="0" y="0"/>
                          <a:ext cx="0" cy="688340"/>
                        </a:xfrm>
                        <a:prstGeom prst="straightConnector1">
                          <a:avLst/>
                        </a:prstGeom>
                        <a:noFill/>
                        <a:ln w="9525" cap="flat" cmpd="sng" algn="ctr">
                          <a:solidFill>
                            <a:srgbClr val="000000">
                              <a:shade val="95000"/>
                              <a:satMod val="104999"/>
                            </a:srgbClr>
                          </a:solidFill>
                          <a:prstDash val="solid"/>
                          <a:tailEnd type="arrow"/>
                        </a:ln>
                        <a:effectLst/>
                      </wps:spPr>
                      <wps:bodyPr/>
                    </wps:wsp>
                  </a:graphicData>
                </a:graphic>
              </wp:anchor>
            </w:drawing>
          </mc:Choice>
          <mc:Fallback>
            <w:pict>
              <v:shape w14:anchorId="104EAD07" id="Straight Arrow Connector 14" o:spid="_x0000_s1026" type="#_x0000_t32" style="position:absolute;margin-left:106.15pt;margin-top:79.45pt;width:0;height:54.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">
                <v:stroke endarrow="open"/>
              </v:shape>
            </w:pict>
          </mc:Fallback>
        </mc:AlternateContent>
      </w:r>
      <w:r w:rsidRPr="00835F23">
        <w:rPr>
          <w:rFonts w:eastAsiaTheme="majorEastAsia" w:cstheme="majorBidi"/>
          <w:b/>
          <w:bCs/>
          <w:noProof/>
          <w:color w:val="8064A2" w:themeColor="accent4"/>
          <w:sz w:val="32"/>
          <w:szCs w:val="28"/>
          <w:lang w:eastAsia="en-GB"/>
        </w:rPr>
        <mc:AlternateContent>
          <mc:Choice Requires="wps">
            <w:drawing>
              <wp:anchor distT="0" distB="0" distL="114300" distR="114300" simplePos="0" relativeHeight="251660288" behindDoc="0" locked="0" layoutInCell="1" allowOverlap="1" wp14:anchorId="69950FB5" wp14:editId="168887CB">
                <wp:simplePos x="0" y="0"/>
                <wp:positionH relativeFrom="column">
                  <wp:posOffset>1349232</wp:posOffset>
                </wp:positionH>
                <wp:positionV relativeFrom="paragraph">
                  <wp:posOffset>633742</wp:posOffset>
                </wp:positionV>
                <wp:extent cx="3200400" cy="342900"/>
                <wp:effectExtent l="0" t="0" r="19050" b="21590"/>
                <wp:wrapNone/>
                <wp:docPr id="5" name="Flowchart: Process 5"/>
                <wp:cNvGraphicFramePr/>
                <a:graphic xmlns:a="http://schemas.openxmlformats.org/drawingml/2006/main">
                  <a:graphicData uri="http://schemas.microsoft.com/office/word/2010/wordprocessingShape">
                    <wps:wsp>
                      <wps:cNvSpPr/>
                      <wps:spPr>
                        <a:xfrm>
                          <a:off x="0" y="0"/>
                          <a:ext cx="3200400" cy="342900"/>
                        </a:xfrm>
                        <a:prstGeom prst="flowChartProcess">
                          <a:avLst/>
                        </a:prstGeom>
                        <a:solidFill>
                          <a:srgbClr val="FFFFFF"/>
                        </a:solidFill>
                        <a:ln w="25400" cap="flat" cmpd="sng" algn="ctr">
                          <a:solidFill>
                            <a:srgbClr val="000000"/>
                          </a:solidFill>
                          <a:prstDash val="solid"/>
                        </a:ln>
                        <a:effectLst/>
                      </wps:spPr>
                      <wps:txbx>
                        <w:txbxContent>
                          <w:p w:rsidR="002C3817" w:rsidRDefault="002C3817" w:rsidP="002C3817">
                            <w:pPr>
                              <w:jc w:val="center"/>
                            </w:pPr>
                            <w:r>
                              <w:t>Is the child compliant with oral premedication</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69950FB5" id="Flowchart: Process 5" o:spid="_x0000_s1030" type="#_x0000_t109" style="position:absolute;margin-left:106.25pt;margin-top:49.9pt;width:252pt;height:2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" strokeweight="2pt">
                <v:textbox style="mso-fit-shape-to-text:t" inset="4pt,4pt,4pt,4pt">
                  <w:txbxContent>
                    <w:p w:rsidR="002C3817" w:rsidRDefault="002C3817" w:rsidP="002C3817">
                      <w:pPr>
                        <w:jc w:val="center"/>
                      </w:pPr>
                      <w:r>
                        <w:t>Is the child compliant with oral premedication</w:t>
                      </w:r>
                    </w:p>
                  </w:txbxContent>
                </v:textbox>
              </v:shape>
            </w:pict>
          </mc:Fallback>
        </mc:AlternateContent>
      </w:r>
      <w:r w:rsidRPr="00835F23">
        <w:rPr>
          <w:rFonts w:eastAsiaTheme="majorEastAsia" w:cstheme="majorBidi"/>
          <w:b/>
          <w:bCs/>
          <w:noProof/>
          <w:color w:val="8064A2" w:themeColor="accent4"/>
          <w:sz w:val="32"/>
          <w:szCs w:val="28"/>
          <w:lang w:eastAsia="en-GB"/>
        </w:rPr>
        <mc:AlternateContent>
          <mc:Choice Requires="wps">
            <w:drawing>
              <wp:anchor distT="0" distB="0" distL="114300" distR="114300" simplePos="0" relativeHeight="251667456" behindDoc="0" locked="0" layoutInCell="1" allowOverlap="1" wp14:anchorId="0ECE45F3" wp14:editId="1A5E2E88">
                <wp:simplePos x="0" y="0"/>
                <wp:positionH relativeFrom="column">
                  <wp:posOffset>-414068</wp:posOffset>
                </wp:positionH>
                <wp:positionV relativeFrom="paragraph">
                  <wp:posOffset>2905233</wp:posOffset>
                </wp:positionV>
                <wp:extent cx="3140015" cy="2266950"/>
                <wp:effectExtent l="12700" t="12700" r="10160" b="19050"/>
                <wp:wrapNone/>
                <wp:docPr id="17" name="Rectangle 17"/>
                <wp:cNvGraphicFramePr/>
                <a:graphic xmlns:a="http://schemas.openxmlformats.org/drawingml/2006/main">
                  <a:graphicData uri="http://schemas.microsoft.com/office/word/2010/wordprocessingShape">
                    <wps:wsp>
                      <wps:cNvSpPr/>
                      <wps:spPr>
                        <a:xfrm>
                          <a:off x="0" y="0"/>
                          <a:ext cx="3140015" cy="2266950"/>
                        </a:xfrm>
                        <a:prstGeom prst="rect">
                          <a:avLst/>
                        </a:prstGeom>
                        <a:solidFill>
                          <a:srgbClr val="FFFFFF"/>
                        </a:solidFill>
                        <a:ln w="25400" cap="flat" cmpd="sng" algn="ctr">
                          <a:solidFill>
                            <a:srgbClr val="000000"/>
                          </a:solidFill>
                          <a:prstDash val="solid"/>
                        </a:ln>
                        <a:effectLst/>
                      </wps:spPr>
                      <wps:txbx>
                        <w:txbxContent>
                          <w:p w:rsidR="002C3817" w:rsidRDefault="002C3817" w:rsidP="002C3817">
                            <w:pPr>
                              <w:pStyle w:val="CommentSubject"/>
                              <w:numPr>
                                <w:ilvl w:val="0"/>
                                <w:numId w:val="29"/>
                              </w:numPr>
                            </w:pPr>
                            <w:r>
                              <w:t>PO Midazolam 0.25 mg/kg or PO Dexmedetomidine 4 micrograms/kg</w:t>
                            </w:r>
                          </w:p>
                          <w:p w:rsidR="002C3817" w:rsidRDefault="002C3817" w:rsidP="002C3817">
                            <w:pPr>
                              <w:pStyle w:val="CommentSubject"/>
                              <w:numPr>
                                <w:ilvl w:val="0"/>
                                <w:numId w:val="29"/>
                              </w:numPr>
                            </w:pPr>
                            <w:r>
                              <w:t>PO Midazolam 0.25 mg/kg + PO Dexmedetomidine 4 micrograms/kg for a longer duration</w:t>
                            </w:r>
                          </w:p>
                          <w:p w:rsidR="002C3817" w:rsidRDefault="002C3817" w:rsidP="002C3817">
                            <w:pPr>
                              <w:pStyle w:val="CommentSubject"/>
                              <w:numPr>
                                <w:ilvl w:val="0"/>
                                <w:numId w:val="29"/>
                              </w:numPr>
                            </w:pPr>
                            <w:r>
                              <w:t>PO Midazolam 0.25 mg/kg + PO Ketamine 5 mg/kg for quicker onset</w:t>
                            </w:r>
                          </w:p>
                          <w:p w:rsidR="002C3817" w:rsidRDefault="002C3817" w:rsidP="002C3817">
                            <w:pPr>
                              <w:pStyle w:val="CommentSubject"/>
                              <w:numPr>
                                <w:ilvl w:val="0"/>
                                <w:numId w:val="29"/>
                              </w:numPr>
                            </w:pPr>
                            <w:r>
                              <w:t xml:space="preserve">PO Midazolam 0.25 mg/kg + PO Clonidine 2-3 micrograms/kg for a longer duration </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ect w14:anchorId="0ECE45F3" id="Rectangle 17" o:spid="_x0000_s1031" style="position:absolute;margin-left:-32.6pt;margin-top:228.75pt;width:247.25pt;height:178.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" strokeweight="2pt">
                <v:textbox style="mso-fit-shape-to-text:t" inset="4pt,4pt,4pt,4pt">
                  <w:txbxContent>
                    <w:p w:rsidR="002C3817" w:rsidRDefault="002C3817" w:rsidP="002C3817">
                      <w:pPr>
                        <w:pStyle w:val="CommentSubject"/>
                        <w:numPr>
                          <w:ilvl w:val="0"/>
                          <w:numId w:val="29"/>
                        </w:numPr>
                      </w:pPr>
                      <w:r>
                        <w:t>PO Midazolam 0.25 mg/kg or PO Dexmedetomidine 4 micrograms/kg</w:t>
                      </w:r>
                    </w:p>
                    <w:p w:rsidR="002C3817" w:rsidRDefault="002C3817" w:rsidP="002C3817">
                      <w:pPr>
                        <w:pStyle w:val="CommentSubject"/>
                        <w:numPr>
                          <w:ilvl w:val="0"/>
                          <w:numId w:val="29"/>
                        </w:numPr>
                      </w:pPr>
                      <w:r>
                        <w:t>PO Midazolam 0.25 mg/kg + PO Dexmedetomidine 4 micrograms/kg for a longer duration</w:t>
                      </w:r>
                    </w:p>
                    <w:p w:rsidR="002C3817" w:rsidRDefault="002C3817" w:rsidP="002C3817">
                      <w:pPr>
                        <w:pStyle w:val="CommentSubject"/>
                        <w:numPr>
                          <w:ilvl w:val="0"/>
                          <w:numId w:val="29"/>
                        </w:numPr>
                      </w:pPr>
                      <w:r>
                        <w:t>PO Midazolam 0.25 mg/kg + PO Ketamine 5 mg/kg for quicker onset</w:t>
                      </w:r>
                    </w:p>
                    <w:p w:rsidR="002C3817" w:rsidRDefault="002C3817" w:rsidP="002C3817">
                      <w:pPr>
                        <w:pStyle w:val="CommentSubject"/>
                        <w:numPr>
                          <w:ilvl w:val="0"/>
                          <w:numId w:val="29"/>
                        </w:numPr>
                      </w:pPr>
                      <w:r>
                        <w:t xml:space="preserve">PO Midazolam 0.25 mg/kg + PO Clonidine 2-3 micrograms/kg for a longer duration </w:t>
                      </w:r>
                    </w:p>
                  </w:txbxContent>
                </v:textbox>
              </v:rect>
            </w:pict>
          </mc:Fallback>
        </mc:AlternateContent>
      </w:r>
      <w:r w:rsidRPr="00835F23">
        <w:rPr>
          <w:rFonts w:eastAsiaTheme="majorEastAsia" w:cstheme="majorBidi"/>
          <w:b/>
          <w:bCs/>
          <w:noProof/>
          <w:color w:val="8064A2" w:themeColor="accent4"/>
          <w:sz w:val="32"/>
          <w:szCs w:val="28"/>
          <w:lang w:eastAsia="en-GB"/>
        </w:rPr>
        <mc:AlternateContent>
          <mc:Choice Requires="wps">
            <w:drawing>
              <wp:anchor distT="0" distB="0" distL="114300" distR="114300" simplePos="0" relativeHeight="251663360" behindDoc="0" locked="0" layoutInCell="1" allowOverlap="1" wp14:anchorId="2A2BD42D" wp14:editId="6E7781BC">
                <wp:simplePos x="0" y="0"/>
                <wp:positionH relativeFrom="column">
                  <wp:posOffset>2933257</wp:posOffset>
                </wp:positionH>
                <wp:positionV relativeFrom="paragraph">
                  <wp:posOffset>86168</wp:posOffset>
                </wp:positionV>
                <wp:extent cx="0" cy="535940"/>
                <wp:effectExtent l="95250" t="0" r="57150" b="54610"/>
                <wp:wrapNone/>
                <wp:docPr id="11" name="Straight Arrow Connector 11"/>
                <wp:cNvGraphicFramePr/>
                <a:graphic xmlns:a="http://schemas.openxmlformats.org/drawingml/2006/main">
                  <a:graphicData uri="http://schemas.microsoft.com/office/word/2010/wordprocessingShape">
                    <wps:wsp>
                      <wps:cNvCnPr/>
                      <wps:spPr>
                        <a:xfrm>
                          <a:off x="0" y="0"/>
                          <a:ext cx="0" cy="535940"/>
                        </a:xfrm>
                        <a:prstGeom prst="straightConnector1">
                          <a:avLst/>
                        </a:prstGeom>
                        <a:noFill/>
                        <a:ln w="9525" cap="flat" cmpd="sng" algn="ctr">
                          <a:solidFill>
                            <a:srgbClr val="000000">
                              <a:shade val="95000"/>
                              <a:satMod val="104999"/>
                            </a:srgbClr>
                          </a:solidFill>
                          <a:prstDash val="solid"/>
                          <a:tailEnd type="arrow"/>
                        </a:ln>
                        <a:effectLst/>
                      </wps:spPr>
                      <wps:bodyPr/>
                    </wps:wsp>
                  </a:graphicData>
                </a:graphic>
              </wp:anchor>
            </w:drawing>
          </mc:Choice>
          <mc:Fallback>
            <w:pict>
              <v:shape w14:anchorId="051ACB00" id="Straight Arrow Connector 11" o:spid="_x0000_s1026" type="#_x0000_t32" style="position:absolute;margin-left:230.95pt;margin-top:6.8pt;width:0;height:42.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">
                <v:stroke endarrow="open"/>
              </v:shape>
            </w:pict>
          </mc:Fallback>
        </mc:AlternateContent>
      </w:r>
      <w:r>
        <w:br w:type="page"/>
      </w:r>
    </w:p>
    <w:p w:rsidR="002C3817" w:rsidRPr="00367655" w:rsidRDefault="002C3817" w:rsidP="00367655">
      <w:pPr>
        <w:pStyle w:val="ListParagraph"/>
        <w:numPr>
          <w:ilvl w:val="1"/>
          <w:numId w:val="31"/>
        </w:numPr>
        <w:spacing w:after="200"/>
        <w:rPr>
          <w:b/>
          <w:bCs/>
          <w:sz w:val="24"/>
          <w:szCs w:val="24"/>
        </w:rPr>
      </w:pPr>
      <w:r w:rsidRPr="00367655">
        <w:rPr>
          <w:b/>
          <w:bCs/>
          <w:sz w:val="24"/>
          <w:szCs w:val="24"/>
        </w:rPr>
        <w:lastRenderedPageBreak/>
        <w:t xml:space="preserve">Appendix 2: </w:t>
      </w:r>
      <w:r w:rsidRPr="00367655">
        <w:rPr>
          <w:b/>
          <w:bCs/>
        </w:rPr>
        <w:t>Ketamine Intramuscular Injection</w:t>
      </w:r>
      <w:r w:rsidRPr="00367655">
        <w:rPr>
          <w:b/>
          <w:bCs/>
          <w:sz w:val="24"/>
          <w:szCs w:val="24"/>
        </w:rPr>
        <w:t xml:space="preserve"> </w:t>
      </w:r>
    </w:p>
    <w:p w:rsidR="00367655" w:rsidRDefault="00367655" w:rsidP="00367655">
      <w:pPr>
        <w:pStyle w:val="NDHTBodyText"/>
        <w:numPr>
          <w:ilvl w:val="1"/>
          <w:numId w:val="32"/>
        </w:numPr>
        <w:ind w:left="851"/>
      </w:pPr>
      <w:r>
        <w:t xml:space="preserve">Ketamine may be administered by intramuscular injection to patients in whom administration of oral premedication has failed. </w:t>
      </w:r>
    </w:p>
    <w:p w:rsidR="00367655" w:rsidRDefault="00367655" w:rsidP="00367655">
      <w:pPr>
        <w:pStyle w:val="NDHTBodyText"/>
        <w:numPr>
          <w:ilvl w:val="1"/>
          <w:numId w:val="32"/>
        </w:numPr>
        <w:ind w:left="851"/>
      </w:pPr>
      <w:r>
        <w:t xml:space="preserve">Intramuscular ketamine has a quicker onset of action (seconds to minutes). </w:t>
      </w:r>
    </w:p>
    <w:p w:rsidR="00367655" w:rsidRDefault="00367655" w:rsidP="00367655">
      <w:pPr>
        <w:pStyle w:val="NDHTBodyText"/>
        <w:numPr>
          <w:ilvl w:val="1"/>
          <w:numId w:val="32"/>
        </w:numPr>
        <w:ind w:left="851"/>
      </w:pPr>
      <w:r>
        <w:t xml:space="preserve">The administration of intramuscular ketamine must be discussed with the child/parent/carer and this discussion should be documented.  </w:t>
      </w:r>
    </w:p>
    <w:p w:rsidR="00367655" w:rsidRDefault="00367655" w:rsidP="00367655">
      <w:pPr>
        <w:pStyle w:val="NDHTBodyText"/>
        <w:numPr>
          <w:ilvl w:val="1"/>
          <w:numId w:val="32"/>
        </w:numPr>
        <w:ind w:left="851"/>
      </w:pPr>
      <w:r>
        <w:t>The discussion should include alternative courses of action, a plan for administration, and the immediate effects of ketamine.</w:t>
      </w:r>
    </w:p>
    <w:p w:rsidR="00367655" w:rsidRDefault="00367655" w:rsidP="00367655">
      <w:pPr>
        <w:pStyle w:val="NDHTBodyText"/>
        <w:numPr>
          <w:ilvl w:val="1"/>
          <w:numId w:val="32"/>
        </w:numPr>
        <w:ind w:left="851"/>
      </w:pPr>
      <w:r>
        <w:t>Prepare the “Ketamine intramuscular injection” to a dose of 5mg/kg in a 5ml syringe with a 23-Gauge needle attached.</w:t>
      </w:r>
    </w:p>
    <w:p w:rsidR="00367655" w:rsidRDefault="00367655" w:rsidP="00367655">
      <w:pPr>
        <w:pStyle w:val="NDHTBodyText"/>
        <w:numPr>
          <w:ilvl w:val="1"/>
          <w:numId w:val="32"/>
        </w:numPr>
        <w:ind w:left="851"/>
      </w:pPr>
      <w:r>
        <w:t xml:space="preserve">The parents should hug or distract the child, ideally seated or lying down and consideration should be given to the use of the “Sensory Unit” and play specialists.  </w:t>
      </w:r>
    </w:p>
    <w:p w:rsidR="00367655" w:rsidRDefault="00367655" w:rsidP="00367655">
      <w:pPr>
        <w:pStyle w:val="NDHTBodyText"/>
        <w:numPr>
          <w:ilvl w:val="1"/>
          <w:numId w:val="32"/>
        </w:numPr>
        <w:ind w:left="851"/>
      </w:pPr>
      <w:r>
        <w:t xml:space="preserve">Ketamine can be effectively administered in one of the side rooms on the day surgery unit or in the anaesthetic room. </w:t>
      </w:r>
    </w:p>
    <w:p w:rsidR="00367655" w:rsidRDefault="00367655" w:rsidP="00367655">
      <w:pPr>
        <w:pStyle w:val="NDHTBodyText"/>
        <w:numPr>
          <w:ilvl w:val="1"/>
          <w:numId w:val="32"/>
        </w:numPr>
        <w:ind w:left="851"/>
      </w:pPr>
      <w:r>
        <w:t xml:space="preserve">Keep the </w:t>
      </w:r>
      <w:proofErr w:type="gramStart"/>
      <w:r>
        <w:t>patients</w:t>
      </w:r>
      <w:proofErr w:type="gramEnd"/>
      <w:r>
        <w:t xml:space="preserve"> shoulder (deltoid), thigh (vastus lateralis) or buttock (ventrogluteal) exposed if possible.</w:t>
      </w:r>
    </w:p>
    <w:p w:rsidR="00367655" w:rsidRDefault="00367655">
      <w:pPr>
        <w:spacing w:after="200"/>
        <w:rPr>
          <w:rFonts w:ascii="Calibri" w:hAnsi="Calibri"/>
          <w:color w:val="auto"/>
          <w:sz w:val="24"/>
        </w:rPr>
      </w:pPr>
      <w:r>
        <w:br w:type="page"/>
      </w:r>
    </w:p>
    <w:p w:rsidR="00367655" w:rsidRDefault="00367655" w:rsidP="00367655">
      <w:pPr>
        <w:pStyle w:val="Heading1"/>
      </w:pPr>
      <w:r>
        <w:rPr>
          <w:b w:val="0"/>
          <w:bCs w:val="0"/>
          <w:sz w:val="24"/>
          <w:szCs w:val="24"/>
        </w:rPr>
        <w:lastRenderedPageBreak/>
        <w:t xml:space="preserve">4.11 </w:t>
      </w:r>
      <w:bookmarkStart w:id="15" w:name="_Toc111443947"/>
      <w:r>
        <w:t>Appendix 3: Mucosal Atomizer Device (MAD)</w:t>
      </w:r>
      <w:bookmarkEnd w:id="15"/>
    </w:p>
    <w:p w:rsidR="00367655" w:rsidRDefault="00367655" w:rsidP="00367655">
      <w:pPr>
        <w:pStyle w:val="NDHTBodyText"/>
        <w:numPr>
          <w:ilvl w:val="1"/>
          <w:numId w:val="3"/>
        </w:numPr>
        <w:ind w:left="851" w:hanging="312"/>
      </w:pPr>
      <w:r>
        <w:t xml:space="preserve">Use the MAD device to administer 2 </w:t>
      </w:r>
      <w:r>
        <w:rPr>
          <w:rFonts w:cs="Helvetica"/>
        </w:rPr>
        <w:t>micrograms</w:t>
      </w:r>
      <w:r>
        <w:t>/kg of Dexmedetomidine neat (100 micrograms/ml)</w:t>
      </w:r>
    </w:p>
    <w:p w:rsidR="00367655" w:rsidRDefault="00367655" w:rsidP="00367655">
      <w:pPr>
        <w:pStyle w:val="NDHTBodyText"/>
        <w:numPr>
          <w:ilvl w:val="1"/>
          <w:numId w:val="3"/>
        </w:numPr>
        <w:ind w:left="851" w:hanging="312"/>
      </w:pPr>
      <w:r>
        <w:t>Intranasal dexmedetomidine may be challenging to deliver to patients who are already anxious and unable to tolerate oral medications The administration of intranasal dexmedetomidine must be discussed beforehand with the child/parents/carers and team and this discussion must be documented. The discussion should include alternative courses of action and a plan for administration.</w:t>
      </w:r>
    </w:p>
    <w:p w:rsidR="00367655" w:rsidRDefault="00367655" w:rsidP="00367655">
      <w:pPr>
        <w:pStyle w:val="NDHTBodyText"/>
        <w:numPr>
          <w:ilvl w:val="1"/>
          <w:numId w:val="3"/>
        </w:numPr>
        <w:ind w:left="851" w:hanging="312"/>
      </w:pPr>
      <w:r>
        <w:t>A 2ml syringe is generally the right size to use, and make sure that the sponge is gently but firmly nestled in the nostril to avoid shooting the device across the room.</w:t>
      </w:r>
    </w:p>
    <w:p w:rsidR="00367655" w:rsidRDefault="00367655" w:rsidP="00367655">
      <w:pPr>
        <w:pStyle w:val="NDHTBodyText"/>
        <w:numPr>
          <w:ilvl w:val="1"/>
          <w:numId w:val="3"/>
        </w:numPr>
        <w:ind w:left="851" w:hanging="312"/>
      </w:pPr>
      <w:r>
        <w:t>A short sharp expulsion of drug from the syringe ensures that the liquid is optimally atomized.</w:t>
      </w:r>
    </w:p>
    <w:p w:rsidR="00367655" w:rsidRDefault="00367655" w:rsidP="00367655">
      <w:pPr>
        <w:spacing w:after="200"/>
        <w:jc w:val="center"/>
        <w:rPr>
          <w:rFonts w:eastAsiaTheme="majorEastAsia" w:cstheme="majorBidi"/>
          <w:b/>
          <w:bCs/>
          <w:sz w:val="24"/>
          <w:szCs w:val="24"/>
        </w:rPr>
      </w:pPr>
      <w:r>
        <w:rPr>
          <w:noProof/>
          <w:lang w:eastAsia="en-GB"/>
        </w:rPr>
        <w:drawing>
          <wp:inline distT="0" distB="0" distL="0" distR="0" wp14:anchorId="1F3B64A5" wp14:editId="4490D6C6">
            <wp:extent cx="2639683" cy="2661395"/>
            <wp:effectExtent l="0" t="0" r="2540" b="5715"/>
            <wp:docPr id="7" name="Picture 7" descr="A person holding a p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erson holding a pen&#10;&#10;Description automatically generated with low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53969" cy="2675799"/>
                    </a:xfrm>
                    <a:prstGeom prst="rect">
                      <a:avLst/>
                    </a:prstGeom>
                  </pic:spPr>
                </pic:pic>
              </a:graphicData>
            </a:graphic>
          </wp:inline>
        </w:drawing>
      </w:r>
      <w:r>
        <w:rPr>
          <w:noProof/>
          <w:lang w:eastAsia="en-GB"/>
        </w:rPr>
        <w:drawing>
          <wp:inline distT="0" distB="0" distL="0" distR="0" wp14:anchorId="46CDFD7B" wp14:editId="67824500">
            <wp:extent cx="2639060" cy="269509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D2.jpg"/>
                    <pic:cNvPicPr/>
                  </pic:nvPicPr>
                  <pic:blipFill>
                    <a:blip r:embed="rId10">
                      <a:extLst>
                        <a:ext uri="{28A0092B-C50C-407E-A947-70E740481C1C}">
                          <a14:useLocalDpi xmlns:a14="http://schemas.microsoft.com/office/drawing/2010/main" val="0"/>
                        </a:ext>
                      </a:extLst>
                    </a:blip>
                    <a:stretch>
                      <a:fillRect/>
                    </a:stretch>
                  </pic:blipFill>
                  <pic:spPr>
                    <a:xfrm>
                      <a:off x="0" y="0"/>
                      <a:ext cx="2644490" cy="2700641"/>
                    </a:xfrm>
                    <a:prstGeom prst="rect">
                      <a:avLst/>
                    </a:prstGeom>
                  </pic:spPr>
                </pic:pic>
              </a:graphicData>
            </a:graphic>
          </wp:inline>
        </w:drawing>
      </w:r>
      <w:r>
        <w:rPr>
          <w:rFonts w:eastAsiaTheme="majorEastAsia" w:cstheme="majorBidi"/>
          <w:b/>
          <w:bCs/>
          <w:sz w:val="24"/>
          <w:szCs w:val="24"/>
        </w:rPr>
        <w:br w:type="page"/>
      </w:r>
    </w:p>
    <w:p w:rsidR="00D822CC" w:rsidRPr="00415889" w:rsidRDefault="00D822CC" w:rsidP="004B14C6">
      <w:pPr>
        <w:pStyle w:val="Heading1"/>
        <w:rPr>
          <w:sz w:val="24"/>
          <w:szCs w:val="24"/>
        </w:rPr>
      </w:pPr>
      <w:r w:rsidRPr="00415889">
        <w:rPr>
          <w:sz w:val="24"/>
          <w:szCs w:val="24"/>
        </w:rPr>
        <w:lastRenderedPageBreak/>
        <w:t>5.</w:t>
      </w:r>
      <w:r w:rsidRPr="00415889">
        <w:rPr>
          <w:sz w:val="24"/>
          <w:szCs w:val="24"/>
        </w:rPr>
        <w:tab/>
        <w:t xml:space="preserve">MONITORING COMPLIANCE WITH THIS GUIDELINE </w:t>
      </w:r>
    </w:p>
    <w:p w:rsidR="004B14C6" w:rsidRPr="00415889" w:rsidRDefault="004B14C6" w:rsidP="004B14C6">
      <w:pPr>
        <w:rPr>
          <w:sz w:val="24"/>
          <w:szCs w:val="24"/>
        </w:rPr>
      </w:pPr>
    </w:p>
    <w:p w:rsidR="00F67B7E" w:rsidRPr="00C95C7C" w:rsidRDefault="00F67B7E" w:rsidP="00F67B7E">
      <w:pPr>
        <w:pStyle w:val="Heading1"/>
        <w:numPr>
          <w:ilvl w:val="1"/>
          <w:numId w:val="18"/>
        </w:numPr>
        <w:ind w:left="709" w:hanging="709"/>
      </w:pPr>
      <w:bookmarkStart w:id="16" w:name="_Toc377722109"/>
      <w:bookmarkStart w:id="17" w:name="_Toc423934409"/>
      <w:bookmarkStart w:id="18" w:name="_Toc111443940"/>
      <w:r>
        <w:t>Standards/</w:t>
      </w:r>
      <w:r w:rsidRPr="00C95C7C">
        <w:t>Key Performance Indicators</w:t>
      </w:r>
      <w:bookmarkEnd w:id="16"/>
      <w:bookmarkEnd w:id="17"/>
      <w:bookmarkEnd w:id="18"/>
    </w:p>
    <w:p w:rsidR="00F67B7E" w:rsidRDefault="00F67B7E" w:rsidP="00367655">
      <w:pPr>
        <w:pStyle w:val="NDHTBodyText"/>
        <w:numPr>
          <w:ilvl w:val="1"/>
          <w:numId w:val="31"/>
        </w:numPr>
        <w:ind w:left="1276" w:hanging="567"/>
      </w:pPr>
      <w:r>
        <w:t>Adequate sedation and compliance for anaesthesia in children or adults with learning disabilities</w:t>
      </w:r>
    </w:p>
    <w:p w:rsidR="00F67B7E" w:rsidRDefault="00F67B7E" w:rsidP="00367655">
      <w:pPr>
        <w:pStyle w:val="NDHTBodyText"/>
        <w:numPr>
          <w:ilvl w:val="1"/>
          <w:numId w:val="31"/>
        </w:numPr>
        <w:ind w:left="1276" w:hanging="567"/>
      </w:pPr>
      <w:r>
        <w:t>Improved pre-operative sedation in the target groups as reported by the Anaesthetic team</w:t>
      </w:r>
    </w:p>
    <w:p w:rsidR="00F67B7E" w:rsidRPr="00782E5D" w:rsidRDefault="00F67B7E" w:rsidP="00F67B7E">
      <w:pPr>
        <w:pStyle w:val="Heading1"/>
        <w:numPr>
          <w:ilvl w:val="1"/>
          <w:numId w:val="18"/>
        </w:numPr>
        <w:ind w:left="709" w:hanging="709"/>
      </w:pPr>
      <w:bookmarkStart w:id="19" w:name="_Toc111443941"/>
      <w:r>
        <w:t>Process for Implementation and Monitoring Compliance and Effectiveness</w:t>
      </w:r>
      <w:bookmarkEnd w:id="19"/>
    </w:p>
    <w:p w:rsidR="00F67B7E" w:rsidRDefault="00F67B7E" w:rsidP="00367655">
      <w:pPr>
        <w:pStyle w:val="NDHTBodyText"/>
        <w:numPr>
          <w:ilvl w:val="1"/>
          <w:numId w:val="31"/>
        </w:numPr>
        <w:ind w:left="1276" w:hanging="567"/>
      </w:pPr>
      <w:r>
        <w:t xml:space="preserve">A presentation will be given to anaesthetists and theatre staff detailing the guidelines </w:t>
      </w:r>
    </w:p>
    <w:p w:rsidR="00F67B7E" w:rsidRDefault="00F67B7E" w:rsidP="00367655">
      <w:pPr>
        <w:pStyle w:val="NDHTBodyText"/>
        <w:numPr>
          <w:ilvl w:val="1"/>
          <w:numId w:val="31"/>
        </w:numPr>
        <w:ind w:left="1276" w:hanging="567"/>
      </w:pPr>
      <w:r>
        <w:t>Guideline printout/summary to be available in the Day Surgery anaesthetic room, where children and those with learning disabilities are most likely to be anaesthetised</w:t>
      </w:r>
    </w:p>
    <w:p w:rsidR="00F67B7E" w:rsidRDefault="00F67B7E" w:rsidP="00367655">
      <w:pPr>
        <w:pStyle w:val="NDHTBodyText"/>
        <w:numPr>
          <w:ilvl w:val="1"/>
          <w:numId w:val="31"/>
        </w:numPr>
        <w:ind w:left="1276" w:hanging="567"/>
      </w:pPr>
      <w:r>
        <w:t>Guidelines will be available on the hospital Intranet</w:t>
      </w:r>
    </w:p>
    <w:p w:rsidR="00F67B7E" w:rsidRPr="00993DCB" w:rsidRDefault="00F67B7E" w:rsidP="00367655">
      <w:pPr>
        <w:pStyle w:val="NDHTBodyText"/>
        <w:numPr>
          <w:ilvl w:val="1"/>
          <w:numId w:val="31"/>
        </w:numPr>
        <w:ind w:left="1276" w:hanging="567"/>
      </w:pPr>
      <w:r w:rsidRPr="00B932B5">
        <w:t>Monitoring process</w:t>
      </w:r>
      <w:r w:rsidRPr="00993DCB">
        <w:t xml:space="preserve">: </w:t>
      </w:r>
    </w:p>
    <w:p w:rsidR="00F67B7E" w:rsidRPr="00B932B5" w:rsidRDefault="00F67B7E" w:rsidP="00F67B7E">
      <w:pPr>
        <w:pStyle w:val="NDHTBullet1"/>
        <w:ind w:left="1843"/>
      </w:pPr>
      <w:r w:rsidRPr="00B932B5">
        <w:t xml:space="preserve">A questionnaire regarding premedication and sedation prior to anaesthesia will be performed prior to presenting the new guidelines, and repeated as part of an audit cycle after their first initiation. </w:t>
      </w:r>
    </w:p>
    <w:p w:rsidR="00F67B7E" w:rsidRPr="00B932B5" w:rsidRDefault="00F67B7E" w:rsidP="00F67B7E">
      <w:pPr>
        <w:pStyle w:val="NDHTBullet1"/>
        <w:ind w:left="1843"/>
      </w:pPr>
      <w:r w:rsidRPr="00B932B5">
        <w:t xml:space="preserve">This audit will be carried out and will be reviewed on a yearly cycle. </w:t>
      </w:r>
    </w:p>
    <w:p w:rsidR="00F67B7E" w:rsidRPr="00960C5D" w:rsidRDefault="00F67B7E" w:rsidP="00F67B7E">
      <w:pPr>
        <w:pStyle w:val="NDHTBullet1"/>
        <w:ind w:left="1843"/>
      </w:pPr>
      <w:r w:rsidRPr="00960C5D">
        <w:t>Audit will include review of medications as recommended by NICE, and feedback from the anaesthetic and theatre teams.</w:t>
      </w:r>
    </w:p>
    <w:p w:rsidR="00D822CC" w:rsidRPr="00415889" w:rsidRDefault="00D822CC" w:rsidP="005E0EB4">
      <w:pPr>
        <w:ind w:left="720" w:hanging="720"/>
        <w:rPr>
          <w:sz w:val="24"/>
          <w:szCs w:val="24"/>
        </w:rPr>
      </w:pPr>
    </w:p>
    <w:p w:rsidR="00D822CC" w:rsidRPr="00415889" w:rsidRDefault="00D822CC" w:rsidP="00D822CC">
      <w:pPr>
        <w:spacing w:after="160" w:line="240" w:lineRule="auto"/>
        <w:ind w:left="720" w:hanging="720"/>
        <w:rPr>
          <w:rFonts w:cs="Arial"/>
          <w:sz w:val="24"/>
          <w:szCs w:val="24"/>
        </w:rPr>
      </w:pPr>
    </w:p>
    <w:p w:rsidR="00D822CC" w:rsidRPr="00415889" w:rsidRDefault="00D822CC" w:rsidP="004B14C6">
      <w:pPr>
        <w:pStyle w:val="Heading1"/>
        <w:rPr>
          <w:sz w:val="24"/>
          <w:szCs w:val="24"/>
        </w:rPr>
      </w:pPr>
      <w:r w:rsidRPr="00415889">
        <w:rPr>
          <w:sz w:val="24"/>
          <w:szCs w:val="24"/>
        </w:rPr>
        <w:t>6.</w:t>
      </w:r>
      <w:r w:rsidRPr="00415889">
        <w:rPr>
          <w:sz w:val="24"/>
          <w:szCs w:val="24"/>
        </w:rPr>
        <w:tab/>
        <w:t>ASSOCIATED CLINICAL GUIDELINES OR POLICIES</w:t>
      </w:r>
      <w:bookmarkEnd w:id="14"/>
      <w:r w:rsidR="00B455FF" w:rsidRPr="00415889">
        <w:rPr>
          <w:sz w:val="24"/>
          <w:szCs w:val="24"/>
        </w:rPr>
        <w:t>/PROCEDURES</w:t>
      </w:r>
      <w:r w:rsidRPr="00415889">
        <w:rPr>
          <w:sz w:val="24"/>
          <w:szCs w:val="24"/>
        </w:rPr>
        <w:t xml:space="preserve"> </w:t>
      </w:r>
    </w:p>
    <w:p w:rsidR="004B14C6" w:rsidRPr="004B14C6" w:rsidRDefault="004B14C6" w:rsidP="004B14C6"/>
    <w:p w:rsidR="002C3817" w:rsidRDefault="002C3817" w:rsidP="002C3817">
      <w:pPr>
        <w:pStyle w:val="NDHTBullet1"/>
        <w:ind w:left="1276"/>
      </w:pPr>
      <w:r w:rsidRPr="005F6F36">
        <w:t>Sedation</w:t>
      </w:r>
      <w:r>
        <w:t xml:space="preserve"> in under 19s: using sedation for diagnostic and therapeutic procedures, [CG112] NICE guidelines 2010.</w:t>
      </w:r>
    </w:p>
    <w:p w:rsidR="002C3817" w:rsidRDefault="002C3817" w:rsidP="002C3817">
      <w:pPr>
        <w:pStyle w:val="NDHTBullet1"/>
        <w:spacing w:before="100" w:beforeAutospacing="1" w:after="100" w:afterAutospacing="1"/>
        <w:ind w:left="1276"/>
        <w:rPr>
          <w:rFonts w:eastAsia="Times New Roman" w:cs="Calibri"/>
          <w:szCs w:val="24"/>
        </w:rPr>
      </w:pPr>
      <w:r w:rsidRPr="005F6F36">
        <w:t xml:space="preserve">J. Short, A. Calder Anaesthesia for children with special needs, including autistic </w:t>
      </w:r>
      <w:r w:rsidRPr="00B932B5">
        <w:rPr>
          <w:rFonts w:eastAsia="Times New Roman" w:cs="Calibri"/>
          <w:szCs w:val="24"/>
        </w:rPr>
        <w:t xml:space="preserve">spectrum disorder. Continuing Education in Anaesthesia, Critical Care and Pain Jan </w:t>
      </w:r>
      <w:r w:rsidRPr="005F6F36">
        <w:rPr>
          <w:rFonts w:eastAsia="Times New Roman" w:cs="Calibri"/>
          <w:szCs w:val="24"/>
        </w:rPr>
        <w:t>2013</w:t>
      </w:r>
      <w:r>
        <w:rPr>
          <w:rFonts w:eastAsia="Times New Roman" w:cs="Calibri"/>
          <w:szCs w:val="24"/>
        </w:rPr>
        <w:t>.</w:t>
      </w:r>
    </w:p>
    <w:p w:rsidR="002C3817" w:rsidRPr="00B932B5" w:rsidRDefault="002C3817" w:rsidP="002C3817">
      <w:pPr>
        <w:pStyle w:val="NDHTBullet1"/>
      </w:pPr>
      <w:r w:rsidRPr="005F6F36">
        <w:t xml:space="preserve">W. Funk, W. Jakob, T. </w:t>
      </w:r>
      <w:proofErr w:type="spellStart"/>
      <w:r w:rsidRPr="005F6F36">
        <w:t>Riedl</w:t>
      </w:r>
      <w:proofErr w:type="spellEnd"/>
      <w:r w:rsidRPr="005F6F36">
        <w:t xml:space="preserve">, </w:t>
      </w:r>
      <w:proofErr w:type="spellStart"/>
      <w:proofErr w:type="gramStart"/>
      <w:r w:rsidRPr="005F6F36">
        <w:t>K.Taeger</w:t>
      </w:r>
      <w:proofErr w:type="spellEnd"/>
      <w:proofErr w:type="gramEnd"/>
      <w:r w:rsidRPr="005F6F36">
        <w:t xml:space="preserve"> Oral </w:t>
      </w:r>
      <w:proofErr w:type="spellStart"/>
      <w:r w:rsidRPr="005F6F36">
        <w:t>preanaesthetic</w:t>
      </w:r>
      <w:proofErr w:type="spellEnd"/>
      <w:r w:rsidRPr="005F6F36">
        <w:t xml:space="preserve"> medication for </w:t>
      </w:r>
      <w:proofErr w:type="spellStart"/>
      <w:r w:rsidRPr="00B932B5">
        <w:rPr>
          <w:rFonts w:eastAsia="Times New Roman" w:cs="Calibri"/>
          <w:szCs w:val="24"/>
        </w:rPr>
        <w:t>children:double</w:t>
      </w:r>
      <w:proofErr w:type="spellEnd"/>
      <w:r w:rsidRPr="00B932B5">
        <w:rPr>
          <w:rFonts w:eastAsia="Times New Roman" w:cs="Calibri"/>
          <w:szCs w:val="24"/>
        </w:rPr>
        <w:t xml:space="preserve"> blind randomised study of a combination of midazolam and ketamine vs midazolam or ketamine alone BJA 84(3): 335-40 (2000) </w:t>
      </w:r>
    </w:p>
    <w:p w:rsidR="002C3817" w:rsidRDefault="002C3817" w:rsidP="002C3817">
      <w:pPr>
        <w:pStyle w:val="NDHTBullet1"/>
      </w:pPr>
      <w:r w:rsidRPr="005F6F36">
        <w:t xml:space="preserve">N. </w:t>
      </w:r>
      <w:proofErr w:type="spellStart"/>
      <w:r w:rsidRPr="005F6F36">
        <w:t>Almenrader</w:t>
      </w:r>
      <w:proofErr w:type="spellEnd"/>
      <w:r w:rsidRPr="005F6F36">
        <w:t xml:space="preserve">, </w:t>
      </w:r>
      <w:proofErr w:type="spellStart"/>
      <w:proofErr w:type="gramStart"/>
      <w:r w:rsidRPr="005F6F36">
        <w:t>M.Passariello</w:t>
      </w:r>
      <w:proofErr w:type="spellEnd"/>
      <w:proofErr w:type="gramEnd"/>
      <w:r w:rsidRPr="005F6F36">
        <w:t xml:space="preserve">, </w:t>
      </w:r>
      <w:proofErr w:type="spellStart"/>
      <w:r w:rsidRPr="005F6F36">
        <w:t>B.Coccetti</w:t>
      </w:r>
      <w:proofErr w:type="spellEnd"/>
      <w:r w:rsidRPr="005F6F36">
        <w:t xml:space="preserve"> et al Premedication in children: a </w:t>
      </w:r>
      <w:r w:rsidRPr="00B932B5">
        <w:rPr>
          <w:rFonts w:eastAsia="Times New Roman" w:cs="Calibri"/>
          <w:szCs w:val="24"/>
        </w:rPr>
        <w:t xml:space="preserve">comparison of oral midazolam and oral clonidine </w:t>
      </w:r>
      <w:proofErr w:type="spellStart"/>
      <w:r w:rsidRPr="00B932B5">
        <w:rPr>
          <w:rFonts w:eastAsia="Times New Roman" w:cs="Calibri"/>
          <w:szCs w:val="24"/>
        </w:rPr>
        <w:t>Pediatric</w:t>
      </w:r>
      <w:proofErr w:type="spellEnd"/>
      <w:r w:rsidRPr="00B932B5">
        <w:rPr>
          <w:rFonts w:eastAsia="Times New Roman" w:cs="Calibri"/>
          <w:szCs w:val="24"/>
        </w:rPr>
        <w:t xml:space="preserve"> </w:t>
      </w:r>
      <w:proofErr w:type="spellStart"/>
      <w:r w:rsidRPr="00B932B5">
        <w:rPr>
          <w:rFonts w:eastAsia="Times New Roman" w:cs="Calibri"/>
          <w:szCs w:val="24"/>
        </w:rPr>
        <w:t>Anesthesia</w:t>
      </w:r>
      <w:proofErr w:type="spellEnd"/>
      <w:r w:rsidRPr="00B932B5">
        <w:rPr>
          <w:rFonts w:eastAsia="Times New Roman" w:cs="Calibri"/>
          <w:szCs w:val="24"/>
        </w:rPr>
        <w:t xml:space="preserve"> 2007 17:1143- 1149 </w:t>
      </w:r>
    </w:p>
    <w:p w:rsidR="002C3817" w:rsidRDefault="002C3817" w:rsidP="002C3817">
      <w:pPr>
        <w:pStyle w:val="NDHTBullet1"/>
      </w:pPr>
      <w:r>
        <w:t xml:space="preserve">Paediatric Clinical Practice Guideline, Royal Alex Hospital, Brighton, 2016. </w:t>
      </w:r>
    </w:p>
    <w:p w:rsidR="002C3817" w:rsidRDefault="002C3817" w:rsidP="002C3817">
      <w:pPr>
        <w:pStyle w:val="NDHTBullet1"/>
      </w:pPr>
      <w:r>
        <w:t>Paediatric Formulary, 8</w:t>
      </w:r>
      <w:r w:rsidRPr="009B4263">
        <w:rPr>
          <w:vertAlign w:val="superscript"/>
        </w:rPr>
        <w:t>th</w:t>
      </w:r>
      <w:r>
        <w:t xml:space="preserve"> Edition, Evelina Children’s Hospital. </w:t>
      </w:r>
    </w:p>
    <w:p w:rsidR="002C3817" w:rsidRDefault="002C3817" w:rsidP="002C3817">
      <w:pPr>
        <w:pStyle w:val="NDHTBullet1"/>
      </w:pPr>
      <w:r w:rsidRPr="00B726D4">
        <w:lastRenderedPageBreak/>
        <w:t xml:space="preserve">Dexmedetomidine: perioperative applications in children. </w:t>
      </w:r>
      <w:proofErr w:type="spellStart"/>
      <w:r w:rsidRPr="00B726D4">
        <w:t>Pediatric</w:t>
      </w:r>
      <w:proofErr w:type="spellEnd"/>
      <w:r w:rsidRPr="00B726D4">
        <w:t xml:space="preserve"> </w:t>
      </w:r>
      <w:proofErr w:type="spellStart"/>
      <w:r w:rsidRPr="00B726D4">
        <w:t>Anesthesia</w:t>
      </w:r>
      <w:proofErr w:type="spellEnd"/>
      <w:r w:rsidRPr="00B726D4">
        <w:t xml:space="preserve">. 2010; 20:256-264 </w:t>
      </w:r>
    </w:p>
    <w:p w:rsidR="002C3817" w:rsidRDefault="002C3817" w:rsidP="002C3817">
      <w:pPr>
        <w:pStyle w:val="NDHTBullet1"/>
      </w:pPr>
      <w:r>
        <w:t>NDHT Medicines Policy (2018)</w:t>
      </w:r>
      <w:r>
        <w:rPr>
          <w:rStyle w:val="apple-converted-space"/>
          <w:rFonts w:cs="Calibri"/>
          <w:color w:val="000000"/>
          <w:sz w:val="22"/>
        </w:rPr>
        <w:t> </w:t>
      </w:r>
      <w:hyperlink r:id="rId11" w:history="1">
        <w:r>
          <w:rPr>
            <w:rStyle w:val="Hyperlink"/>
            <w:rFonts w:cs="Calibri"/>
            <w:color w:val="800080"/>
            <w:sz w:val="22"/>
          </w:rPr>
          <w:t>http://ndht.ndevon.swest.nhs.uk/medicines-policy/</w:t>
        </w:r>
      </w:hyperlink>
    </w:p>
    <w:p w:rsidR="002C3817" w:rsidRDefault="002C3817" w:rsidP="002C3817">
      <w:pPr>
        <w:pStyle w:val="NDHTBullet1"/>
      </w:pPr>
      <w:r>
        <w:t>NDHT Covert Administration of Medicines SOP (2019)</w:t>
      </w:r>
      <w:r>
        <w:rPr>
          <w:rStyle w:val="apple-converted-space"/>
          <w:rFonts w:cs="Calibri"/>
          <w:color w:val="000000"/>
          <w:sz w:val="22"/>
        </w:rPr>
        <w:t> </w:t>
      </w:r>
      <w:hyperlink r:id="rId12" w:history="1">
        <w:r>
          <w:rPr>
            <w:rStyle w:val="Hyperlink"/>
            <w:rFonts w:cs="Calibri"/>
            <w:color w:val="800080"/>
            <w:sz w:val="22"/>
          </w:rPr>
          <w:t>http://ndht.ndevon.swest.nhs.uk/covert-administration-of-medicines-standard-operating-procedure/</w:t>
        </w:r>
      </w:hyperlink>
    </w:p>
    <w:p w:rsidR="002C3817" w:rsidRDefault="002C3817" w:rsidP="002C3817">
      <w:pPr>
        <w:pStyle w:val="NDHTBullet1"/>
        <w:rPr>
          <w:rStyle w:val="Hyperlink"/>
          <w:color w:val="auto"/>
        </w:rPr>
      </w:pPr>
      <w:r>
        <w:t>NDHT Unlicensed Medicines Policy (2018)</w:t>
      </w:r>
      <w:r w:rsidRPr="00552C04">
        <w:rPr>
          <w:rStyle w:val="apple-converted-space"/>
          <w:rFonts w:cs="Calibri"/>
          <w:color w:val="000000"/>
          <w:sz w:val="22"/>
        </w:rPr>
        <w:t> </w:t>
      </w:r>
      <w:hyperlink r:id="rId13" w:history="1">
        <w:r w:rsidRPr="00552C04">
          <w:rPr>
            <w:rStyle w:val="Hyperlink"/>
            <w:rFonts w:cs="Calibri"/>
            <w:color w:val="800080"/>
            <w:sz w:val="22"/>
          </w:rPr>
          <w:t>http://ndht.ndevon.swest.nhs.uk/unlicensed-medicines-policy/</w:t>
        </w:r>
      </w:hyperlink>
    </w:p>
    <w:p w:rsidR="002C3817" w:rsidRDefault="002C3817" w:rsidP="002C3817">
      <w:pPr>
        <w:pStyle w:val="NDHTBullet1"/>
      </w:pPr>
      <w:r w:rsidRPr="003B0FA2">
        <w:t>Mental Capacity Act (2005) code of practice and North Devon Healthcare Trust Mental Capacity Act policy.</w:t>
      </w:r>
      <w:r>
        <w:t xml:space="preserve"> </w:t>
      </w:r>
      <w:hyperlink r:id="rId14" w:history="1">
        <w:r w:rsidRPr="00074055">
          <w:rPr>
            <w:rStyle w:val="Hyperlink"/>
          </w:rPr>
          <w:t>http://ndht.ndevon.swet.nhs.uk/mental-capacity-act-policy/</w:t>
        </w:r>
      </w:hyperlink>
    </w:p>
    <w:p w:rsidR="00D822CC" w:rsidRPr="00380D4C" w:rsidRDefault="002C3817" w:rsidP="00380D4C">
      <w:pPr>
        <w:pStyle w:val="NDHTBullet1"/>
      </w:pPr>
      <w:r>
        <w:t xml:space="preserve">Consent Policy, North Devon Healthcare NHS Trust, March 2012 </w:t>
      </w:r>
      <w:hyperlink r:id="rId15" w:history="1">
        <w:r w:rsidRPr="00074055">
          <w:rPr>
            <w:rStyle w:val="Hyperlink"/>
          </w:rPr>
          <w:t>http://ndht.ndevon.swest.nhs.uk/2012/04/consent-policy/</w:t>
        </w:r>
      </w:hyperlink>
    </w:p>
    <w:p w:rsidR="00415889" w:rsidRPr="00380D4C" w:rsidRDefault="00D822CC" w:rsidP="00380D4C">
      <w:pPr>
        <w:pStyle w:val="Heading1"/>
        <w:rPr>
          <w:sz w:val="24"/>
          <w:szCs w:val="24"/>
        </w:rPr>
      </w:pPr>
      <w:bookmarkStart w:id="20" w:name="_Toc317778031"/>
      <w:r w:rsidRPr="00415889">
        <w:rPr>
          <w:sz w:val="24"/>
          <w:szCs w:val="24"/>
        </w:rPr>
        <w:t>7.</w:t>
      </w:r>
      <w:r w:rsidRPr="00415889">
        <w:rPr>
          <w:sz w:val="24"/>
          <w:szCs w:val="24"/>
        </w:rPr>
        <w:tab/>
        <w:t>PUBLICATION DETAILS</w:t>
      </w:r>
      <w:bookmarkEnd w:id="20"/>
      <w:r w:rsidRPr="00415889">
        <w:rPr>
          <w:sz w:val="24"/>
          <w:szCs w:val="24"/>
        </w:rPr>
        <w:t xml:space="preserve"> </w:t>
      </w:r>
    </w:p>
    <w:tbl>
      <w:tblPr>
        <w:tblStyle w:val="TableGrid1"/>
        <w:tblW w:w="0" w:type="auto"/>
        <w:tblBorders>
          <w:insideH w:val="dotted" w:sz="4" w:space="0" w:color="auto"/>
          <w:insideV w:val="dotted" w:sz="4" w:space="0" w:color="auto"/>
        </w:tblBorders>
        <w:tblLook w:val="04A0" w:firstRow="1" w:lastRow="0" w:firstColumn="1" w:lastColumn="0" w:noHBand="0" w:noVBand="1"/>
      </w:tblPr>
      <w:tblGrid>
        <w:gridCol w:w="4490"/>
        <w:gridCol w:w="4526"/>
      </w:tblGrid>
      <w:tr w:rsidR="00D822CC" w:rsidRPr="00D822CC" w:rsidTr="009F10FE">
        <w:trPr>
          <w:trHeight w:val="470"/>
        </w:trPr>
        <w:tc>
          <w:tcPr>
            <w:tcW w:w="4621" w:type="dxa"/>
            <w:shd w:val="clear" w:color="auto" w:fill="FFFFFF" w:themeFill="background1"/>
            <w:vAlign w:val="center"/>
          </w:tcPr>
          <w:p w:rsidR="00D822CC" w:rsidRPr="00380D4C" w:rsidRDefault="00D822CC" w:rsidP="00D822CC">
            <w:pPr>
              <w:contextualSpacing/>
              <w:rPr>
                <w:rFonts w:eastAsia="Times New Roman" w:cs="Arial"/>
                <w:b/>
                <w:color w:val="auto"/>
                <w:sz w:val="24"/>
                <w:szCs w:val="24"/>
              </w:rPr>
            </w:pPr>
            <w:r w:rsidRPr="00380D4C">
              <w:rPr>
                <w:rFonts w:eastAsia="Times New Roman" w:cs="Arial"/>
                <w:b/>
                <w:color w:val="auto"/>
                <w:sz w:val="24"/>
                <w:szCs w:val="24"/>
              </w:rPr>
              <w:t>Author of Clinical Guideline</w:t>
            </w:r>
          </w:p>
        </w:tc>
        <w:tc>
          <w:tcPr>
            <w:tcW w:w="4621" w:type="dxa"/>
            <w:shd w:val="clear" w:color="auto" w:fill="FFFFFF" w:themeFill="background1"/>
            <w:vAlign w:val="center"/>
          </w:tcPr>
          <w:p w:rsidR="00D822CC" w:rsidRPr="00380D4C" w:rsidRDefault="00D8144D" w:rsidP="00D822CC">
            <w:pPr>
              <w:keepNext/>
              <w:contextualSpacing/>
              <w:outlineLvl w:val="6"/>
              <w:rPr>
                <w:rFonts w:eastAsia="Times New Roman" w:cs="Arial"/>
                <w:bCs/>
                <w:i/>
                <w:color w:val="auto"/>
                <w:sz w:val="24"/>
                <w:szCs w:val="24"/>
              </w:rPr>
            </w:pPr>
            <w:r w:rsidRPr="00380D4C">
              <w:rPr>
                <w:rFonts w:eastAsia="Times New Roman" w:cs="Arial"/>
                <w:bCs/>
                <w:i/>
                <w:color w:val="auto"/>
                <w:sz w:val="24"/>
                <w:szCs w:val="24"/>
              </w:rPr>
              <w:t>Dr Robert Conway</w:t>
            </w:r>
          </w:p>
          <w:p w:rsidR="00D8144D" w:rsidRPr="00380D4C" w:rsidRDefault="00D8144D" w:rsidP="00D822CC">
            <w:pPr>
              <w:keepNext/>
              <w:contextualSpacing/>
              <w:outlineLvl w:val="6"/>
              <w:rPr>
                <w:rFonts w:eastAsia="Times New Roman" w:cs="Arial"/>
                <w:bCs/>
                <w:i/>
                <w:color w:val="auto"/>
                <w:sz w:val="24"/>
                <w:szCs w:val="24"/>
              </w:rPr>
            </w:pPr>
            <w:r w:rsidRPr="00380D4C">
              <w:rPr>
                <w:rFonts w:eastAsia="Times New Roman" w:cs="Arial"/>
                <w:bCs/>
                <w:i/>
                <w:color w:val="auto"/>
                <w:sz w:val="24"/>
                <w:szCs w:val="24"/>
              </w:rPr>
              <w:t>Dr Debbie Sanders</w:t>
            </w:r>
          </w:p>
        </w:tc>
      </w:tr>
      <w:tr w:rsidR="00D822CC" w:rsidRPr="00D822CC" w:rsidTr="009F10FE">
        <w:trPr>
          <w:trHeight w:val="690"/>
        </w:trPr>
        <w:tc>
          <w:tcPr>
            <w:tcW w:w="4621" w:type="dxa"/>
            <w:shd w:val="clear" w:color="auto" w:fill="FFFFFF" w:themeFill="background1"/>
            <w:vAlign w:val="center"/>
          </w:tcPr>
          <w:p w:rsidR="00D822CC" w:rsidRPr="00380D4C" w:rsidRDefault="00D822CC" w:rsidP="00D822CC">
            <w:pPr>
              <w:rPr>
                <w:rFonts w:eastAsia="Times New Roman" w:cs="Arial"/>
                <w:b/>
                <w:color w:val="auto"/>
                <w:sz w:val="24"/>
                <w:szCs w:val="24"/>
              </w:rPr>
            </w:pPr>
            <w:r w:rsidRPr="00380D4C">
              <w:rPr>
                <w:rFonts w:eastAsia="Times New Roman" w:cs="Arial"/>
                <w:b/>
                <w:color w:val="auto"/>
                <w:sz w:val="24"/>
                <w:szCs w:val="24"/>
              </w:rPr>
              <w:t>Division/ Department responsible for Clinical Guideline</w:t>
            </w:r>
          </w:p>
        </w:tc>
        <w:tc>
          <w:tcPr>
            <w:tcW w:w="4621" w:type="dxa"/>
            <w:shd w:val="clear" w:color="auto" w:fill="FFFFFF" w:themeFill="background1"/>
            <w:vAlign w:val="center"/>
          </w:tcPr>
          <w:p w:rsidR="00D822CC" w:rsidRPr="00380D4C" w:rsidRDefault="00D8144D" w:rsidP="00D822CC">
            <w:pPr>
              <w:rPr>
                <w:rFonts w:eastAsia="Times New Roman" w:cs="Arial"/>
                <w:bCs/>
                <w:i/>
                <w:color w:val="auto"/>
                <w:sz w:val="24"/>
                <w:szCs w:val="24"/>
              </w:rPr>
            </w:pPr>
            <w:r w:rsidRPr="00380D4C">
              <w:rPr>
                <w:rFonts w:eastAsia="Times New Roman" w:cs="Arial"/>
                <w:bCs/>
                <w:i/>
                <w:color w:val="auto"/>
                <w:sz w:val="24"/>
                <w:szCs w:val="24"/>
              </w:rPr>
              <w:t>Surgery, North</w:t>
            </w:r>
            <w:r w:rsidR="00380D4C" w:rsidRPr="00380D4C">
              <w:rPr>
                <w:rFonts w:eastAsia="Times New Roman" w:cs="Arial"/>
                <w:bCs/>
                <w:i/>
                <w:color w:val="auto"/>
                <w:sz w:val="24"/>
                <w:szCs w:val="24"/>
              </w:rPr>
              <w:t>ern Services</w:t>
            </w:r>
            <w:r w:rsidR="00D822CC" w:rsidRPr="00380D4C">
              <w:rPr>
                <w:rFonts w:eastAsia="Times New Roman" w:cs="Arial"/>
                <w:bCs/>
                <w:i/>
                <w:color w:val="auto"/>
                <w:sz w:val="24"/>
                <w:szCs w:val="24"/>
              </w:rPr>
              <w:t xml:space="preserve"> </w:t>
            </w:r>
          </w:p>
        </w:tc>
      </w:tr>
      <w:tr w:rsidR="00D822CC" w:rsidRPr="00D822CC" w:rsidTr="009F10FE">
        <w:trPr>
          <w:trHeight w:val="416"/>
        </w:trPr>
        <w:tc>
          <w:tcPr>
            <w:tcW w:w="4621" w:type="dxa"/>
            <w:shd w:val="clear" w:color="auto" w:fill="FFFFFF" w:themeFill="background1"/>
            <w:vAlign w:val="center"/>
          </w:tcPr>
          <w:p w:rsidR="00D822CC" w:rsidRPr="00380D4C" w:rsidRDefault="00D822CC" w:rsidP="00D822CC">
            <w:pPr>
              <w:rPr>
                <w:rFonts w:eastAsia="Times New Roman" w:cs="Arial"/>
                <w:b/>
                <w:color w:val="auto"/>
                <w:sz w:val="24"/>
                <w:szCs w:val="24"/>
              </w:rPr>
            </w:pPr>
            <w:r w:rsidRPr="00380D4C">
              <w:rPr>
                <w:rFonts w:eastAsia="Times New Roman" w:cs="Arial"/>
                <w:b/>
                <w:color w:val="auto"/>
                <w:sz w:val="24"/>
                <w:szCs w:val="24"/>
              </w:rPr>
              <w:t>Contact details</w:t>
            </w:r>
          </w:p>
        </w:tc>
        <w:tc>
          <w:tcPr>
            <w:tcW w:w="4621" w:type="dxa"/>
            <w:shd w:val="clear" w:color="auto" w:fill="FFFFFF" w:themeFill="background1"/>
            <w:vAlign w:val="center"/>
          </w:tcPr>
          <w:p w:rsidR="00D822CC" w:rsidRPr="00380D4C" w:rsidRDefault="00D8144D" w:rsidP="00D822CC">
            <w:pPr>
              <w:rPr>
                <w:rFonts w:eastAsia="Times New Roman" w:cs="Arial"/>
                <w:bCs/>
                <w:i/>
                <w:color w:val="auto"/>
                <w:sz w:val="24"/>
                <w:szCs w:val="24"/>
              </w:rPr>
            </w:pPr>
            <w:r w:rsidRPr="00380D4C">
              <w:rPr>
                <w:rFonts w:eastAsia="Times New Roman" w:cs="Arial"/>
                <w:bCs/>
                <w:i/>
                <w:color w:val="auto"/>
                <w:sz w:val="24"/>
                <w:szCs w:val="24"/>
              </w:rPr>
              <w:t>rob.conway@nhs.net</w:t>
            </w:r>
          </w:p>
        </w:tc>
      </w:tr>
      <w:tr w:rsidR="00D822CC" w:rsidRPr="00D822CC" w:rsidTr="009F10FE">
        <w:trPr>
          <w:trHeight w:val="416"/>
        </w:trPr>
        <w:tc>
          <w:tcPr>
            <w:tcW w:w="4621" w:type="dxa"/>
            <w:shd w:val="clear" w:color="auto" w:fill="FFFFFF" w:themeFill="background1"/>
            <w:vAlign w:val="center"/>
          </w:tcPr>
          <w:p w:rsidR="00D822CC" w:rsidRPr="00380D4C" w:rsidRDefault="00D822CC" w:rsidP="00D822CC">
            <w:pPr>
              <w:rPr>
                <w:rFonts w:eastAsia="Times New Roman" w:cs="Arial"/>
                <w:b/>
                <w:color w:val="auto"/>
                <w:sz w:val="24"/>
                <w:szCs w:val="24"/>
              </w:rPr>
            </w:pPr>
            <w:r w:rsidRPr="00380D4C">
              <w:rPr>
                <w:rFonts w:eastAsia="Times New Roman" w:cs="Arial"/>
                <w:b/>
                <w:color w:val="auto"/>
                <w:sz w:val="24"/>
                <w:szCs w:val="24"/>
              </w:rPr>
              <w:t>Version number</w:t>
            </w:r>
          </w:p>
        </w:tc>
        <w:tc>
          <w:tcPr>
            <w:tcW w:w="4621" w:type="dxa"/>
            <w:shd w:val="clear" w:color="auto" w:fill="FFFFFF" w:themeFill="background1"/>
            <w:vAlign w:val="center"/>
          </w:tcPr>
          <w:p w:rsidR="00D822CC" w:rsidRPr="00380D4C" w:rsidRDefault="00D8144D" w:rsidP="00D822CC">
            <w:pPr>
              <w:rPr>
                <w:rFonts w:eastAsia="Times New Roman" w:cs="Arial"/>
                <w:bCs/>
                <w:color w:val="auto"/>
                <w:sz w:val="24"/>
                <w:szCs w:val="24"/>
              </w:rPr>
            </w:pPr>
            <w:r w:rsidRPr="00380D4C">
              <w:rPr>
                <w:rFonts w:eastAsia="Times New Roman" w:cs="Arial"/>
                <w:bCs/>
                <w:color w:val="auto"/>
                <w:sz w:val="24"/>
                <w:szCs w:val="24"/>
              </w:rPr>
              <w:t>3.2</w:t>
            </w:r>
          </w:p>
        </w:tc>
      </w:tr>
      <w:tr w:rsidR="00D822CC" w:rsidRPr="00D822CC" w:rsidTr="009F10FE">
        <w:trPr>
          <w:trHeight w:val="416"/>
        </w:trPr>
        <w:tc>
          <w:tcPr>
            <w:tcW w:w="4621" w:type="dxa"/>
            <w:shd w:val="clear" w:color="auto" w:fill="FFFFFF" w:themeFill="background1"/>
            <w:vAlign w:val="center"/>
          </w:tcPr>
          <w:p w:rsidR="00D822CC" w:rsidRPr="00380D4C" w:rsidRDefault="00D822CC" w:rsidP="00D822CC">
            <w:pPr>
              <w:rPr>
                <w:rFonts w:eastAsia="Times New Roman" w:cs="Arial"/>
                <w:b/>
                <w:color w:val="auto"/>
                <w:sz w:val="24"/>
                <w:szCs w:val="24"/>
              </w:rPr>
            </w:pPr>
            <w:r w:rsidRPr="00380D4C">
              <w:rPr>
                <w:rFonts w:eastAsia="Times New Roman" w:cs="Arial"/>
                <w:b/>
                <w:color w:val="auto"/>
                <w:sz w:val="24"/>
                <w:szCs w:val="24"/>
              </w:rPr>
              <w:t>Replaces version number</w:t>
            </w:r>
          </w:p>
        </w:tc>
        <w:tc>
          <w:tcPr>
            <w:tcW w:w="4621" w:type="dxa"/>
            <w:shd w:val="clear" w:color="auto" w:fill="FFFFFF" w:themeFill="background1"/>
            <w:vAlign w:val="center"/>
          </w:tcPr>
          <w:p w:rsidR="00D822CC" w:rsidRPr="00380D4C" w:rsidRDefault="00D8144D" w:rsidP="00D822CC">
            <w:pPr>
              <w:rPr>
                <w:rFonts w:eastAsia="Times New Roman" w:cs="Arial"/>
                <w:bCs/>
                <w:color w:val="auto"/>
                <w:sz w:val="24"/>
                <w:szCs w:val="24"/>
              </w:rPr>
            </w:pPr>
            <w:r w:rsidRPr="00380D4C">
              <w:rPr>
                <w:rFonts w:eastAsia="Times New Roman" w:cs="Arial"/>
                <w:bCs/>
                <w:color w:val="auto"/>
                <w:sz w:val="24"/>
                <w:szCs w:val="24"/>
              </w:rPr>
              <w:t>2.0</w:t>
            </w:r>
          </w:p>
        </w:tc>
      </w:tr>
      <w:tr w:rsidR="00D822CC" w:rsidRPr="00D822CC" w:rsidTr="009F10FE">
        <w:trPr>
          <w:trHeight w:val="422"/>
        </w:trPr>
        <w:tc>
          <w:tcPr>
            <w:tcW w:w="4621" w:type="dxa"/>
            <w:shd w:val="clear" w:color="auto" w:fill="FFFFFF" w:themeFill="background1"/>
            <w:vAlign w:val="center"/>
          </w:tcPr>
          <w:p w:rsidR="00D822CC" w:rsidRPr="00380D4C" w:rsidRDefault="00D822CC" w:rsidP="00D822CC">
            <w:pPr>
              <w:rPr>
                <w:rFonts w:eastAsia="Times New Roman" w:cs="Arial"/>
                <w:b/>
                <w:color w:val="auto"/>
                <w:sz w:val="24"/>
                <w:szCs w:val="24"/>
              </w:rPr>
            </w:pPr>
            <w:r w:rsidRPr="00380D4C">
              <w:rPr>
                <w:rFonts w:eastAsia="Times New Roman" w:cs="Arial"/>
                <w:b/>
                <w:color w:val="auto"/>
                <w:sz w:val="24"/>
                <w:szCs w:val="24"/>
              </w:rPr>
              <w:t>Date written</w:t>
            </w:r>
          </w:p>
        </w:tc>
        <w:tc>
          <w:tcPr>
            <w:tcW w:w="4621" w:type="dxa"/>
            <w:shd w:val="clear" w:color="auto" w:fill="FFFFFF" w:themeFill="background1"/>
            <w:vAlign w:val="center"/>
          </w:tcPr>
          <w:p w:rsidR="00D822CC" w:rsidRPr="00380D4C" w:rsidRDefault="00380D4C" w:rsidP="00D822CC">
            <w:pPr>
              <w:rPr>
                <w:rFonts w:eastAsia="Times New Roman" w:cs="Arial"/>
                <w:bCs/>
                <w:i/>
                <w:color w:val="auto"/>
                <w:sz w:val="24"/>
                <w:szCs w:val="24"/>
              </w:rPr>
            </w:pPr>
            <w:r w:rsidRPr="00380D4C">
              <w:rPr>
                <w:rFonts w:eastAsia="Times New Roman" w:cs="Arial"/>
                <w:bCs/>
                <w:i/>
                <w:color w:val="auto"/>
                <w:sz w:val="24"/>
                <w:szCs w:val="24"/>
              </w:rPr>
              <w:t>January 2018; reviewed September 2022</w:t>
            </w:r>
          </w:p>
        </w:tc>
      </w:tr>
      <w:tr w:rsidR="005E0EB4" w:rsidRPr="00D822CC" w:rsidTr="009F10FE">
        <w:trPr>
          <w:trHeight w:val="415"/>
        </w:trPr>
        <w:tc>
          <w:tcPr>
            <w:tcW w:w="4621" w:type="dxa"/>
            <w:shd w:val="clear" w:color="auto" w:fill="FFFFFF" w:themeFill="background1"/>
            <w:vAlign w:val="center"/>
          </w:tcPr>
          <w:p w:rsidR="005E0EB4" w:rsidRPr="00380D4C" w:rsidRDefault="005E0EB4" w:rsidP="00D822CC">
            <w:pPr>
              <w:rPr>
                <w:rFonts w:eastAsia="Times New Roman" w:cs="Arial"/>
                <w:b/>
                <w:color w:val="auto"/>
                <w:sz w:val="24"/>
                <w:szCs w:val="24"/>
              </w:rPr>
            </w:pPr>
            <w:r w:rsidRPr="00380D4C">
              <w:rPr>
                <w:rFonts w:eastAsia="Times New Roman" w:cs="Arial"/>
                <w:b/>
                <w:color w:val="auto"/>
                <w:sz w:val="24"/>
                <w:szCs w:val="24"/>
              </w:rPr>
              <w:t>Consultatio</w:t>
            </w:r>
            <w:bookmarkStart w:id="21" w:name="_GoBack"/>
            <w:bookmarkEnd w:id="21"/>
            <w:r w:rsidRPr="00380D4C">
              <w:rPr>
                <w:rFonts w:eastAsia="Times New Roman" w:cs="Arial"/>
                <w:b/>
                <w:color w:val="auto"/>
                <w:sz w:val="24"/>
                <w:szCs w:val="24"/>
              </w:rPr>
              <w:t>n undertaken with:</w:t>
            </w:r>
          </w:p>
        </w:tc>
        <w:tc>
          <w:tcPr>
            <w:tcW w:w="4621" w:type="dxa"/>
            <w:shd w:val="clear" w:color="auto" w:fill="FFFFFF" w:themeFill="background1"/>
            <w:vAlign w:val="center"/>
          </w:tcPr>
          <w:p w:rsidR="005E0EB4" w:rsidRPr="00380D4C" w:rsidRDefault="00380D4C" w:rsidP="00380D4C">
            <w:pPr>
              <w:rPr>
                <w:rFonts w:eastAsia="Times New Roman" w:cs="Arial"/>
                <w:bCs/>
                <w:i/>
                <w:color w:val="auto"/>
                <w:sz w:val="24"/>
                <w:szCs w:val="24"/>
              </w:rPr>
            </w:pPr>
            <w:r w:rsidRPr="00380D4C">
              <w:rPr>
                <w:rFonts w:eastAsia="Times New Roman" w:cs="Arial"/>
                <w:bCs/>
                <w:i/>
                <w:color w:val="auto"/>
                <w:sz w:val="24"/>
                <w:szCs w:val="24"/>
              </w:rPr>
              <w:t xml:space="preserve">• </w:t>
            </w:r>
            <w:r w:rsidR="00D8144D" w:rsidRPr="00380D4C">
              <w:rPr>
                <w:rFonts w:eastAsia="Times New Roman" w:cs="Arial"/>
                <w:bCs/>
                <w:i/>
                <w:color w:val="auto"/>
                <w:sz w:val="24"/>
                <w:szCs w:val="24"/>
              </w:rPr>
              <w:t>North Devon Anaesthetic Governance</w:t>
            </w:r>
          </w:p>
          <w:p w:rsidR="00D8144D" w:rsidRPr="00380D4C" w:rsidRDefault="00380D4C" w:rsidP="00380D4C">
            <w:pPr>
              <w:rPr>
                <w:rFonts w:eastAsia="Times New Roman" w:cs="Arial"/>
                <w:bCs/>
                <w:i/>
                <w:color w:val="auto"/>
                <w:sz w:val="24"/>
                <w:szCs w:val="24"/>
              </w:rPr>
            </w:pPr>
            <w:r w:rsidRPr="00380D4C">
              <w:rPr>
                <w:rFonts w:eastAsia="Times New Roman" w:cs="Arial"/>
                <w:bCs/>
                <w:i/>
                <w:color w:val="auto"/>
                <w:sz w:val="24"/>
                <w:szCs w:val="24"/>
              </w:rPr>
              <w:t xml:space="preserve">• </w:t>
            </w:r>
            <w:r w:rsidR="00D8144D" w:rsidRPr="00380D4C">
              <w:rPr>
                <w:rFonts w:eastAsia="Times New Roman" w:cs="Arial"/>
                <w:bCs/>
                <w:i/>
                <w:color w:val="auto"/>
                <w:sz w:val="24"/>
                <w:szCs w:val="24"/>
              </w:rPr>
              <w:t>North Devon Surgery in Children Governance</w:t>
            </w:r>
          </w:p>
          <w:p w:rsidR="0052370C" w:rsidRPr="00380D4C" w:rsidRDefault="0052370C" w:rsidP="0052370C">
            <w:pPr>
              <w:rPr>
                <w:rFonts w:eastAsia="Times New Roman" w:cs="Arial"/>
                <w:bCs/>
                <w:i/>
                <w:color w:val="auto"/>
                <w:sz w:val="24"/>
                <w:szCs w:val="24"/>
              </w:rPr>
            </w:pPr>
            <w:r w:rsidRPr="00380D4C">
              <w:rPr>
                <w:rFonts w:eastAsia="Times New Roman" w:cs="Arial"/>
                <w:bCs/>
                <w:i/>
                <w:color w:val="auto"/>
                <w:sz w:val="24"/>
                <w:szCs w:val="24"/>
              </w:rPr>
              <w:t>•</w:t>
            </w:r>
            <w:r w:rsidR="00380D4C" w:rsidRPr="00380D4C">
              <w:rPr>
                <w:rFonts w:eastAsia="Times New Roman" w:cs="Arial"/>
                <w:bCs/>
                <w:i/>
                <w:color w:val="auto"/>
                <w:sz w:val="24"/>
                <w:szCs w:val="24"/>
              </w:rPr>
              <w:t xml:space="preserve"> </w:t>
            </w:r>
            <w:r w:rsidRPr="00380D4C">
              <w:rPr>
                <w:rFonts w:eastAsia="Times New Roman" w:cs="Arial"/>
                <w:bCs/>
                <w:i/>
                <w:color w:val="auto"/>
                <w:sz w:val="24"/>
                <w:szCs w:val="24"/>
              </w:rPr>
              <w:t>Anaesthetic Staff including Paediatric Anaesthetic Lead</w:t>
            </w:r>
          </w:p>
          <w:p w:rsidR="0052370C" w:rsidRPr="00380D4C" w:rsidRDefault="0052370C" w:rsidP="0052370C">
            <w:pPr>
              <w:rPr>
                <w:rFonts w:eastAsia="Times New Roman" w:cs="Arial"/>
                <w:bCs/>
                <w:i/>
                <w:color w:val="auto"/>
                <w:sz w:val="24"/>
                <w:szCs w:val="24"/>
              </w:rPr>
            </w:pPr>
            <w:r w:rsidRPr="00380D4C">
              <w:rPr>
                <w:rFonts w:eastAsia="Times New Roman" w:cs="Arial"/>
                <w:bCs/>
                <w:i/>
                <w:color w:val="auto"/>
                <w:sz w:val="24"/>
                <w:szCs w:val="24"/>
              </w:rPr>
              <w:t>•</w:t>
            </w:r>
            <w:r w:rsidR="00380D4C" w:rsidRPr="00380D4C">
              <w:rPr>
                <w:rFonts w:eastAsia="Times New Roman" w:cs="Arial"/>
                <w:bCs/>
                <w:i/>
                <w:color w:val="auto"/>
                <w:sz w:val="24"/>
                <w:szCs w:val="24"/>
              </w:rPr>
              <w:t xml:space="preserve"> </w:t>
            </w:r>
            <w:r w:rsidRPr="00380D4C">
              <w:rPr>
                <w:rFonts w:eastAsia="Times New Roman" w:cs="Arial"/>
                <w:bCs/>
                <w:i/>
                <w:color w:val="auto"/>
                <w:sz w:val="24"/>
                <w:szCs w:val="24"/>
              </w:rPr>
              <w:t>Day Surgery including Jane Dickinson, Reasonable Adjustments Pathway Liaison</w:t>
            </w:r>
          </w:p>
          <w:p w:rsidR="0052370C" w:rsidRPr="00380D4C" w:rsidRDefault="0052370C" w:rsidP="0052370C">
            <w:pPr>
              <w:rPr>
                <w:rFonts w:eastAsia="Times New Roman" w:cs="Arial"/>
                <w:bCs/>
                <w:i/>
                <w:color w:val="auto"/>
                <w:sz w:val="24"/>
                <w:szCs w:val="24"/>
              </w:rPr>
            </w:pPr>
            <w:r w:rsidRPr="00380D4C">
              <w:rPr>
                <w:rFonts w:eastAsia="Times New Roman" w:cs="Arial"/>
                <w:bCs/>
                <w:i/>
                <w:color w:val="auto"/>
                <w:sz w:val="24"/>
                <w:szCs w:val="24"/>
              </w:rPr>
              <w:t>•</w:t>
            </w:r>
            <w:r w:rsidR="00380D4C" w:rsidRPr="00380D4C">
              <w:rPr>
                <w:rFonts w:eastAsia="Times New Roman" w:cs="Arial"/>
                <w:bCs/>
                <w:i/>
                <w:color w:val="auto"/>
                <w:sz w:val="24"/>
                <w:szCs w:val="24"/>
              </w:rPr>
              <w:t xml:space="preserve"> </w:t>
            </w:r>
            <w:r w:rsidRPr="00380D4C">
              <w:rPr>
                <w:rFonts w:eastAsia="Times New Roman" w:cs="Arial"/>
                <w:bCs/>
                <w:i/>
                <w:color w:val="auto"/>
                <w:sz w:val="24"/>
                <w:szCs w:val="24"/>
              </w:rPr>
              <w:t>Paediatric Staff</w:t>
            </w:r>
          </w:p>
          <w:p w:rsidR="0052370C" w:rsidRPr="00380D4C" w:rsidRDefault="0052370C" w:rsidP="0052370C">
            <w:pPr>
              <w:rPr>
                <w:rFonts w:eastAsia="Times New Roman" w:cs="Arial"/>
                <w:bCs/>
                <w:i/>
                <w:color w:val="auto"/>
                <w:sz w:val="24"/>
                <w:szCs w:val="24"/>
              </w:rPr>
            </w:pPr>
            <w:r w:rsidRPr="00380D4C">
              <w:rPr>
                <w:rFonts w:eastAsia="Times New Roman" w:cs="Arial"/>
                <w:bCs/>
                <w:i/>
                <w:color w:val="auto"/>
                <w:sz w:val="24"/>
                <w:szCs w:val="24"/>
              </w:rPr>
              <w:t>•</w:t>
            </w:r>
            <w:r w:rsidR="00380D4C" w:rsidRPr="00380D4C">
              <w:rPr>
                <w:rFonts w:eastAsia="Times New Roman" w:cs="Arial"/>
                <w:bCs/>
                <w:i/>
                <w:color w:val="auto"/>
                <w:sz w:val="24"/>
                <w:szCs w:val="24"/>
              </w:rPr>
              <w:t xml:space="preserve"> </w:t>
            </w:r>
            <w:r w:rsidRPr="00380D4C">
              <w:rPr>
                <w:rFonts w:eastAsia="Times New Roman" w:cs="Arial"/>
                <w:bCs/>
                <w:i/>
                <w:color w:val="auto"/>
                <w:sz w:val="24"/>
                <w:szCs w:val="24"/>
              </w:rPr>
              <w:t>Nursing Staff</w:t>
            </w:r>
          </w:p>
          <w:p w:rsidR="0052370C" w:rsidRPr="00380D4C" w:rsidRDefault="0052370C" w:rsidP="0052370C">
            <w:pPr>
              <w:rPr>
                <w:rFonts w:eastAsia="Times New Roman" w:cs="Arial"/>
                <w:bCs/>
                <w:i/>
                <w:color w:val="auto"/>
                <w:sz w:val="24"/>
                <w:szCs w:val="24"/>
              </w:rPr>
            </w:pPr>
            <w:r w:rsidRPr="00380D4C">
              <w:rPr>
                <w:rFonts w:eastAsia="Times New Roman" w:cs="Arial"/>
                <w:bCs/>
                <w:i/>
                <w:color w:val="auto"/>
                <w:sz w:val="24"/>
                <w:szCs w:val="24"/>
              </w:rPr>
              <w:t>•</w:t>
            </w:r>
            <w:r w:rsidR="00380D4C" w:rsidRPr="00380D4C">
              <w:rPr>
                <w:rFonts w:eastAsia="Times New Roman" w:cs="Arial"/>
                <w:bCs/>
                <w:i/>
                <w:color w:val="auto"/>
                <w:sz w:val="24"/>
                <w:szCs w:val="24"/>
              </w:rPr>
              <w:t xml:space="preserve"> </w:t>
            </w:r>
            <w:r w:rsidRPr="00380D4C">
              <w:rPr>
                <w:rFonts w:eastAsia="Times New Roman" w:cs="Arial"/>
                <w:bCs/>
                <w:i/>
                <w:color w:val="auto"/>
                <w:sz w:val="24"/>
                <w:szCs w:val="24"/>
              </w:rPr>
              <w:t>Pharmacists</w:t>
            </w:r>
          </w:p>
          <w:p w:rsidR="0052370C" w:rsidRPr="00380D4C" w:rsidRDefault="0052370C" w:rsidP="0052370C">
            <w:pPr>
              <w:rPr>
                <w:rFonts w:eastAsia="Times New Roman" w:cs="Arial"/>
                <w:bCs/>
                <w:i/>
                <w:color w:val="auto"/>
                <w:sz w:val="24"/>
                <w:szCs w:val="24"/>
              </w:rPr>
            </w:pPr>
            <w:r w:rsidRPr="00380D4C">
              <w:rPr>
                <w:rFonts w:eastAsia="Times New Roman" w:cs="Arial"/>
                <w:bCs/>
                <w:i/>
                <w:color w:val="auto"/>
                <w:sz w:val="24"/>
                <w:szCs w:val="24"/>
              </w:rPr>
              <w:t>•</w:t>
            </w:r>
            <w:r w:rsidR="00380D4C" w:rsidRPr="00380D4C">
              <w:rPr>
                <w:rFonts w:eastAsia="Times New Roman" w:cs="Arial"/>
                <w:bCs/>
                <w:i/>
                <w:color w:val="auto"/>
                <w:sz w:val="24"/>
                <w:szCs w:val="24"/>
              </w:rPr>
              <w:t xml:space="preserve"> </w:t>
            </w:r>
            <w:r w:rsidRPr="00380D4C">
              <w:rPr>
                <w:rFonts w:eastAsia="Times New Roman" w:cs="Arial"/>
                <w:bCs/>
                <w:i/>
                <w:color w:val="auto"/>
                <w:sz w:val="24"/>
                <w:szCs w:val="24"/>
              </w:rPr>
              <w:t>Adult Learning Disability Liaison</w:t>
            </w:r>
            <w:r w:rsidR="00380D4C" w:rsidRPr="00380D4C">
              <w:rPr>
                <w:rFonts w:eastAsia="Times New Roman" w:cs="Arial"/>
                <w:bCs/>
                <w:i/>
                <w:color w:val="auto"/>
                <w:sz w:val="24"/>
                <w:szCs w:val="24"/>
              </w:rPr>
              <w:t xml:space="preserve"> Nurse</w:t>
            </w:r>
          </w:p>
          <w:p w:rsidR="0052370C" w:rsidRPr="00380D4C" w:rsidRDefault="0052370C" w:rsidP="0052370C">
            <w:pPr>
              <w:rPr>
                <w:rFonts w:eastAsia="Times New Roman" w:cs="Arial"/>
                <w:bCs/>
                <w:i/>
                <w:color w:val="auto"/>
                <w:sz w:val="24"/>
                <w:szCs w:val="24"/>
              </w:rPr>
            </w:pPr>
            <w:r w:rsidRPr="00380D4C">
              <w:rPr>
                <w:rFonts w:eastAsia="Times New Roman" w:cs="Arial"/>
                <w:bCs/>
                <w:i/>
                <w:color w:val="auto"/>
                <w:sz w:val="24"/>
                <w:szCs w:val="24"/>
              </w:rPr>
              <w:t>•</w:t>
            </w:r>
            <w:r w:rsidR="00380D4C" w:rsidRPr="00380D4C">
              <w:rPr>
                <w:rFonts w:eastAsia="Times New Roman" w:cs="Arial"/>
                <w:bCs/>
                <w:i/>
                <w:color w:val="auto"/>
                <w:sz w:val="24"/>
                <w:szCs w:val="24"/>
              </w:rPr>
              <w:t xml:space="preserve"> </w:t>
            </w:r>
            <w:r w:rsidRPr="00380D4C">
              <w:rPr>
                <w:rFonts w:eastAsia="Times New Roman" w:cs="Arial"/>
                <w:bCs/>
                <w:i/>
                <w:color w:val="auto"/>
                <w:sz w:val="24"/>
                <w:szCs w:val="24"/>
              </w:rPr>
              <w:t>Adult and Paediatric Safeguarding</w:t>
            </w:r>
          </w:p>
        </w:tc>
      </w:tr>
      <w:tr w:rsidR="00D822CC" w:rsidRPr="00D822CC" w:rsidTr="009F10FE">
        <w:trPr>
          <w:trHeight w:val="415"/>
        </w:trPr>
        <w:tc>
          <w:tcPr>
            <w:tcW w:w="4621" w:type="dxa"/>
            <w:shd w:val="clear" w:color="auto" w:fill="FFFFFF" w:themeFill="background1"/>
            <w:vAlign w:val="center"/>
          </w:tcPr>
          <w:p w:rsidR="00D822CC" w:rsidRPr="00380D4C" w:rsidRDefault="00D822CC" w:rsidP="00D822CC">
            <w:pPr>
              <w:rPr>
                <w:rFonts w:eastAsia="Times New Roman" w:cs="Arial"/>
                <w:b/>
                <w:color w:val="auto"/>
                <w:sz w:val="24"/>
                <w:szCs w:val="24"/>
              </w:rPr>
            </w:pPr>
            <w:r w:rsidRPr="00380D4C">
              <w:rPr>
                <w:rFonts w:eastAsia="Times New Roman" w:cs="Arial"/>
                <w:b/>
                <w:color w:val="auto"/>
                <w:sz w:val="24"/>
                <w:szCs w:val="24"/>
              </w:rPr>
              <w:t>Approving body and date approved</w:t>
            </w:r>
          </w:p>
        </w:tc>
        <w:tc>
          <w:tcPr>
            <w:tcW w:w="4621" w:type="dxa"/>
            <w:shd w:val="clear" w:color="auto" w:fill="FFFFFF" w:themeFill="background1"/>
            <w:vAlign w:val="center"/>
          </w:tcPr>
          <w:p w:rsidR="00D822CC" w:rsidRPr="00380D4C" w:rsidRDefault="00EB4BE8" w:rsidP="00D822CC">
            <w:pPr>
              <w:rPr>
                <w:rFonts w:eastAsia="Times New Roman" w:cs="Arial"/>
                <w:bCs/>
                <w:i/>
                <w:color w:val="auto"/>
                <w:sz w:val="24"/>
                <w:szCs w:val="24"/>
              </w:rPr>
            </w:pPr>
            <w:r w:rsidRPr="00EB4BE8">
              <w:rPr>
                <w:rFonts w:eastAsia="Times New Roman" w:cs="Arial"/>
                <w:bCs/>
                <w:i/>
                <w:color w:val="auto"/>
                <w:sz w:val="24"/>
                <w:szCs w:val="24"/>
              </w:rPr>
              <w:t>North Devon Surgery in Children Governance</w:t>
            </w:r>
            <w:r>
              <w:rPr>
                <w:rFonts w:eastAsia="Times New Roman" w:cs="Arial"/>
                <w:bCs/>
                <w:i/>
                <w:color w:val="auto"/>
                <w:sz w:val="24"/>
                <w:szCs w:val="24"/>
              </w:rPr>
              <w:t>, October 2022</w:t>
            </w:r>
          </w:p>
        </w:tc>
      </w:tr>
      <w:tr w:rsidR="00D822CC" w:rsidRPr="00D822CC" w:rsidTr="009F10FE">
        <w:trPr>
          <w:trHeight w:val="421"/>
        </w:trPr>
        <w:tc>
          <w:tcPr>
            <w:tcW w:w="4621" w:type="dxa"/>
            <w:shd w:val="clear" w:color="auto" w:fill="FFFFFF" w:themeFill="background1"/>
            <w:vAlign w:val="center"/>
          </w:tcPr>
          <w:p w:rsidR="00D822CC" w:rsidRPr="00380D4C" w:rsidRDefault="00D822CC" w:rsidP="00D822CC">
            <w:pPr>
              <w:rPr>
                <w:rFonts w:eastAsia="Times New Roman" w:cs="Arial"/>
                <w:b/>
                <w:color w:val="auto"/>
                <w:sz w:val="24"/>
                <w:szCs w:val="24"/>
              </w:rPr>
            </w:pPr>
            <w:r w:rsidRPr="00380D4C">
              <w:rPr>
                <w:rFonts w:eastAsia="Times New Roman" w:cs="Arial"/>
                <w:b/>
                <w:color w:val="auto"/>
                <w:sz w:val="24"/>
                <w:szCs w:val="24"/>
              </w:rPr>
              <w:t>Review date</w:t>
            </w:r>
          </w:p>
        </w:tc>
        <w:tc>
          <w:tcPr>
            <w:tcW w:w="4621" w:type="dxa"/>
            <w:shd w:val="clear" w:color="auto" w:fill="FFFFFF" w:themeFill="background1"/>
            <w:vAlign w:val="center"/>
          </w:tcPr>
          <w:p w:rsidR="00D822CC" w:rsidRPr="00380D4C" w:rsidRDefault="00EB4BE8" w:rsidP="00D822CC">
            <w:pPr>
              <w:rPr>
                <w:rFonts w:eastAsia="Times New Roman" w:cs="Arial"/>
                <w:bCs/>
                <w:i/>
                <w:color w:val="auto"/>
                <w:sz w:val="24"/>
                <w:szCs w:val="24"/>
              </w:rPr>
            </w:pPr>
            <w:r>
              <w:rPr>
                <w:rFonts w:eastAsia="Times New Roman" w:cs="Arial"/>
                <w:bCs/>
                <w:i/>
                <w:color w:val="auto"/>
                <w:sz w:val="24"/>
                <w:szCs w:val="24"/>
              </w:rPr>
              <w:t>June 2025</w:t>
            </w:r>
            <w:r w:rsidR="00D822CC" w:rsidRPr="00380D4C">
              <w:rPr>
                <w:rFonts w:eastAsia="Times New Roman" w:cs="Arial"/>
                <w:bCs/>
                <w:i/>
                <w:color w:val="auto"/>
                <w:sz w:val="24"/>
                <w:szCs w:val="24"/>
              </w:rPr>
              <w:t xml:space="preserve"> (3-6 months prior to expiry date)</w:t>
            </w:r>
          </w:p>
        </w:tc>
      </w:tr>
      <w:tr w:rsidR="00D822CC" w:rsidRPr="00D822CC" w:rsidTr="009F10FE">
        <w:trPr>
          <w:trHeight w:val="412"/>
        </w:trPr>
        <w:tc>
          <w:tcPr>
            <w:tcW w:w="4621" w:type="dxa"/>
            <w:shd w:val="clear" w:color="auto" w:fill="FFFFFF" w:themeFill="background1"/>
            <w:vAlign w:val="center"/>
          </w:tcPr>
          <w:p w:rsidR="00D822CC" w:rsidRPr="00380D4C" w:rsidRDefault="00D822CC" w:rsidP="00D822CC">
            <w:pPr>
              <w:rPr>
                <w:rFonts w:eastAsia="Times New Roman" w:cs="Arial"/>
                <w:b/>
                <w:color w:val="auto"/>
                <w:sz w:val="24"/>
                <w:szCs w:val="24"/>
              </w:rPr>
            </w:pPr>
            <w:r w:rsidRPr="00380D4C">
              <w:rPr>
                <w:rFonts w:eastAsia="Times New Roman" w:cs="Arial"/>
                <w:b/>
                <w:color w:val="auto"/>
                <w:sz w:val="24"/>
                <w:szCs w:val="24"/>
              </w:rPr>
              <w:t>Expiry date</w:t>
            </w:r>
          </w:p>
        </w:tc>
        <w:tc>
          <w:tcPr>
            <w:tcW w:w="4621" w:type="dxa"/>
            <w:shd w:val="clear" w:color="auto" w:fill="FFFFFF" w:themeFill="background1"/>
            <w:vAlign w:val="center"/>
          </w:tcPr>
          <w:p w:rsidR="00D822CC" w:rsidRPr="00380D4C" w:rsidRDefault="0052370C" w:rsidP="00D822CC">
            <w:pPr>
              <w:rPr>
                <w:rFonts w:eastAsia="Times New Roman" w:cs="Arial"/>
                <w:bCs/>
                <w:i/>
                <w:color w:val="auto"/>
                <w:sz w:val="24"/>
                <w:szCs w:val="24"/>
              </w:rPr>
            </w:pPr>
            <w:r w:rsidRPr="00380D4C">
              <w:rPr>
                <w:rFonts w:eastAsia="Times New Roman" w:cs="Arial"/>
                <w:bCs/>
                <w:i/>
                <w:color w:val="auto"/>
                <w:sz w:val="24"/>
                <w:szCs w:val="24"/>
              </w:rPr>
              <w:t>01/09/2025</w:t>
            </w:r>
          </w:p>
        </w:tc>
      </w:tr>
      <w:tr w:rsidR="00D822CC" w:rsidRPr="00D822CC" w:rsidTr="009F10FE">
        <w:trPr>
          <w:trHeight w:val="419"/>
        </w:trPr>
        <w:tc>
          <w:tcPr>
            <w:tcW w:w="4621" w:type="dxa"/>
            <w:shd w:val="clear" w:color="auto" w:fill="FFFFFF" w:themeFill="background1"/>
            <w:vAlign w:val="center"/>
          </w:tcPr>
          <w:p w:rsidR="00D822CC" w:rsidRPr="00415889" w:rsidRDefault="00D822CC" w:rsidP="00D822CC">
            <w:pPr>
              <w:rPr>
                <w:rFonts w:eastAsia="Times New Roman" w:cs="Arial"/>
                <w:b/>
                <w:sz w:val="24"/>
                <w:szCs w:val="24"/>
              </w:rPr>
            </w:pPr>
            <w:r w:rsidRPr="00415889">
              <w:rPr>
                <w:rFonts w:eastAsia="Times New Roman" w:cs="Arial"/>
                <w:b/>
                <w:sz w:val="24"/>
                <w:szCs w:val="24"/>
              </w:rPr>
              <w:t>Date document becomes live</w:t>
            </w:r>
          </w:p>
        </w:tc>
        <w:tc>
          <w:tcPr>
            <w:tcW w:w="4621" w:type="dxa"/>
            <w:shd w:val="clear" w:color="auto" w:fill="FFFFFF" w:themeFill="background1"/>
            <w:vAlign w:val="center"/>
          </w:tcPr>
          <w:p w:rsidR="00D822CC" w:rsidRPr="00331633" w:rsidRDefault="00D822CC" w:rsidP="00D822CC">
            <w:pPr>
              <w:rPr>
                <w:rFonts w:eastAsia="Times New Roman" w:cs="Arial"/>
                <w:bCs/>
                <w:i/>
                <w:sz w:val="24"/>
                <w:szCs w:val="24"/>
              </w:rPr>
            </w:pPr>
            <w:r w:rsidRPr="00331633">
              <w:rPr>
                <w:rFonts w:eastAsia="Times New Roman" w:cs="Arial"/>
                <w:bCs/>
                <w:i/>
                <w:color w:val="FF0000"/>
                <w:sz w:val="24"/>
                <w:szCs w:val="24"/>
              </w:rPr>
              <w:t xml:space="preserve">Date document is published on </w:t>
            </w:r>
            <w:proofErr w:type="spellStart"/>
            <w:r w:rsidRPr="00331633">
              <w:rPr>
                <w:rFonts w:eastAsia="Times New Roman" w:cs="Arial"/>
                <w:bCs/>
                <w:i/>
                <w:color w:val="FF0000"/>
                <w:sz w:val="24"/>
                <w:szCs w:val="24"/>
              </w:rPr>
              <w:t>IaN</w:t>
            </w:r>
            <w:proofErr w:type="spellEnd"/>
            <w:r w:rsidRPr="00331633">
              <w:rPr>
                <w:rFonts w:eastAsia="Times New Roman" w:cs="Arial"/>
                <w:bCs/>
                <w:i/>
                <w:color w:val="FF0000"/>
                <w:sz w:val="24"/>
                <w:szCs w:val="24"/>
              </w:rPr>
              <w:t xml:space="preserve"> </w:t>
            </w:r>
          </w:p>
        </w:tc>
      </w:tr>
    </w:tbl>
    <w:p w:rsidR="00D822CC" w:rsidRPr="00D822CC" w:rsidRDefault="00D822CC" w:rsidP="00415889">
      <w:pPr>
        <w:keepNext/>
        <w:keepLines/>
        <w:spacing w:before="140" w:line="240" w:lineRule="auto"/>
        <w:outlineLvl w:val="0"/>
        <w:rPr>
          <w:rFonts w:eastAsiaTheme="majorEastAsia" w:cstheme="majorBidi"/>
          <w:bCs/>
        </w:rPr>
      </w:pPr>
    </w:p>
    <w:sectPr w:rsidR="00D822CC" w:rsidRPr="00D822CC" w:rsidSect="00415889">
      <w:pgSz w:w="11906" w:h="16838"/>
      <w:pgMar w:top="1440" w:right="1440" w:bottom="1276" w:left="1440" w:header="708" w:footer="5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11AE8" w:rsidRDefault="00411AE8">
      <w:pPr>
        <w:spacing w:line="240" w:lineRule="auto"/>
      </w:pPr>
      <w:r>
        <w:separator/>
      </w:r>
    </w:p>
  </w:endnote>
  <w:endnote w:type="continuationSeparator" w:id="0">
    <w:p w:rsidR="00411AE8" w:rsidRDefault="00411A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14C6" w:rsidRPr="004B14C6" w:rsidRDefault="00056FE6" w:rsidP="00773874">
    <w:pPr>
      <w:pStyle w:val="Footer"/>
      <w:rPr>
        <w:rFonts w:cs="Arial"/>
        <w:i/>
        <w:sz w:val="20"/>
        <w:szCs w:val="20"/>
      </w:rPr>
    </w:pPr>
    <w:r w:rsidRPr="00056FE6">
      <w:rPr>
        <w:rFonts w:cs="Arial"/>
        <w:bCs/>
        <w:i/>
        <w:sz w:val="20"/>
        <w:szCs w:val="20"/>
      </w:rPr>
      <w:t>Pre-operative Sedation Guideline for Children and Adults with Learning Disabilities</w:t>
    </w:r>
    <w:r w:rsidRPr="00056FE6">
      <w:rPr>
        <w:rFonts w:cs="Arial"/>
        <w:i/>
        <w:sz w:val="20"/>
        <w:szCs w:val="20"/>
      </w:rPr>
      <w:t xml:space="preserve"> </w:t>
    </w:r>
    <w:r>
      <w:rPr>
        <w:rFonts w:cs="Arial"/>
        <w:i/>
        <w:sz w:val="20"/>
        <w:szCs w:val="20"/>
      </w:rPr>
      <w:br/>
    </w:r>
    <w:r w:rsidR="004B14C6" w:rsidRPr="004B14C6">
      <w:rPr>
        <w:rFonts w:cs="Arial"/>
        <w:sz w:val="20"/>
        <w:szCs w:val="20"/>
      </w:rPr>
      <w:t>Approved by</w:t>
    </w:r>
    <w:r w:rsidR="004B14C6">
      <w:rPr>
        <w:rFonts w:cs="Arial"/>
        <w:sz w:val="20"/>
        <w:szCs w:val="20"/>
      </w:rPr>
      <w:t>:</w:t>
    </w:r>
    <w:r w:rsidR="004B14C6" w:rsidRPr="004B14C6">
      <w:rPr>
        <w:rFonts w:cs="Arial"/>
        <w:i/>
        <w:sz w:val="20"/>
        <w:szCs w:val="20"/>
      </w:rPr>
      <w:t xml:space="preserve"> XXX Committee/Group + date </w:t>
    </w:r>
  </w:p>
  <w:p w:rsidR="00296D5D" w:rsidRPr="00E410FB" w:rsidRDefault="00D822CC" w:rsidP="00773874">
    <w:pPr>
      <w:pStyle w:val="Footer"/>
      <w:rPr>
        <w:sz w:val="20"/>
        <w:szCs w:val="20"/>
      </w:rPr>
    </w:pPr>
    <w:r w:rsidRPr="004B14C6">
      <w:rPr>
        <w:rFonts w:cs="Arial"/>
        <w:sz w:val="20"/>
        <w:szCs w:val="20"/>
      </w:rPr>
      <w:t>Review date:</w:t>
    </w:r>
    <w:r w:rsidR="004B14C6" w:rsidRPr="004B14C6">
      <w:rPr>
        <w:rFonts w:cs="Arial"/>
        <w:sz w:val="20"/>
        <w:szCs w:val="20"/>
      </w:rPr>
      <w:t xml:space="preserve"> xxx</w:t>
    </w:r>
    <w:r w:rsidRPr="004B14C6">
      <w:rPr>
        <w:rFonts w:cs="Arial"/>
        <w:sz w:val="20"/>
        <w:szCs w:val="20"/>
      </w:rPr>
      <w:tab/>
    </w:r>
    <w:r w:rsidRPr="00E410FB">
      <w:rPr>
        <w:sz w:val="20"/>
        <w:szCs w:val="20"/>
      </w:rPr>
      <w:tab/>
      <w:t xml:space="preserve">Page </w:t>
    </w:r>
    <w:r w:rsidRPr="00E410FB">
      <w:rPr>
        <w:b/>
        <w:sz w:val="20"/>
        <w:szCs w:val="20"/>
      </w:rPr>
      <w:fldChar w:fldCharType="begin"/>
    </w:r>
    <w:r w:rsidRPr="00E410FB">
      <w:rPr>
        <w:b/>
        <w:sz w:val="20"/>
        <w:szCs w:val="20"/>
      </w:rPr>
      <w:instrText xml:space="preserve"> PAGE  \* Arabic  \* MERGEFORMAT </w:instrText>
    </w:r>
    <w:r w:rsidRPr="00E410FB">
      <w:rPr>
        <w:b/>
        <w:sz w:val="20"/>
        <w:szCs w:val="20"/>
      </w:rPr>
      <w:fldChar w:fldCharType="separate"/>
    </w:r>
    <w:r w:rsidR="008753DC">
      <w:rPr>
        <w:b/>
        <w:noProof/>
        <w:sz w:val="20"/>
        <w:szCs w:val="20"/>
      </w:rPr>
      <w:t>1</w:t>
    </w:r>
    <w:r w:rsidRPr="00E410FB">
      <w:rPr>
        <w:b/>
        <w:sz w:val="20"/>
        <w:szCs w:val="20"/>
      </w:rPr>
      <w:fldChar w:fldCharType="end"/>
    </w:r>
    <w:r w:rsidRPr="00E410FB">
      <w:rPr>
        <w:sz w:val="20"/>
        <w:szCs w:val="20"/>
      </w:rPr>
      <w:t xml:space="preserve"> of </w:t>
    </w:r>
    <w:r w:rsidR="00411AE8">
      <w:fldChar w:fldCharType="begin"/>
    </w:r>
    <w:r w:rsidR="00411AE8">
      <w:instrText xml:space="preserve"> NUMPAGES  \* Arabic  \* MERGEFORMAT </w:instrText>
    </w:r>
    <w:r w:rsidR="00411AE8">
      <w:fldChar w:fldCharType="separate"/>
    </w:r>
    <w:r w:rsidR="008753DC" w:rsidRPr="008753DC">
      <w:rPr>
        <w:b/>
        <w:noProof/>
        <w:sz w:val="20"/>
        <w:szCs w:val="20"/>
      </w:rPr>
      <w:t>4</w:t>
    </w:r>
    <w:r w:rsidR="00411AE8">
      <w:rPr>
        <w:b/>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11AE8" w:rsidRDefault="00411AE8">
      <w:pPr>
        <w:spacing w:line="240" w:lineRule="auto"/>
      </w:pPr>
      <w:r>
        <w:separator/>
      </w:r>
    </w:p>
  </w:footnote>
  <w:footnote w:type="continuationSeparator" w:id="0">
    <w:p w:rsidR="00411AE8" w:rsidRDefault="00411A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3DC" w:rsidRDefault="008753DC">
    <w:pPr>
      <w:pStyle w:val="Header"/>
    </w:pPr>
  </w:p>
  <w:p w:rsidR="00296D5D" w:rsidRDefault="008753DC" w:rsidP="00862321">
    <w:pPr>
      <w:pStyle w:val="Header"/>
      <w:jc w:val="right"/>
    </w:pPr>
    <w:r>
      <w:rPr>
        <w:noProof/>
        <w:lang w:val="en-US"/>
      </w:rPr>
      <w:drawing>
        <wp:inline distT="0" distB="0" distL="0" distR="0" wp14:anchorId="1F797334" wp14:editId="11456045">
          <wp:extent cx="1431951" cy="637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9390" cy="64126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46993"/>
    <w:multiLevelType w:val="multilevel"/>
    <w:tmpl w:val="78A23D6C"/>
    <w:lvl w:ilvl="0">
      <w:start w:val="2"/>
      <w:numFmt w:val="bullet"/>
      <w:pStyle w:val="NDHTBullet1"/>
      <w:lvlText w:val=""/>
      <w:lvlJc w:val="left"/>
      <w:pPr>
        <w:ind w:left="1304" w:hanging="567"/>
      </w:pPr>
      <w:rPr>
        <w:rFonts w:ascii="Symbol" w:hAnsi="Symbol" w:hint="default"/>
        <w:b w:val="0"/>
        <w:i w:val="0"/>
        <w:color w:val="8064A2" w:themeColor="accent4"/>
        <w:sz w:val="22"/>
      </w:rPr>
    </w:lvl>
    <w:lvl w:ilvl="1">
      <w:start w:val="1"/>
      <w:numFmt w:val="bullet"/>
      <w:pStyle w:val="NDHTBullet2"/>
      <w:lvlText w:val=""/>
      <w:lvlJc w:val="left"/>
      <w:pPr>
        <w:ind w:left="1871" w:hanging="567"/>
      </w:pPr>
      <w:rPr>
        <w:rFonts w:ascii="Wingdings" w:hAnsi="Wingdings" w:hint="default"/>
        <w:color w:val="8064A2" w:themeColor="accent4"/>
      </w:rPr>
    </w:lvl>
    <w:lvl w:ilvl="2">
      <w:start w:val="1"/>
      <w:numFmt w:val="bullet"/>
      <w:pStyle w:val="NDHTBullet3"/>
      <w:lvlText w:val=""/>
      <w:lvlJc w:val="left"/>
      <w:pPr>
        <w:ind w:left="2438" w:hanging="567"/>
      </w:pPr>
      <w:rPr>
        <w:rFonts w:ascii="Wingdings" w:hAnsi="Wingdings" w:hint="default"/>
        <w:color w:val="8064A2" w:themeColor="accent4"/>
      </w:rPr>
    </w:lvl>
    <w:lvl w:ilvl="3">
      <w:start w:val="1"/>
      <w:numFmt w:val="bullet"/>
      <w:lvlText w:val=""/>
      <w:lvlJc w:val="left"/>
      <w:pPr>
        <w:tabs>
          <w:tab w:val="num" w:pos="737"/>
        </w:tabs>
        <w:ind w:left="737" w:firstLine="0"/>
      </w:pPr>
      <w:rPr>
        <w:rFonts w:ascii="Symbol" w:hAnsi="Symbol" w:hint="default"/>
      </w:rPr>
    </w:lvl>
    <w:lvl w:ilvl="4">
      <w:start w:val="1"/>
      <w:numFmt w:val="bullet"/>
      <w:lvlText w:val="o"/>
      <w:lvlJc w:val="left"/>
      <w:pPr>
        <w:tabs>
          <w:tab w:val="num" w:pos="737"/>
        </w:tabs>
        <w:ind w:left="737" w:firstLine="0"/>
      </w:pPr>
      <w:rPr>
        <w:rFonts w:ascii="Courier New" w:hAnsi="Courier New" w:cs="Courier New" w:hint="default"/>
      </w:rPr>
    </w:lvl>
    <w:lvl w:ilvl="5">
      <w:start w:val="1"/>
      <w:numFmt w:val="bullet"/>
      <w:lvlText w:val=""/>
      <w:lvlJc w:val="left"/>
      <w:pPr>
        <w:tabs>
          <w:tab w:val="num" w:pos="737"/>
        </w:tabs>
        <w:ind w:left="737" w:firstLine="0"/>
      </w:pPr>
      <w:rPr>
        <w:rFonts w:ascii="Wingdings" w:hAnsi="Wingdings" w:hint="default"/>
      </w:rPr>
    </w:lvl>
    <w:lvl w:ilvl="6">
      <w:start w:val="1"/>
      <w:numFmt w:val="bullet"/>
      <w:lvlText w:val=""/>
      <w:lvlJc w:val="left"/>
      <w:pPr>
        <w:tabs>
          <w:tab w:val="num" w:pos="737"/>
        </w:tabs>
        <w:ind w:left="737" w:firstLine="0"/>
      </w:pPr>
      <w:rPr>
        <w:rFonts w:ascii="Symbol" w:hAnsi="Symbol" w:hint="default"/>
      </w:rPr>
    </w:lvl>
    <w:lvl w:ilvl="7">
      <w:start w:val="1"/>
      <w:numFmt w:val="bullet"/>
      <w:lvlText w:val="o"/>
      <w:lvlJc w:val="left"/>
      <w:pPr>
        <w:tabs>
          <w:tab w:val="num" w:pos="737"/>
        </w:tabs>
        <w:ind w:left="737" w:firstLine="0"/>
      </w:pPr>
      <w:rPr>
        <w:rFonts w:ascii="Courier New" w:hAnsi="Courier New" w:cs="Courier New" w:hint="default"/>
      </w:rPr>
    </w:lvl>
    <w:lvl w:ilvl="8">
      <w:start w:val="1"/>
      <w:numFmt w:val="bullet"/>
      <w:lvlText w:val=""/>
      <w:lvlJc w:val="left"/>
      <w:pPr>
        <w:tabs>
          <w:tab w:val="num" w:pos="737"/>
        </w:tabs>
        <w:ind w:left="737" w:firstLine="0"/>
      </w:pPr>
      <w:rPr>
        <w:rFonts w:ascii="Wingdings" w:hAnsi="Wingdings" w:hint="default"/>
      </w:rPr>
    </w:lvl>
  </w:abstractNum>
  <w:abstractNum w:abstractNumId="1" w15:restartNumberingAfterBreak="0">
    <w:nsid w:val="084D1FAC"/>
    <w:multiLevelType w:val="multilevel"/>
    <w:tmpl w:val="25AEF826"/>
    <w:lvl w:ilvl="0">
      <w:start w:val="1"/>
      <w:numFmt w:val="decimal"/>
      <w:lvlText w:val="%1."/>
      <w:lvlJc w:val="left"/>
      <w:pPr>
        <w:ind w:left="737" w:hanging="737"/>
      </w:pPr>
      <w:rPr>
        <w:rFonts w:ascii="Calibri" w:hAnsi="Calibri" w:hint="default"/>
        <w:b/>
        <w:i w:val="0"/>
        <w:color w:val="8064A2" w:themeColor="accent4"/>
        <w:sz w:val="32"/>
      </w:rPr>
    </w:lvl>
    <w:lvl w:ilvl="1">
      <w:start w:val="1"/>
      <w:numFmt w:val="bullet"/>
      <w:lvlText w:val=""/>
      <w:lvlJc w:val="left"/>
      <w:pPr>
        <w:ind w:left="144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CB16B0"/>
    <w:multiLevelType w:val="multilevel"/>
    <w:tmpl w:val="25AEF826"/>
    <w:lvl w:ilvl="0">
      <w:start w:val="1"/>
      <w:numFmt w:val="decimal"/>
      <w:lvlText w:val="%1."/>
      <w:lvlJc w:val="left"/>
      <w:pPr>
        <w:ind w:left="737" w:hanging="737"/>
      </w:pPr>
      <w:rPr>
        <w:rFonts w:ascii="Calibri" w:hAnsi="Calibri" w:hint="default"/>
        <w:b/>
        <w:i w:val="0"/>
        <w:color w:val="8064A2" w:themeColor="accent4"/>
        <w:sz w:val="32"/>
      </w:rPr>
    </w:lvl>
    <w:lvl w:ilvl="1">
      <w:start w:val="1"/>
      <w:numFmt w:val="bullet"/>
      <w:lvlText w:val=""/>
      <w:lvlJc w:val="left"/>
      <w:pPr>
        <w:ind w:left="144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D179E4"/>
    <w:multiLevelType w:val="multilevel"/>
    <w:tmpl w:val="25AEF826"/>
    <w:lvl w:ilvl="0">
      <w:start w:val="1"/>
      <w:numFmt w:val="decimal"/>
      <w:lvlText w:val="%1."/>
      <w:lvlJc w:val="left"/>
      <w:pPr>
        <w:ind w:left="737" w:hanging="737"/>
      </w:pPr>
      <w:rPr>
        <w:rFonts w:ascii="Calibri" w:hAnsi="Calibri" w:hint="default"/>
        <w:b/>
        <w:i w:val="0"/>
        <w:color w:val="8064A2" w:themeColor="accent4"/>
        <w:sz w:val="32"/>
      </w:rPr>
    </w:lvl>
    <w:lvl w:ilvl="1">
      <w:start w:val="1"/>
      <w:numFmt w:val="bullet"/>
      <w:lvlText w:val=""/>
      <w:lvlJc w:val="left"/>
      <w:pPr>
        <w:ind w:left="144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C124011"/>
    <w:multiLevelType w:val="multilevel"/>
    <w:tmpl w:val="F6C2162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CD0ADE"/>
    <w:multiLevelType w:val="multilevel"/>
    <w:tmpl w:val="48846FDA"/>
    <w:lvl w:ilvl="0">
      <w:start w:val="2"/>
      <w:numFmt w:val="decimal"/>
      <w:lvlText w:val="%1"/>
      <w:lvlJc w:val="left"/>
      <w:pPr>
        <w:ind w:left="360" w:hanging="360"/>
      </w:pPr>
      <w:rPr>
        <w:rFonts w:ascii="Calibri" w:hAnsi="Calibri" w:cstheme="minorBidi" w:hint="default"/>
      </w:rPr>
    </w:lvl>
    <w:lvl w:ilvl="1">
      <w:start w:val="1"/>
      <w:numFmt w:val="decimal"/>
      <w:lvlText w:val="%1.%2"/>
      <w:lvlJc w:val="left"/>
      <w:pPr>
        <w:ind w:left="360" w:hanging="360"/>
      </w:pPr>
      <w:rPr>
        <w:rFonts w:ascii="Calibri" w:hAnsi="Calibri" w:cstheme="minorBidi" w:hint="default"/>
      </w:rPr>
    </w:lvl>
    <w:lvl w:ilvl="2">
      <w:start w:val="1"/>
      <w:numFmt w:val="decimal"/>
      <w:lvlText w:val="%1.%2.%3"/>
      <w:lvlJc w:val="left"/>
      <w:pPr>
        <w:ind w:left="720" w:hanging="720"/>
      </w:pPr>
      <w:rPr>
        <w:rFonts w:ascii="Calibri" w:hAnsi="Calibri" w:cstheme="minorBidi" w:hint="default"/>
      </w:rPr>
    </w:lvl>
    <w:lvl w:ilvl="3">
      <w:start w:val="1"/>
      <w:numFmt w:val="decimal"/>
      <w:lvlText w:val="%1.%2.%3.%4"/>
      <w:lvlJc w:val="left"/>
      <w:pPr>
        <w:ind w:left="720" w:hanging="720"/>
      </w:pPr>
      <w:rPr>
        <w:rFonts w:ascii="Calibri" w:hAnsi="Calibri" w:cstheme="minorBidi" w:hint="default"/>
      </w:rPr>
    </w:lvl>
    <w:lvl w:ilvl="4">
      <w:start w:val="1"/>
      <w:numFmt w:val="decimal"/>
      <w:lvlText w:val="%1.%2.%3.%4.%5"/>
      <w:lvlJc w:val="left"/>
      <w:pPr>
        <w:ind w:left="1080" w:hanging="1080"/>
      </w:pPr>
      <w:rPr>
        <w:rFonts w:ascii="Calibri" w:hAnsi="Calibri" w:cstheme="minorBidi" w:hint="default"/>
      </w:rPr>
    </w:lvl>
    <w:lvl w:ilvl="5">
      <w:start w:val="1"/>
      <w:numFmt w:val="decimal"/>
      <w:lvlText w:val="%1.%2.%3.%4.%5.%6"/>
      <w:lvlJc w:val="left"/>
      <w:pPr>
        <w:ind w:left="1080" w:hanging="1080"/>
      </w:pPr>
      <w:rPr>
        <w:rFonts w:ascii="Calibri" w:hAnsi="Calibri" w:cstheme="minorBidi" w:hint="default"/>
      </w:rPr>
    </w:lvl>
    <w:lvl w:ilvl="6">
      <w:start w:val="1"/>
      <w:numFmt w:val="decimal"/>
      <w:lvlText w:val="%1.%2.%3.%4.%5.%6.%7"/>
      <w:lvlJc w:val="left"/>
      <w:pPr>
        <w:ind w:left="1440" w:hanging="1440"/>
      </w:pPr>
      <w:rPr>
        <w:rFonts w:ascii="Calibri" w:hAnsi="Calibri" w:cstheme="minorBidi" w:hint="default"/>
      </w:rPr>
    </w:lvl>
    <w:lvl w:ilvl="7">
      <w:start w:val="1"/>
      <w:numFmt w:val="decimal"/>
      <w:lvlText w:val="%1.%2.%3.%4.%5.%6.%7.%8"/>
      <w:lvlJc w:val="left"/>
      <w:pPr>
        <w:ind w:left="1440" w:hanging="1440"/>
      </w:pPr>
      <w:rPr>
        <w:rFonts w:ascii="Calibri" w:hAnsi="Calibri" w:cstheme="minorBidi" w:hint="default"/>
      </w:rPr>
    </w:lvl>
    <w:lvl w:ilvl="8">
      <w:start w:val="1"/>
      <w:numFmt w:val="decimal"/>
      <w:lvlText w:val="%1.%2.%3.%4.%5.%6.%7.%8.%9"/>
      <w:lvlJc w:val="left"/>
      <w:pPr>
        <w:ind w:left="1800" w:hanging="1800"/>
      </w:pPr>
      <w:rPr>
        <w:rFonts w:ascii="Calibri" w:hAnsi="Calibri" w:cstheme="minorBidi" w:hint="default"/>
      </w:rPr>
    </w:lvl>
  </w:abstractNum>
  <w:abstractNum w:abstractNumId="6" w15:restartNumberingAfterBreak="0">
    <w:nsid w:val="101E1461"/>
    <w:multiLevelType w:val="multilevel"/>
    <w:tmpl w:val="5C848862"/>
    <w:lvl w:ilvl="0">
      <w:start w:val="1"/>
      <w:numFmt w:val="decimal"/>
      <w:lvlText w:val="%1."/>
      <w:lvlJc w:val="left"/>
      <w:pPr>
        <w:ind w:left="360" w:hanging="360"/>
      </w:pPr>
      <w:rPr>
        <w:rFonts w:hint="default"/>
        <w:b w:val="0"/>
        <w:i w:val="0"/>
        <w:color w:val="8064A2" w:themeColor="accent4"/>
        <w:sz w:val="22"/>
      </w:rPr>
    </w:lvl>
    <w:lvl w:ilvl="1">
      <w:start w:val="1"/>
      <w:numFmt w:val="bullet"/>
      <w:lvlText w:val=""/>
      <w:lvlJc w:val="left"/>
      <w:pPr>
        <w:ind w:left="1134" w:hanging="567"/>
      </w:pPr>
      <w:rPr>
        <w:rFonts w:ascii="Wingdings" w:hAnsi="Wingdings" w:hint="default"/>
        <w:b/>
        <w:i w:val="0"/>
        <w:color w:val="8064A2" w:themeColor="accent4"/>
        <w:sz w:val="22"/>
      </w:rPr>
    </w:lvl>
    <w:lvl w:ilvl="2">
      <w:start w:val="1"/>
      <w:numFmt w:val="bullet"/>
      <w:lvlText w:val=""/>
      <w:lvlJc w:val="left"/>
      <w:pPr>
        <w:ind w:left="1701" w:hanging="567"/>
      </w:pPr>
      <w:rPr>
        <w:rFonts w:ascii="Wingdings" w:hAnsi="Wingdings" w:hint="default"/>
        <w:color w:val="8064A2" w:themeColor="accent4"/>
      </w:rPr>
    </w:lvl>
    <w:lvl w:ilvl="3">
      <w:start w:val="1"/>
      <w:numFmt w:val="bullet"/>
      <w:lvlText w:val=""/>
      <w:lvlJc w:val="left"/>
      <w:pPr>
        <w:tabs>
          <w:tab w:val="num" w:pos="0"/>
        </w:tabs>
        <w:ind w:left="0" w:firstLine="0"/>
      </w:pPr>
      <w:rPr>
        <w:rFonts w:ascii="Symbol" w:hAnsi="Symbol" w:hint="default"/>
      </w:rPr>
    </w:lvl>
    <w:lvl w:ilvl="4">
      <w:start w:val="1"/>
      <w:numFmt w:val="bullet"/>
      <w:lvlText w:val="o"/>
      <w:lvlJc w:val="left"/>
      <w:pPr>
        <w:tabs>
          <w:tab w:val="num" w:pos="0"/>
        </w:tabs>
        <w:ind w:left="0" w:firstLine="0"/>
      </w:pPr>
      <w:rPr>
        <w:rFonts w:ascii="Courier New" w:hAnsi="Courier New" w:cs="Courier New" w:hint="default"/>
      </w:rPr>
    </w:lvl>
    <w:lvl w:ilvl="5">
      <w:start w:val="1"/>
      <w:numFmt w:val="bullet"/>
      <w:lvlText w:val=""/>
      <w:lvlJc w:val="left"/>
      <w:pPr>
        <w:tabs>
          <w:tab w:val="num" w:pos="0"/>
        </w:tabs>
        <w:ind w:left="0" w:firstLine="0"/>
      </w:pPr>
      <w:rPr>
        <w:rFonts w:ascii="Wingdings" w:hAnsi="Wingdings" w:hint="default"/>
      </w:rPr>
    </w:lvl>
    <w:lvl w:ilvl="6">
      <w:start w:val="1"/>
      <w:numFmt w:val="bullet"/>
      <w:lvlText w:val=""/>
      <w:lvlJc w:val="left"/>
      <w:pPr>
        <w:tabs>
          <w:tab w:val="num" w:pos="0"/>
        </w:tabs>
        <w:ind w:left="0" w:firstLine="0"/>
      </w:pPr>
      <w:rPr>
        <w:rFonts w:ascii="Symbol" w:hAnsi="Symbol" w:hint="default"/>
      </w:rPr>
    </w:lvl>
    <w:lvl w:ilvl="7">
      <w:start w:val="1"/>
      <w:numFmt w:val="bullet"/>
      <w:lvlText w:val="o"/>
      <w:lvlJc w:val="left"/>
      <w:pPr>
        <w:tabs>
          <w:tab w:val="num" w:pos="0"/>
        </w:tabs>
        <w:ind w:left="0" w:firstLine="0"/>
      </w:pPr>
      <w:rPr>
        <w:rFonts w:ascii="Courier New" w:hAnsi="Courier New" w:cs="Courier New" w:hint="default"/>
      </w:rPr>
    </w:lvl>
    <w:lvl w:ilvl="8">
      <w:start w:val="1"/>
      <w:numFmt w:val="bullet"/>
      <w:lvlText w:val=""/>
      <w:lvlJc w:val="left"/>
      <w:pPr>
        <w:tabs>
          <w:tab w:val="num" w:pos="0"/>
        </w:tabs>
        <w:ind w:left="0" w:firstLine="0"/>
      </w:pPr>
      <w:rPr>
        <w:rFonts w:ascii="Wingdings" w:hAnsi="Wingdings" w:hint="default"/>
      </w:rPr>
    </w:lvl>
  </w:abstractNum>
  <w:abstractNum w:abstractNumId="7" w15:restartNumberingAfterBreak="0">
    <w:nsid w:val="134C0444"/>
    <w:multiLevelType w:val="hybridMultilevel"/>
    <w:tmpl w:val="C36EE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60FE2"/>
    <w:multiLevelType w:val="multilevel"/>
    <w:tmpl w:val="18FCD86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C604F3A"/>
    <w:multiLevelType w:val="multilevel"/>
    <w:tmpl w:val="25AEF826"/>
    <w:lvl w:ilvl="0">
      <w:start w:val="1"/>
      <w:numFmt w:val="decimal"/>
      <w:lvlText w:val="%1."/>
      <w:lvlJc w:val="left"/>
      <w:pPr>
        <w:ind w:left="737" w:hanging="737"/>
      </w:pPr>
      <w:rPr>
        <w:rFonts w:ascii="Calibri" w:hAnsi="Calibri" w:hint="default"/>
        <w:b/>
        <w:i w:val="0"/>
        <w:color w:val="8064A2" w:themeColor="accent4"/>
        <w:sz w:val="32"/>
      </w:rPr>
    </w:lvl>
    <w:lvl w:ilvl="1">
      <w:start w:val="1"/>
      <w:numFmt w:val="bullet"/>
      <w:lvlText w:val=""/>
      <w:lvlJc w:val="left"/>
      <w:pPr>
        <w:ind w:left="144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1A61820"/>
    <w:multiLevelType w:val="hybridMultilevel"/>
    <w:tmpl w:val="6460370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41857D6"/>
    <w:multiLevelType w:val="multilevel"/>
    <w:tmpl w:val="EA381D58"/>
    <w:lvl w:ilvl="0">
      <w:start w:val="4"/>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12" w15:restartNumberingAfterBreak="0">
    <w:nsid w:val="24BE46BA"/>
    <w:multiLevelType w:val="hybridMultilevel"/>
    <w:tmpl w:val="3A60DD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961119"/>
    <w:multiLevelType w:val="multilevel"/>
    <w:tmpl w:val="5A8E7012"/>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B587B1A"/>
    <w:multiLevelType w:val="multilevel"/>
    <w:tmpl w:val="25AEF826"/>
    <w:lvl w:ilvl="0">
      <w:start w:val="1"/>
      <w:numFmt w:val="decimal"/>
      <w:lvlText w:val="%1."/>
      <w:lvlJc w:val="left"/>
      <w:pPr>
        <w:ind w:left="737" w:hanging="737"/>
      </w:pPr>
      <w:rPr>
        <w:rFonts w:ascii="Calibri" w:hAnsi="Calibri" w:hint="default"/>
        <w:b/>
        <w:i w:val="0"/>
        <w:color w:val="8064A2" w:themeColor="accent4"/>
        <w:sz w:val="32"/>
      </w:rPr>
    </w:lvl>
    <w:lvl w:ilvl="1">
      <w:start w:val="1"/>
      <w:numFmt w:val="bullet"/>
      <w:lvlText w:val=""/>
      <w:lvlJc w:val="left"/>
      <w:pPr>
        <w:ind w:left="144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E6A5DA0"/>
    <w:multiLevelType w:val="multilevel"/>
    <w:tmpl w:val="0FDA96B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120603A"/>
    <w:multiLevelType w:val="multilevel"/>
    <w:tmpl w:val="25AEF826"/>
    <w:lvl w:ilvl="0">
      <w:start w:val="1"/>
      <w:numFmt w:val="decimal"/>
      <w:lvlText w:val="%1."/>
      <w:lvlJc w:val="left"/>
      <w:pPr>
        <w:ind w:left="737" w:hanging="737"/>
      </w:pPr>
      <w:rPr>
        <w:rFonts w:ascii="Calibri" w:hAnsi="Calibri" w:hint="default"/>
        <w:b/>
        <w:i w:val="0"/>
        <w:color w:val="8064A2" w:themeColor="accent4"/>
        <w:sz w:val="32"/>
      </w:rPr>
    </w:lvl>
    <w:lvl w:ilvl="1">
      <w:start w:val="1"/>
      <w:numFmt w:val="bullet"/>
      <w:lvlText w:val=""/>
      <w:lvlJc w:val="left"/>
      <w:pPr>
        <w:ind w:left="144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E841293"/>
    <w:multiLevelType w:val="multilevel"/>
    <w:tmpl w:val="83F248D2"/>
    <w:lvl w:ilvl="0">
      <w:start w:val="4"/>
      <w:numFmt w:val="decimal"/>
      <w:lvlText w:val="%1"/>
      <w:lvlJc w:val="left"/>
      <w:pPr>
        <w:ind w:left="360" w:hanging="360"/>
      </w:pPr>
      <w:rPr>
        <w:rFonts w:ascii="Calibri" w:eastAsiaTheme="minorHAnsi" w:hAnsi="Calibri" w:cstheme="minorBidi" w:hint="default"/>
        <w:color w:val="auto"/>
        <w:sz w:val="24"/>
      </w:rPr>
    </w:lvl>
    <w:lvl w:ilvl="1">
      <w:start w:val="8"/>
      <w:numFmt w:val="decimal"/>
      <w:lvlText w:val="%1-%2"/>
      <w:lvlJc w:val="left"/>
      <w:pPr>
        <w:ind w:left="360" w:hanging="360"/>
      </w:pPr>
      <w:rPr>
        <w:rFonts w:ascii="Calibri" w:eastAsiaTheme="minorHAnsi" w:hAnsi="Calibri" w:cstheme="minorBidi" w:hint="default"/>
        <w:color w:val="auto"/>
        <w:sz w:val="24"/>
      </w:rPr>
    </w:lvl>
    <w:lvl w:ilvl="2">
      <w:start w:val="1"/>
      <w:numFmt w:val="decimal"/>
      <w:lvlText w:val="%1-%2.%3"/>
      <w:lvlJc w:val="left"/>
      <w:pPr>
        <w:ind w:left="720" w:hanging="720"/>
      </w:pPr>
      <w:rPr>
        <w:rFonts w:ascii="Calibri" w:eastAsiaTheme="minorHAnsi" w:hAnsi="Calibri" w:cstheme="minorBidi" w:hint="default"/>
        <w:color w:val="auto"/>
        <w:sz w:val="24"/>
      </w:rPr>
    </w:lvl>
    <w:lvl w:ilvl="3">
      <w:start w:val="1"/>
      <w:numFmt w:val="decimal"/>
      <w:lvlText w:val="%1-%2.%3.%4"/>
      <w:lvlJc w:val="left"/>
      <w:pPr>
        <w:ind w:left="720" w:hanging="720"/>
      </w:pPr>
      <w:rPr>
        <w:rFonts w:ascii="Calibri" w:eastAsiaTheme="minorHAnsi" w:hAnsi="Calibri" w:cstheme="minorBidi" w:hint="default"/>
        <w:color w:val="auto"/>
        <w:sz w:val="24"/>
      </w:rPr>
    </w:lvl>
    <w:lvl w:ilvl="4">
      <w:start w:val="1"/>
      <w:numFmt w:val="decimal"/>
      <w:lvlText w:val="%1-%2.%3.%4.%5"/>
      <w:lvlJc w:val="left"/>
      <w:pPr>
        <w:ind w:left="1080" w:hanging="1080"/>
      </w:pPr>
      <w:rPr>
        <w:rFonts w:ascii="Calibri" w:eastAsiaTheme="minorHAnsi" w:hAnsi="Calibri" w:cstheme="minorBidi" w:hint="default"/>
        <w:color w:val="auto"/>
        <w:sz w:val="24"/>
      </w:rPr>
    </w:lvl>
    <w:lvl w:ilvl="5">
      <w:start w:val="1"/>
      <w:numFmt w:val="decimal"/>
      <w:lvlText w:val="%1-%2.%3.%4.%5.%6"/>
      <w:lvlJc w:val="left"/>
      <w:pPr>
        <w:ind w:left="1080" w:hanging="1080"/>
      </w:pPr>
      <w:rPr>
        <w:rFonts w:ascii="Calibri" w:eastAsiaTheme="minorHAnsi" w:hAnsi="Calibri" w:cstheme="minorBidi" w:hint="default"/>
        <w:color w:val="auto"/>
        <w:sz w:val="24"/>
      </w:rPr>
    </w:lvl>
    <w:lvl w:ilvl="6">
      <w:start w:val="1"/>
      <w:numFmt w:val="decimal"/>
      <w:lvlText w:val="%1-%2.%3.%4.%5.%6.%7"/>
      <w:lvlJc w:val="left"/>
      <w:pPr>
        <w:ind w:left="1440" w:hanging="1440"/>
      </w:pPr>
      <w:rPr>
        <w:rFonts w:ascii="Calibri" w:eastAsiaTheme="minorHAnsi" w:hAnsi="Calibri" w:cstheme="minorBidi" w:hint="default"/>
        <w:color w:val="auto"/>
        <w:sz w:val="24"/>
      </w:rPr>
    </w:lvl>
    <w:lvl w:ilvl="7">
      <w:start w:val="1"/>
      <w:numFmt w:val="decimal"/>
      <w:lvlText w:val="%1-%2.%3.%4.%5.%6.%7.%8"/>
      <w:lvlJc w:val="left"/>
      <w:pPr>
        <w:ind w:left="1440" w:hanging="1440"/>
      </w:pPr>
      <w:rPr>
        <w:rFonts w:ascii="Calibri" w:eastAsiaTheme="minorHAnsi" w:hAnsi="Calibri" w:cstheme="minorBidi" w:hint="default"/>
        <w:color w:val="auto"/>
        <w:sz w:val="24"/>
      </w:rPr>
    </w:lvl>
    <w:lvl w:ilvl="8">
      <w:start w:val="1"/>
      <w:numFmt w:val="decimal"/>
      <w:lvlText w:val="%1-%2.%3.%4.%5.%6.%7.%8.%9"/>
      <w:lvlJc w:val="left"/>
      <w:pPr>
        <w:ind w:left="1800" w:hanging="1800"/>
      </w:pPr>
      <w:rPr>
        <w:rFonts w:ascii="Calibri" w:eastAsiaTheme="minorHAnsi" w:hAnsi="Calibri" w:cstheme="minorBidi" w:hint="default"/>
        <w:color w:val="auto"/>
        <w:sz w:val="24"/>
      </w:rPr>
    </w:lvl>
  </w:abstractNum>
  <w:abstractNum w:abstractNumId="18" w15:restartNumberingAfterBreak="0">
    <w:nsid w:val="3F3D3F79"/>
    <w:multiLevelType w:val="hybridMultilevel"/>
    <w:tmpl w:val="8752CA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43C06DD5"/>
    <w:multiLevelType w:val="multilevel"/>
    <w:tmpl w:val="9E048C3E"/>
    <w:lvl w:ilvl="0">
      <w:start w:val="3"/>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20" w15:restartNumberingAfterBreak="0">
    <w:nsid w:val="45493F31"/>
    <w:multiLevelType w:val="multilevel"/>
    <w:tmpl w:val="FEF0C92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5BA467A"/>
    <w:multiLevelType w:val="multilevel"/>
    <w:tmpl w:val="7AFECA1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i w:val="0"/>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ADD4E3E"/>
    <w:multiLevelType w:val="multilevel"/>
    <w:tmpl w:val="25AEF826"/>
    <w:lvl w:ilvl="0">
      <w:start w:val="1"/>
      <w:numFmt w:val="decimal"/>
      <w:lvlText w:val="%1."/>
      <w:lvlJc w:val="left"/>
      <w:pPr>
        <w:ind w:left="737" w:hanging="737"/>
      </w:pPr>
      <w:rPr>
        <w:rFonts w:ascii="Calibri" w:hAnsi="Calibri" w:hint="default"/>
        <w:b/>
        <w:i w:val="0"/>
        <w:color w:val="8064A2" w:themeColor="accent4"/>
        <w:sz w:val="32"/>
      </w:rPr>
    </w:lvl>
    <w:lvl w:ilvl="1">
      <w:start w:val="1"/>
      <w:numFmt w:val="bullet"/>
      <w:lvlText w:val=""/>
      <w:lvlJc w:val="left"/>
      <w:pPr>
        <w:ind w:left="1440" w:hanging="360"/>
      </w:pPr>
      <w:rPr>
        <w:rFonts w:ascii="Symbol" w:hAnsi="Symbol" w:hint="default"/>
        <w:sz w:val="24"/>
      </w:rPr>
    </w:lvl>
    <w:lvl w:ilvl="2">
      <w:start w:val="1"/>
      <w:numFmt w:val="decimal"/>
      <w:lvlText w:val="%1.%2.%3."/>
      <w:lvlJc w:val="left"/>
      <w:pPr>
        <w:ind w:left="1224" w:hanging="504"/>
      </w:pPr>
      <w:rPr>
        <w:rFonts w:hint="default"/>
        <w:sz w:val="24"/>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23" w15:restartNumberingAfterBreak="0">
    <w:nsid w:val="4ADD5630"/>
    <w:multiLevelType w:val="hybridMultilevel"/>
    <w:tmpl w:val="5EAC5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BD15474"/>
    <w:multiLevelType w:val="hybridMultilevel"/>
    <w:tmpl w:val="216CB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CE95BE8"/>
    <w:multiLevelType w:val="multilevel"/>
    <w:tmpl w:val="25AEF826"/>
    <w:lvl w:ilvl="0">
      <w:start w:val="1"/>
      <w:numFmt w:val="decimal"/>
      <w:lvlText w:val="%1."/>
      <w:lvlJc w:val="left"/>
      <w:pPr>
        <w:ind w:left="737" w:hanging="737"/>
      </w:pPr>
      <w:rPr>
        <w:rFonts w:ascii="Calibri" w:hAnsi="Calibri" w:hint="default"/>
        <w:b/>
        <w:i w:val="0"/>
        <w:color w:val="8064A2" w:themeColor="accent4"/>
        <w:sz w:val="32"/>
      </w:rPr>
    </w:lvl>
    <w:lvl w:ilvl="1">
      <w:start w:val="1"/>
      <w:numFmt w:val="bullet"/>
      <w:lvlText w:val=""/>
      <w:lvlJc w:val="left"/>
      <w:pPr>
        <w:ind w:left="144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E86209F"/>
    <w:multiLevelType w:val="hybridMultilevel"/>
    <w:tmpl w:val="03EE1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75E7E4B"/>
    <w:multiLevelType w:val="hybridMultilevel"/>
    <w:tmpl w:val="9FBA3FC4"/>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8" w15:restartNumberingAfterBreak="0">
    <w:nsid w:val="644E4B2B"/>
    <w:multiLevelType w:val="hybridMultilevel"/>
    <w:tmpl w:val="E92A9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4893249"/>
    <w:multiLevelType w:val="hybridMultilevel"/>
    <w:tmpl w:val="B76E9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B347331"/>
    <w:multiLevelType w:val="multilevel"/>
    <w:tmpl w:val="C8E2322A"/>
    <w:lvl w:ilvl="0">
      <w:start w:val="4"/>
      <w:numFmt w:val="decimal"/>
      <w:lvlText w:val="%1"/>
      <w:lvlJc w:val="left"/>
      <w:pPr>
        <w:ind w:left="460" w:hanging="460"/>
      </w:pPr>
      <w:rPr>
        <w:rFonts w:hint="default"/>
      </w:rPr>
    </w:lvl>
    <w:lvl w:ilvl="1">
      <w:start w:val="10"/>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EE22870"/>
    <w:multiLevelType w:val="multilevel"/>
    <w:tmpl w:val="5C848862"/>
    <w:lvl w:ilvl="0">
      <w:start w:val="1"/>
      <w:numFmt w:val="decimal"/>
      <w:lvlText w:val="%1."/>
      <w:lvlJc w:val="left"/>
      <w:pPr>
        <w:ind w:left="360" w:hanging="360"/>
      </w:pPr>
      <w:rPr>
        <w:rFonts w:hint="default"/>
        <w:b w:val="0"/>
        <w:i w:val="0"/>
        <w:color w:val="8064A2" w:themeColor="accent4"/>
        <w:sz w:val="22"/>
      </w:rPr>
    </w:lvl>
    <w:lvl w:ilvl="1">
      <w:start w:val="1"/>
      <w:numFmt w:val="bullet"/>
      <w:lvlText w:val=""/>
      <w:lvlJc w:val="left"/>
      <w:pPr>
        <w:ind w:left="1134" w:hanging="567"/>
      </w:pPr>
      <w:rPr>
        <w:rFonts w:ascii="Wingdings" w:hAnsi="Wingdings" w:hint="default"/>
        <w:color w:val="8064A2" w:themeColor="accent4"/>
      </w:rPr>
    </w:lvl>
    <w:lvl w:ilvl="2">
      <w:start w:val="1"/>
      <w:numFmt w:val="bullet"/>
      <w:lvlText w:val=""/>
      <w:lvlJc w:val="left"/>
      <w:pPr>
        <w:ind w:left="1701" w:hanging="567"/>
      </w:pPr>
      <w:rPr>
        <w:rFonts w:ascii="Wingdings" w:hAnsi="Wingdings" w:hint="default"/>
        <w:color w:val="8064A2" w:themeColor="accent4"/>
      </w:rPr>
    </w:lvl>
    <w:lvl w:ilvl="3">
      <w:start w:val="1"/>
      <w:numFmt w:val="bullet"/>
      <w:lvlText w:val=""/>
      <w:lvlJc w:val="left"/>
      <w:pPr>
        <w:tabs>
          <w:tab w:val="num" w:pos="0"/>
        </w:tabs>
        <w:ind w:left="0" w:firstLine="0"/>
      </w:pPr>
      <w:rPr>
        <w:rFonts w:ascii="Symbol" w:hAnsi="Symbol" w:hint="default"/>
      </w:rPr>
    </w:lvl>
    <w:lvl w:ilvl="4">
      <w:start w:val="1"/>
      <w:numFmt w:val="bullet"/>
      <w:lvlText w:val="o"/>
      <w:lvlJc w:val="left"/>
      <w:pPr>
        <w:tabs>
          <w:tab w:val="num" w:pos="0"/>
        </w:tabs>
        <w:ind w:left="0" w:firstLine="0"/>
      </w:pPr>
      <w:rPr>
        <w:rFonts w:ascii="Courier New" w:hAnsi="Courier New" w:cs="Courier New" w:hint="default"/>
      </w:rPr>
    </w:lvl>
    <w:lvl w:ilvl="5">
      <w:start w:val="1"/>
      <w:numFmt w:val="bullet"/>
      <w:lvlText w:val=""/>
      <w:lvlJc w:val="left"/>
      <w:pPr>
        <w:tabs>
          <w:tab w:val="num" w:pos="0"/>
        </w:tabs>
        <w:ind w:left="0" w:firstLine="0"/>
      </w:pPr>
      <w:rPr>
        <w:rFonts w:ascii="Wingdings" w:hAnsi="Wingdings" w:hint="default"/>
      </w:rPr>
    </w:lvl>
    <w:lvl w:ilvl="6">
      <w:start w:val="1"/>
      <w:numFmt w:val="bullet"/>
      <w:lvlText w:val=""/>
      <w:lvlJc w:val="left"/>
      <w:pPr>
        <w:tabs>
          <w:tab w:val="num" w:pos="0"/>
        </w:tabs>
        <w:ind w:left="0" w:firstLine="0"/>
      </w:pPr>
      <w:rPr>
        <w:rFonts w:ascii="Symbol" w:hAnsi="Symbol" w:hint="default"/>
      </w:rPr>
    </w:lvl>
    <w:lvl w:ilvl="7">
      <w:start w:val="1"/>
      <w:numFmt w:val="bullet"/>
      <w:lvlText w:val="o"/>
      <w:lvlJc w:val="left"/>
      <w:pPr>
        <w:tabs>
          <w:tab w:val="num" w:pos="0"/>
        </w:tabs>
        <w:ind w:left="0" w:firstLine="0"/>
      </w:pPr>
      <w:rPr>
        <w:rFonts w:ascii="Courier New" w:hAnsi="Courier New" w:cs="Courier New" w:hint="default"/>
      </w:rPr>
    </w:lvl>
    <w:lvl w:ilvl="8">
      <w:start w:val="1"/>
      <w:numFmt w:val="bullet"/>
      <w:lvlText w:val=""/>
      <w:lvlJc w:val="left"/>
      <w:pPr>
        <w:tabs>
          <w:tab w:val="num" w:pos="0"/>
        </w:tabs>
        <w:ind w:left="0" w:firstLine="0"/>
      </w:pPr>
      <w:rPr>
        <w:rFonts w:ascii="Wingdings" w:hAnsi="Wingdings" w:hint="default"/>
      </w:rPr>
    </w:lvl>
  </w:abstractNum>
  <w:abstractNum w:abstractNumId="32" w15:restartNumberingAfterBreak="0">
    <w:nsid w:val="7BF24139"/>
    <w:multiLevelType w:val="multilevel"/>
    <w:tmpl w:val="25AEF826"/>
    <w:lvl w:ilvl="0">
      <w:start w:val="1"/>
      <w:numFmt w:val="decimal"/>
      <w:lvlText w:val="%1."/>
      <w:lvlJc w:val="left"/>
      <w:pPr>
        <w:ind w:left="737" w:hanging="737"/>
      </w:pPr>
      <w:rPr>
        <w:rFonts w:ascii="Calibri" w:hAnsi="Calibri" w:hint="default"/>
        <w:b/>
        <w:i w:val="0"/>
        <w:color w:val="8064A2" w:themeColor="accent4"/>
        <w:sz w:val="32"/>
      </w:rPr>
    </w:lvl>
    <w:lvl w:ilvl="1">
      <w:start w:val="1"/>
      <w:numFmt w:val="bullet"/>
      <w:lvlText w:val=""/>
      <w:lvlJc w:val="left"/>
      <w:pPr>
        <w:ind w:left="144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7"/>
  </w:num>
  <w:num w:numId="2">
    <w:abstractNumId w:val="21"/>
  </w:num>
  <w:num w:numId="3">
    <w:abstractNumId w:val="25"/>
  </w:num>
  <w:num w:numId="4">
    <w:abstractNumId w:val="0"/>
  </w:num>
  <w:num w:numId="5">
    <w:abstractNumId w:val="10"/>
  </w:num>
  <w:num w:numId="6">
    <w:abstractNumId w:val="5"/>
  </w:num>
  <w:num w:numId="7">
    <w:abstractNumId w:val="20"/>
  </w:num>
  <w:num w:numId="8">
    <w:abstractNumId w:val="4"/>
  </w:num>
  <w:num w:numId="9">
    <w:abstractNumId w:val="19"/>
  </w:num>
  <w:num w:numId="10">
    <w:abstractNumId w:val="27"/>
  </w:num>
  <w:num w:numId="11">
    <w:abstractNumId w:val="22"/>
  </w:num>
  <w:num w:numId="12">
    <w:abstractNumId w:val="18"/>
  </w:num>
  <w:num w:numId="13">
    <w:abstractNumId w:val="32"/>
  </w:num>
  <w:num w:numId="14">
    <w:abstractNumId w:val="11"/>
  </w:num>
  <w:num w:numId="15">
    <w:abstractNumId w:val="15"/>
  </w:num>
  <w:num w:numId="16">
    <w:abstractNumId w:val="3"/>
  </w:num>
  <w:num w:numId="17">
    <w:abstractNumId w:val="14"/>
  </w:num>
  <w:num w:numId="18">
    <w:abstractNumId w:val="8"/>
  </w:num>
  <w:num w:numId="19">
    <w:abstractNumId w:val="13"/>
  </w:num>
  <w:num w:numId="20">
    <w:abstractNumId w:val="2"/>
  </w:num>
  <w:num w:numId="21">
    <w:abstractNumId w:val="1"/>
  </w:num>
  <w:num w:numId="22">
    <w:abstractNumId w:val="17"/>
  </w:num>
  <w:num w:numId="23">
    <w:abstractNumId w:val="9"/>
  </w:num>
  <w:num w:numId="24">
    <w:abstractNumId w:val="26"/>
  </w:num>
  <w:num w:numId="25">
    <w:abstractNumId w:val="12"/>
  </w:num>
  <w:num w:numId="26">
    <w:abstractNumId w:val="23"/>
  </w:num>
  <w:num w:numId="27">
    <w:abstractNumId w:val="29"/>
  </w:num>
  <w:num w:numId="28">
    <w:abstractNumId w:val="28"/>
  </w:num>
  <w:num w:numId="29">
    <w:abstractNumId w:val="6"/>
  </w:num>
  <w:num w:numId="30">
    <w:abstractNumId w:val="31"/>
  </w:num>
  <w:num w:numId="31">
    <w:abstractNumId w:val="30"/>
  </w:num>
  <w:num w:numId="32">
    <w:abstractNumId w:val="16"/>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C14"/>
    <w:rsid w:val="00056FE6"/>
    <w:rsid w:val="000773C7"/>
    <w:rsid w:val="00077423"/>
    <w:rsid w:val="001721D6"/>
    <w:rsid w:val="001C49ED"/>
    <w:rsid w:val="002C3817"/>
    <w:rsid w:val="002E0AD8"/>
    <w:rsid w:val="00331633"/>
    <w:rsid w:val="00367655"/>
    <w:rsid w:val="00380D4C"/>
    <w:rsid w:val="00411AE8"/>
    <w:rsid w:val="00415889"/>
    <w:rsid w:val="00453A87"/>
    <w:rsid w:val="004B14C6"/>
    <w:rsid w:val="004B3C14"/>
    <w:rsid w:val="004E1ABD"/>
    <w:rsid w:val="00503600"/>
    <w:rsid w:val="0051487C"/>
    <w:rsid w:val="0052370C"/>
    <w:rsid w:val="0057791F"/>
    <w:rsid w:val="005E0EB4"/>
    <w:rsid w:val="00603D62"/>
    <w:rsid w:val="00626C3D"/>
    <w:rsid w:val="007A5465"/>
    <w:rsid w:val="007E3546"/>
    <w:rsid w:val="008753DC"/>
    <w:rsid w:val="008E23CD"/>
    <w:rsid w:val="00A45C8B"/>
    <w:rsid w:val="00A66E7D"/>
    <w:rsid w:val="00A832C2"/>
    <w:rsid w:val="00B00E98"/>
    <w:rsid w:val="00B0660C"/>
    <w:rsid w:val="00B455FF"/>
    <w:rsid w:val="00BB148C"/>
    <w:rsid w:val="00C51CC2"/>
    <w:rsid w:val="00C615FD"/>
    <w:rsid w:val="00D000D7"/>
    <w:rsid w:val="00D8144D"/>
    <w:rsid w:val="00D822CC"/>
    <w:rsid w:val="00DF6F9D"/>
    <w:rsid w:val="00EB4BE8"/>
    <w:rsid w:val="00F66058"/>
    <w:rsid w:val="00F67B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405620"/>
  <w15:docId w15:val="{EF80A612-FD40-6F46-9AD7-7F7BF5FC4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14C6"/>
    <w:pPr>
      <w:spacing w:after="0"/>
    </w:pPr>
    <w:rPr>
      <w:rFonts w:ascii="Arial" w:hAnsi="Arial"/>
      <w:color w:val="000000" w:themeColor="text1"/>
    </w:rPr>
  </w:style>
  <w:style w:type="paragraph" w:styleId="Heading1">
    <w:name w:val="heading 1"/>
    <w:basedOn w:val="Normal"/>
    <w:next w:val="Normal"/>
    <w:link w:val="Heading1Char"/>
    <w:uiPriority w:val="9"/>
    <w:qFormat/>
    <w:rsid w:val="004B14C6"/>
    <w:pPr>
      <w:keepNext/>
      <w:keepLines/>
      <w:spacing w:before="14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4B14C6"/>
    <w:pPr>
      <w:keepNext/>
      <w:keepLines/>
      <w:spacing w:before="40"/>
      <w:outlineLvl w:val="1"/>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B00E98"/>
    <w:pPr>
      <w:tabs>
        <w:tab w:val="left" w:pos="660"/>
        <w:tab w:val="left" w:pos="851"/>
        <w:tab w:val="right" w:leader="dot" w:pos="9017"/>
      </w:tabs>
      <w:spacing w:after="100" w:line="240" w:lineRule="auto"/>
    </w:pPr>
    <w:rPr>
      <w:rFonts w:eastAsia="Times New Roman"/>
      <w:b/>
      <w:noProof/>
    </w:rPr>
  </w:style>
  <w:style w:type="paragraph" w:styleId="Header">
    <w:name w:val="header"/>
    <w:basedOn w:val="Normal"/>
    <w:link w:val="HeaderChar"/>
    <w:uiPriority w:val="99"/>
    <w:unhideWhenUsed/>
    <w:rsid w:val="00D822CC"/>
    <w:pPr>
      <w:tabs>
        <w:tab w:val="center" w:pos="4513"/>
        <w:tab w:val="right" w:pos="9026"/>
      </w:tabs>
      <w:spacing w:line="240" w:lineRule="auto"/>
    </w:pPr>
  </w:style>
  <w:style w:type="character" w:customStyle="1" w:styleId="HeaderChar">
    <w:name w:val="Header Char"/>
    <w:basedOn w:val="DefaultParagraphFont"/>
    <w:link w:val="Header"/>
    <w:uiPriority w:val="99"/>
    <w:rsid w:val="00D822CC"/>
  </w:style>
  <w:style w:type="paragraph" w:styleId="Footer">
    <w:name w:val="footer"/>
    <w:basedOn w:val="Normal"/>
    <w:link w:val="FooterChar"/>
    <w:uiPriority w:val="99"/>
    <w:unhideWhenUsed/>
    <w:rsid w:val="00D822CC"/>
    <w:pPr>
      <w:tabs>
        <w:tab w:val="center" w:pos="4513"/>
        <w:tab w:val="right" w:pos="9026"/>
      </w:tabs>
      <w:spacing w:line="240" w:lineRule="auto"/>
    </w:pPr>
  </w:style>
  <w:style w:type="character" w:customStyle="1" w:styleId="FooterChar">
    <w:name w:val="Footer Char"/>
    <w:basedOn w:val="DefaultParagraphFont"/>
    <w:link w:val="Footer"/>
    <w:uiPriority w:val="99"/>
    <w:rsid w:val="00D822CC"/>
  </w:style>
  <w:style w:type="table" w:customStyle="1" w:styleId="TableGrid1">
    <w:name w:val="Table Grid1"/>
    <w:basedOn w:val="TableNormal"/>
    <w:next w:val="TableGrid"/>
    <w:uiPriority w:val="59"/>
    <w:rsid w:val="00D82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82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822C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2CC"/>
    <w:rPr>
      <w:rFonts w:ascii="Tahoma" w:hAnsi="Tahoma" w:cs="Tahoma"/>
      <w:sz w:val="16"/>
      <w:szCs w:val="16"/>
    </w:rPr>
  </w:style>
  <w:style w:type="character" w:customStyle="1" w:styleId="Heading1Char">
    <w:name w:val="Heading 1 Char"/>
    <w:basedOn w:val="DefaultParagraphFont"/>
    <w:link w:val="Heading1"/>
    <w:uiPriority w:val="9"/>
    <w:rsid w:val="004B14C6"/>
    <w:rPr>
      <w:rFonts w:ascii="Arial" w:eastAsiaTheme="majorEastAsia" w:hAnsi="Arial" w:cstheme="majorBidi"/>
      <w:b/>
      <w:bCs/>
      <w:color w:val="000000" w:themeColor="text1"/>
      <w:szCs w:val="28"/>
    </w:rPr>
  </w:style>
  <w:style w:type="character" w:customStyle="1" w:styleId="Heading2Char">
    <w:name w:val="Heading 2 Char"/>
    <w:basedOn w:val="DefaultParagraphFont"/>
    <w:link w:val="Heading2"/>
    <w:uiPriority w:val="9"/>
    <w:rsid w:val="004B14C6"/>
    <w:rPr>
      <w:rFonts w:ascii="Arial" w:eastAsiaTheme="majorEastAsia" w:hAnsi="Arial" w:cstheme="majorBidi"/>
      <w:b/>
      <w:bCs/>
      <w:color w:val="000000" w:themeColor="text1"/>
      <w:szCs w:val="26"/>
    </w:rPr>
  </w:style>
  <w:style w:type="paragraph" w:styleId="ListParagraph">
    <w:name w:val="List Paragraph"/>
    <w:basedOn w:val="Normal"/>
    <w:uiPriority w:val="34"/>
    <w:qFormat/>
    <w:rsid w:val="005E0EB4"/>
    <w:pPr>
      <w:ind w:left="720"/>
      <w:contextualSpacing/>
    </w:pPr>
  </w:style>
  <w:style w:type="paragraph" w:customStyle="1" w:styleId="NDHTBodyText">
    <w:name w:val="NDHT Body Text"/>
    <w:basedOn w:val="Normal"/>
    <w:link w:val="NDHTBodyTextChar"/>
    <w:qFormat/>
    <w:rsid w:val="001C49ED"/>
    <w:pPr>
      <w:keepLines/>
      <w:spacing w:after="240" w:line="240" w:lineRule="auto"/>
      <w:ind w:left="737" w:hanging="737"/>
    </w:pPr>
    <w:rPr>
      <w:rFonts w:ascii="Calibri" w:hAnsi="Calibri"/>
      <w:color w:val="auto"/>
      <w:sz w:val="24"/>
    </w:rPr>
  </w:style>
  <w:style w:type="character" w:customStyle="1" w:styleId="NDHTBodyTextChar">
    <w:name w:val="NDHT Body Text Char"/>
    <w:basedOn w:val="DefaultParagraphFont"/>
    <w:link w:val="NDHTBodyText"/>
    <w:rsid w:val="001C49ED"/>
    <w:rPr>
      <w:rFonts w:ascii="Calibri" w:hAnsi="Calibri"/>
      <w:sz w:val="24"/>
    </w:rPr>
  </w:style>
  <w:style w:type="paragraph" w:customStyle="1" w:styleId="NDHTBullet1">
    <w:name w:val="NDHT Bullet 1"/>
    <w:basedOn w:val="ListParagraph"/>
    <w:link w:val="NDHTBullet1Char"/>
    <w:qFormat/>
    <w:rsid w:val="00503600"/>
    <w:pPr>
      <w:keepLines/>
      <w:numPr>
        <w:numId w:val="4"/>
      </w:numPr>
      <w:spacing w:after="120" w:line="240" w:lineRule="auto"/>
    </w:pPr>
    <w:rPr>
      <w:rFonts w:ascii="Calibri" w:hAnsi="Calibri"/>
      <w:color w:val="auto"/>
      <w:sz w:val="24"/>
    </w:rPr>
  </w:style>
  <w:style w:type="paragraph" w:customStyle="1" w:styleId="NDHTBullet2">
    <w:name w:val="NDHT Bullet 2"/>
    <w:basedOn w:val="ListParagraph"/>
    <w:link w:val="NDHTBullet2Char"/>
    <w:qFormat/>
    <w:rsid w:val="00503600"/>
    <w:pPr>
      <w:numPr>
        <w:ilvl w:val="1"/>
        <w:numId w:val="4"/>
      </w:numPr>
      <w:spacing w:after="120" w:line="240" w:lineRule="auto"/>
    </w:pPr>
    <w:rPr>
      <w:rFonts w:ascii="Calibri" w:hAnsi="Calibri"/>
      <w:color w:val="auto"/>
      <w:sz w:val="24"/>
    </w:rPr>
  </w:style>
  <w:style w:type="character" w:customStyle="1" w:styleId="NDHTBullet1Char">
    <w:name w:val="NDHT Bullet 1 Char"/>
    <w:basedOn w:val="DefaultParagraphFont"/>
    <w:link w:val="NDHTBullet1"/>
    <w:rsid w:val="00503600"/>
    <w:rPr>
      <w:rFonts w:ascii="Calibri" w:hAnsi="Calibri"/>
      <w:sz w:val="24"/>
    </w:rPr>
  </w:style>
  <w:style w:type="paragraph" w:customStyle="1" w:styleId="NDHTBullet3">
    <w:name w:val="NDHT Bullet 3"/>
    <w:basedOn w:val="NDHTBullet1"/>
    <w:qFormat/>
    <w:rsid w:val="00503600"/>
    <w:pPr>
      <w:numPr>
        <w:ilvl w:val="2"/>
      </w:numPr>
      <w:ind w:left="720" w:hanging="720"/>
    </w:pPr>
  </w:style>
  <w:style w:type="character" w:customStyle="1" w:styleId="NDHTBullet2Char">
    <w:name w:val="NDHT Bullet 2 Char"/>
    <w:basedOn w:val="DefaultParagraphFont"/>
    <w:link w:val="NDHTBullet2"/>
    <w:rsid w:val="00453A87"/>
    <w:rPr>
      <w:rFonts w:ascii="Calibri" w:hAnsi="Calibri"/>
      <w:sz w:val="24"/>
    </w:rPr>
  </w:style>
  <w:style w:type="character" w:styleId="CommentReference">
    <w:name w:val="annotation reference"/>
    <w:basedOn w:val="DefaultParagraphFont"/>
    <w:uiPriority w:val="99"/>
    <w:semiHidden/>
    <w:unhideWhenUsed/>
    <w:rsid w:val="002E0AD8"/>
    <w:rPr>
      <w:sz w:val="16"/>
      <w:szCs w:val="16"/>
    </w:rPr>
  </w:style>
  <w:style w:type="paragraph" w:customStyle="1" w:styleId="TableStyle1">
    <w:name w:val="Table Style 1"/>
    <w:rsid w:val="002E0AD8"/>
    <w:pPr>
      <w:pBdr>
        <w:top w:val="nil"/>
        <w:left w:val="nil"/>
        <w:bottom w:val="nil"/>
        <w:right w:val="nil"/>
        <w:between w:val="nil"/>
        <w:bar w:val="nil"/>
      </w:pBdr>
      <w:spacing w:after="0" w:line="240" w:lineRule="auto"/>
    </w:pPr>
    <w:rPr>
      <w:rFonts w:ascii="Helvetica" w:eastAsia="Helvetica" w:hAnsi="Helvetica" w:cs="Helvetica"/>
      <w:b/>
      <w:bCs/>
      <w:color w:val="000000"/>
      <w:sz w:val="20"/>
      <w:szCs w:val="20"/>
      <w:u w:color="000000"/>
      <w:bdr w:val="nil"/>
      <w:lang w:eastAsia="en-GB"/>
    </w:rPr>
  </w:style>
  <w:style w:type="paragraph" w:customStyle="1" w:styleId="TableStyle2">
    <w:name w:val="Table Style 2"/>
    <w:rsid w:val="002E0AD8"/>
    <w:pPr>
      <w:pBdr>
        <w:top w:val="nil"/>
        <w:left w:val="nil"/>
        <w:bottom w:val="nil"/>
        <w:right w:val="nil"/>
        <w:between w:val="nil"/>
        <w:bar w:val="nil"/>
      </w:pBdr>
      <w:spacing w:after="0" w:line="240" w:lineRule="auto"/>
    </w:pPr>
    <w:rPr>
      <w:rFonts w:ascii="Helvetica" w:eastAsia="Helvetica" w:hAnsi="Helvetica" w:cs="Helvetica"/>
      <w:color w:val="000000"/>
      <w:sz w:val="20"/>
      <w:szCs w:val="20"/>
      <w:u w:color="000000"/>
      <w:bdr w:val="nil"/>
      <w:lang w:eastAsia="en-GB"/>
    </w:rPr>
  </w:style>
  <w:style w:type="character" w:styleId="Hyperlink">
    <w:name w:val="Hyperlink"/>
    <w:basedOn w:val="DefaultParagraphFont"/>
    <w:uiPriority w:val="99"/>
    <w:unhideWhenUsed/>
    <w:rsid w:val="002C3817"/>
    <w:rPr>
      <w:color w:val="0000FF" w:themeColor="hyperlink"/>
      <w:u w:val="single"/>
    </w:rPr>
  </w:style>
  <w:style w:type="character" w:customStyle="1" w:styleId="apple-converted-space">
    <w:name w:val="apple-converted-space"/>
    <w:basedOn w:val="DefaultParagraphFont"/>
    <w:rsid w:val="002C3817"/>
  </w:style>
  <w:style w:type="paragraph" w:customStyle="1" w:styleId="Default">
    <w:name w:val="Default"/>
    <w:rsid w:val="002C3817"/>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lang w:val="en-US" w:eastAsia="en-GB"/>
    </w:rPr>
  </w:style>
  <w:style w:type="table" w:customStyle="1" w:styleId="TableGrid2">
    <w:name w:val="Table Grid2"/>
    <w:basedOn w:val="TableNormal"/>
    <w:next w:val="TableGrid"/>
    <w:uiPriority w:val="59"/>
    <w:rsid w:val="002C3817"/>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2C3817"/>
    <w:pPr>
      <w:spacing w:after="120" w:line="240" w:lineRule="auto"/>
    </w:pPr>
    <w:rPr>
      <w:rFonts w:ascii="Calibri" w:hAnsi="Calibri"/>
      <w:color w:val="auto"/>
      <w:sz w:val="20"/>
      <w:szCs w:val="20"/>
    </w:rPr>
  </w:style>
  <w:style w:type="character" w:customStyle="1" w:styleId="CommentTextChar">
    <w:name w:val="Comment Text Char"/>
    <w:basedOn w:val="DefaultParagraphFont"/>
    <w:link w:val="CommentText"/>
    <w:uiPriority w:val="99"/>
    <w:semiHidden/>
    <w:rsid w:val="002C3817"/>
    <w:rPr>
      <w:rFonts w:ascii="Calibri" w:hAnsi="Calibri"/>
      <w:sz w:val="20"/>
      <w:szCs w:val="20"/>
    </w:rPr>
  </w:style>
  <w:style w:type="paragraph" w:styleId="CommentSubject">
    <w:name w:val="annotation subject"/>
    <w:basedOn w:val="CommentText"/>
    <w:next w:val="CommentText"/>
    <w:link w:val="CommentSubjectChar"/>
    <w:uiPriority w:val="99"/>
    <w:unhideWhenUsed/>
    <w:rsid w:val="002C3817"/>
    <w:rPr>
      <w:b/>
      <w:bCs/>
    </w:rPr>
  </w:style>
  <w:style w:type="character" w:customStyle="1" w:styleId="CommentSubjectChar">
    <w:name w:val="Comment Subject Char"/>
    <w:basedOn w:val="CommentTextChar"/>
    <w:link w:val="CommentSubject"/>
    <w:uiPriority w:val="99"/>
    <w:rsid w:val="002C3817"/>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ndht.ndevon.swest.nhs.uk/unlicensed-medicines-policy/"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ndht.ndevon.swest.nhs.uk/covert-administration-of-medicines-standard-operating-procedur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ndht.ndevon.swest.nhs.uk/medicines-policy/" TargetMode="External"/><Relationship Id="rId5" Type="http://schemas.openxmlformats.org/officeDocument/2006/relationships/footnotes" Target="footnotes.xml"/><Relationship Id="rId15" Type="http://schemas.openxmlformats.org/officeDocument/2006/relationships/hyperlink" Target="http://ndht.ndevon.swest.nhs.uk/2012/04/consent-policy/" TargetMode="Externa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ndht.ndevon.swet.nhs.uk/mental-capacity-act-polic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3138</Words>
  <Characters>17892</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Royal Devon and Exeter NHS Foundation Trust</Company>
  <LinksUpToDate>false</LinksUpToDate>
  <CharactersWithSpaces>20989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HillmanJ</dc:creator>
  <cp:lastModifiedBy>Wearne, Daniel</cp:lastModifiedBy>
  <cp:revision>3</cp:revision>
  <dcterms:created xsi:type="dcterms:W3CDTF">2022-09-20T08:34:00Z</dcterms:created>
  <dcterms:modified xsi:type="dcterms:W3CDTF">2023-01-12T08:53:00Z</dcterms:modified>
</cp:coreProperties>
</file>