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客戶洗錢風險事件摘要模型</w:t>
      </w:r>
    </w:p>
    <w:p>
      <w:pPr>
        <w:pStyle w:val="Title"/>
      </w:pPr>
      <w:r>
        <w:t xml:space="preserve">專案基本資料 (00_meta)</w:t>
      </w:r>
    </w:p>
    <w:p>
      <w:pPr>
        <w:spacing w:before="200" w:after="200"/>
      </w:pPr>
      <w:r>
        <w:rPr>
          <w:b/>
          <w:bCs/>
        </w:rPr>
        <w:t xml:space="preserve">建立日期: </w:t>
      </w:r>
      <w:r>
        <w:t xml:space="preserve">2025-11-14</w:t>
      </w:r>
      <w:r>
        <w:rPr>
          <w:b/>
          <w:bCs/>
        </w:rPr>
        <w:t xml:space="preserve"> | 文件版本: </w:t>
      </w:r>
      <w:r>
        <w:t xml:space="preserve">1.0.0</w:t>
      </w:r>
    </w:p>
    <w:p>
      <w:r>
        <w:br w:type="page"/>
      </w:r>
    </w:p>
    <w:p>
      <w:pPr>
        <w:pStyle w:val="Heading1"/>
      </w:pPr>
      <w:r>
        <w:t xml:space="preserve">專案總覽</w:t>
      </w:r>
    </w:p>
    <w:p>
      <w:pPr>
        <w:pStyle w:val="Heading2"/>
      </w:pPr>
      <w:r>
        <w:t xml:space="preserve">專案識別資訊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專案代號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RISK-AML-MDL-001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專案名稱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客戶洗錢風險事件摘要模型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英文名稱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AML Risk Event Summary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發起單位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法遵部 / 風控部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專案類型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新系統開發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專案性質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監理申報 / 法遵要求 / 風險控制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關鍵時程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預定日期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備註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需求確認完成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2025-12-15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規劃中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包含模型設計與資料需求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設計審查通過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2026-01-31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規劃中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技術架構與模型演算法審查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開發完成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2026-04-15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規劃中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含單元測試與整合測試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UAT 測試完成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2026-05-15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規劃中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法遵部與風控部驗收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正式上線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2026-05-31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規劃中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配合監理申報時程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預期效益</w:t>
      </w:r>
    </w:p>
    <w:p>
      <w:pPr>
        <w:pStyle w:val="Heading3"/>
      </w:pPr>
      <w:r>
        <w:t xml:space="preserve">量化效益</w:t>
      </w:r>
    </w:p>
    <w:p>
      <w:pPr>
        <w:pStyle w:val="ListParagraph"/>
        <w:numPr>
          <w:ilvl w:val="0"/>
          <w:numId w:val="2"/>
        </w:numPr>
      </w:pPr>
      <w:r>
        <w:t xml:space="preserve">減少人工風險分析時間: 預估節省 60% 以上</w:t>
      </w:r>
    </w:p>
    <w:p>
      <w:pPr>
        <w:pStyle w:val="ListParagraph"/>
        <w:numPr>
          <w:ilvl w:val="0"/>
          <w:numId w:val="2"/>
        </w:numPr>
      </w:pPr>
      <w:r>
        <w:t xml:space="preserve">提升洗錢風險識別準確率: 目標提升至 85% 以上</w:t>
      </w:r>
    </w:p>
    <w:p>
      <w:pPr>
        <w:pStyle w:val="ListParagraph"/>
        <w:numPr>
          <w:ilvl w:val="0"/>
          <w:numId w:val="2"/>
        </w:numPr>
      </w:pPr>
      <w:r>
        <w:t xml:space="preserve">加速風險事件摘要產出: 從 3 天縮短至即時生成</w:t>
      </w:r>
    </w:p>
    <w:p>
      <w:pPr>
        <w:spacing w:before="150"/>
      </w:pPr>
    </w:p>
    <w:p>
      <w:pPr>
        <w:pStyle w:val="Heading3"/>
      </w:pPr>
      <w:r>
        <w:t xml:space="preserve">質化效益</w:t>
      </w:r>
    </w:p>
    <w:p>
      <w:pPr>
        <w:pStyle w:val="ListParagraph"/>
        <w:numPr>
          <w:ilvl w:val="0"/>
          <w:numId w:val="2"/>
        </w:numPr>
      </w:pPr>
      <w:r>
        <w:t xml:space="preserve">符合金融監理機關反洗錢法規要求</w:t>
      </w:r>
    </w:p>
    <w:p>
      <w:pPr>
        <w:pStyle w:val="ListParagraph"/>
        <w:numPr>
          <w:ilvl w:val="0"/>
          <w:numId w:val="2"/>
        </w:numPr>
      </w:pPr>
      <w:r>
        <w:t xml:space="preserve">強化客戶風險管控能力，降低法遵風險</w:t>
      </w:r>
    </w:p>
    <w:p>
      <w:pPr>
        <w:pStyle w:val="ListParagraph"/>
        <w:numPr>
          <w:ilvl w:val="0"/>
          <w:numId w:val="2"/>
        </w:numPr>
      </w:pPr>
      <w:r>
        <w:t xml:space="preserve">提供管理層即時風險儀表板，支援決策</w:t>
      </w:r>
    </w:p>
    <w:p>
      <w:pPr>
        <w:pStyle w:val="ListParagraph"/>
        <w:numPr>
          <w:ilvl w:val="0"/>
          <w:numId w:val="2"/>
        </w:numPr>
      </w:pPr>
      <w:r>
        <w:t xml:space="preserve">建立可追溯的風險評估記錄，滿足稽核要求</w:t>
      </w:r>
    </w:p>
    <w:p>
      <w:r>
        <w:br w:type="page"/>
      </w:r>
    </w:p>
    <w:p>
      <w:pPr>
        <w:pStyle w:val="Heading1"/>
      </w:pPr>
      <w:r>
        <w:t xml:space="preserve">專案背景</w:t>
      </w:r>
    </w:p>
    <w:p>
      <w:pPr>
        <w:pStyle w:val="Heading2"/>
      </w:pPr>
      <w:r>
        <w:t xml:space="preserve">問題陳述</w:t>
      </w:r>
    </w:p>
    <w:p>
      <w:r>
        <w:rPr>
          <w:b/>
          <w:bCs/>
        </w:rPr>
        <w:t xml:space="preserve">現行痛點:</w:t>
      </w:r>
    </w:p>
    <w:p>
      <w:pPr>
        <w:pStyle w:val="ListParagraph"/>
        <w:numPr>
          <w:ilvl w:val="0"/>
          <w:numId w:val="2"/>
        </w:numPr>
      </w:pPr>
      <w:r>
        <w:t xml:space="preserve">客戶洗錢風險事件分散於多個系統，缺乏整合性摘要</w:t>
      </w:r>
    </w:p>
    <w:p>
      <w:pPr>
        <w:pStyle w:val="ListParagraph"/>
        <w:numPr>
          <w:ilvl w:val="0"/>
          <w:numId w:val="2"/>
        </w:numPr>
      </w:pPr>
      <w:r>
        <w:t xml:space="preserve">人工彙整風險事件耗時且容易遺漏關鍵資訊</w:t>
      </w:r>
    </w:p>
    <w:p>
      <w:pPr>
        <w:pStyle w:val="ListParagraph"/>
        <w:numPr>
          <w:ilvl w:val="0"/>
          <w:numId w:val="2"/>
        </w:numPr>
      </w:pPr>
      <w:r>
        <w:t xml:space="preserve">風險評分標準不一致，依賴人工判斷，缺乏客觀性</w:t>
      </w:r>
    </w:p>
    <w:p>
      <w:pPr>
        <w:pStyle w:val="ListParagraph"/>
        <w:numPr>
          <w:ilvl w:val="0"/>
          <w:numId w:val="2"/>
        </w:numPr>
      </w:pPr>
      <w:r>
        <w:t xml:space="preserve">無法即時掌握高風險客戶動態，影響預警能力</w:t>
      </w:r>
    </w:p>
    <w:p>
      <w:pPr>
        <w:pStyle w:val="ListParagraph"/>
        <w:numPr>
          <w:ilvl w:val="0"/>
          <w:numId w:val="2"/>
        </w:numPr>
      </w:pPr>
      <w:r>
        <w:t xml:space="preserve">監理申報準備作業繁複，資料品質難以保證</w:t>
      </w:r>
    </w:p>
    <w:p>
      <w:pPr>
        <w:spacing w:before="200"/>
      </w:pPr>
    </w:p>
    <w:p>
      <w:pPr>
        <w:pStyle w:val="Heading2"/>
      </w:pPr>
      <w:r>
        <w:t xml:space="preserve">業務驅動因素</w:t>
      </w:r>
    </w:p>
    <w:p>
      <w:pPr>
        <w:pStyle w:val="Heading3"/>
      </w:pPr>
      <w:r>
        <w:t xml:space="preserve">法規要求</w:t>
      </w:r>
    </w:p>
    <w:p>
      <w:pPr>
        <w:pStyle w:val="ListParagraph"/>
        <w:numPr>
          <w:ilvl w:val="0"/>
          <w:numId w:val="2"/>
        </w:numPr>
      </w:pPr>
      <w:r>
        <w:t xml:space="preserve">遵循《洗錢防制法》及相關子法規定</w:t>
      </w:r>
    </w:p>
    <w:p>
      <w:pPr>
        <w:pStyle w:val="ListParagraph"/>
        <w:numPr>
          <w:ilvl w:val="0"/>
          <w:numId w:val="2"/>
        </w:numPr>
      </w:pPr>
      <w:r>
        <w:t xml:space="preserve">滿足金融監理機關（如金管會）對於洗錢防制的監理要求</w:t>
      </w:r>
    </w:p>
    <w:p>
      <w:pPr>
        <w:pStyle w:val="ListParagraph"/>
        <w:numPr>
          <w:ilvl w:val="0"/>
          <w:numId w:val="2"/>
        </w:numPr>
      </w:pPr>
      <w:r>
        <w:t xml:space="preserve">配合國際反洗錢標準（FATF 建議）的持續演進</w:t>
      </w:r>
    </w:p>
    <w:p>
      <w:pPr>
        <w:spacing w:before="150"/>
      </w:pPr>
    </w:p>
    <w:p>
      <w:pPr>
        <w:pStyle w:val="Heading3"/>
      </w:pPr>
      <w:r>
        <w:t xml:space="preserve">風險管理需求</w:t>
      </w:r>
    </w:p>
    <w:p>
      <w:pPr>
        <w:pStyle w:val="ListParagraph"/>
        <w:numPr>
          <w:ilvl w:val="0"/>
          <w:numId w:val="2"/>
        </w:numPr>
      </w:pPr>
      <w:r>
        <w:t xml:space="preserve">強化客戶風險分級管理機制</w:t>
      </w:r>
    </w:p>
    <w:p>
      <w:pPr>
        <w:pStyle w:val="ListParagraph"/>
        <w:numPr>
          <w:ilvl w:val="0"/>
          <w:numId w:val="2"/>
        </w:numPr>
      </w:pPr>
      <w:r>
        <w:t xml:space="preserve">建立可量化、可追溯的風險評估模型</w:t>
      </w:r>
    </w:p>
    <w:p>
      <w:pPr>
        <w:pStyle w:val="ListParagraph"/>
        <w:numPr>
          <w:ilvl w:val="0"/>
          <w:numId w:val="2"/>
        </w:numPr>
      </w:pPr>
      <w:r>
        <w:t xml:space="preserve">提升異常交易偵測與預警能力</w:t>
      </w:r>
    </w:p>
    <w:p>
      <w:r>
        <w:br w:type="page"/>
      </w:r>
    </w:p>
    <w:p>
      <w:pPr>
        <w:pStyle w:val="Heading1"/>
      </w:pPr>
      <w:r>
        <w:t xml:space="preserve">專案範圍</w:t>
      </w:r>
    </w:p>
    <w:p>
      <w:pPr>
        <w:pStyle w:val="Heading2"/>
      </w:pPr>
      <w:r>
        <w:t xml:space="preserve">範圍內 (In Scope)</w:t>
      </w:r>
    </w:p>
    <w:p>
      <w:pPr>
        <w:pStyle w:val="Heading3"/>
      </w:pPr>
      <w:r>
        <w:t xml:space="preserve">功能範圍</w:t>
      </w:r>
    </w:p>
    <w:p>
      <w:pPr>
        <w:pStyle w:val="ListParagraph"/>
        <w:numPr>
          <w:ilvl w:val="0"/>
          <w:numId w:val="2"/>
        </w:numPr>
      </w:pPr>
      <w:r>
        <w:t xml:space="preserve">客戶風險事件資料整合引擎（從多個來源系統擷取）</w:t>
      </w:r>
    </w:p>
    <w:p>
      <w:pPr>
        <w:pStyle w:val="ListParagraph"/>
        <w:numPr>
          <w:ilvl w:val="0"/>
          <w:numId w:val="2"/>
        </w:numPr>
      </w:pPr>
      <w:r>
        <w:t xml:space="preserve">洗錢風險評分模型（基於規則與機器學習）</w:t>
      </w:r>
    </w:p>
    <w:p>
      <w:pPr>
        <w:pStyle w:val="ListParagraph"/>
        <w:numPr>
          <w:ilvl w:val="0"/>
          <w:numId w:val="2"/>
        </w:numPr>
      </w:pPr>
      <w:r>
        <w:t xml:space="preserve">客戶風險事件摘要自動產生功能</w:t>
      </w:r>
    </w:p>
    <w:p>
      <w:pPr>
        <w:pStyle w:val="ListParagraph"/>
        <w:numPr>
          <w:ilvl w:val="0"/>
          <w:numId w:val="2"/>
        </w:numPr>
      </w:pPr>
      <w:r>
        <w:t xml:space="preserve">風險等級分類與標註（高/中/低風險）</w:t>
      </w:r>
    </w:p>
    <w:p>
      <w:pPr>
        <w:pStyle w:val="ListParagraph"/>
        <w:numPr>
          <w:ilvl w:val="0"/>
          <w:numId w:val="2"/>
        </w:numPr>
      </w:pPr>
      <w:r>
        <w:t xml:space="preserve">風險儀表板與視覺化介面</w:t>
      </w:r>
    </w:p>
    <w:p>
      <w:pPr>
        <w:pStyle w:val="ListParagraph"/>
        <w:numPr>
          <w:ilvl w:val="0"/>
          <w:numId w:val="2"/>
        </w:numPr>
      </w:pPr>
      <w:r>
        <w:t xml:space="preserve">風險趨勢分析與統計報表</w:t>
      </w:r>
    </w:p>
    <w:p>
      <w:pPr>
        <w:pStyle w:val="ListParagraph"/>
        <w:numPr>
          <w:ilvl w:val="0"/>
          <w:numId w:val="2"/>
        </w:numPr>
      </w:pPr>
      <w:r>
        <w:t xml:space="preserve">高風險客戶自動預警通知</w:t>
      </w:r>
    </w:p>
    <w:p>
      <w:pPr>
        <w:pStyle w:val="ListParagraph"/>
        <w:numPr>
          <w:ilvl w:val="0"/>
          <w:numId w:val="2"/>
        </w:numPr>
      </w:pPr>
      <w:r>
        <w:t xml:space="preserve">監理申報資料匯出功能</w:t>
      </w:r>
    </w:p>
    <w:p>
      <w:pPr>
        <w:pStyle w:val="ListParagraph"/>
        <w:numPr>
          <w:ilvl w:val="0"/>
          <w:numId w:val="2"/>
        </w:numPr>
      </w:pPr>
      <w:r>
        <w:t xml:space="preserve">稽核追蹤記錄（評分歷程與變更記錄）</w:t>
      </w:r>
    </w:p>
    <w:p>
      <w:pPr>
        <w:spacing w:before="200"/>
      </w:pPr>
    </w:p>
    <w:p>
      <w:pPr>
        <w:pStyle w:val="Heading2"/>
      </w:pPr>
      <w:r>
        <w:t xml:space="preserve">範圍外 (Out of Scope)</w:t>
      </w:r>
    </w:p>
    <w:p>
      <w:pPr>
        <w:pStyle w:val="ListParagraph"/>
        <w:numPr>
          <w:ilvl w:val="0"/>
          <w:numId w:val="2"/>
        </w:numPr>
      </w:pPr>
      <w:r>
        <w:t xml:space="preserve">不包含實時交易監控功能（由既有交易監控系統負責）</w:t>
      </w:r>
    </w:p>
    <w:p>
      <w:pPr>
        <w:pStyle w:val="ListParagraph"/>
        <w:numPr>
          <w:ilvl w:val="0"/>
          <w:numId w:val="2"/>
        </w:numPr>
      </w:pPr>
      <w:r>
        <w:t xml:space="preserve">不包含客戶盡職調查(KYC)流程管理（由既有 KYC 系統負責）</w:t>
      </w:r>
    </w:p>
    <w:p>
      <w:pPr>
        <w:pStyle w:val="ListParagraph"/>
        <w:numPr>
          <w:ilvl w:val="0"/>
          <w:numId w:val="2"/>
        </w:numPr>
      </w:pPr>
      <w:r>
        <w:t xml:space="preserve">不包含可疑交易申報(STR/SAR)的案件調查流程</w:t>
      </w:r>
    </w:p>
    <w:p>
      <w:pPr>
        <w:pStyle w:val="ListParagraph"/>
        <w:numPr>
          <w:ilvl w:val="0"/>
          <w:numId w:val="2"/>
        </w:numPr>
      </w:pPr>
      <w:r>
        <w:t xml:space="preserve">不包含帳戶凍結或交易阻擋功能</w:t>
      </w:r>
    </w:p>
    <w:p>
      <w:pPr>
        <w:pStyle w:val="ListParagraph"/>
        <w:numPr>
          <w:ilvl w:val="0"/>
          <w:numId w:val="2"/>
        </w:numPr>
      </w:pPr>
      <w:r>
        <w:t xml:space="preserve">不涉及客戶身分驗證(eKYC)機制</w:t>
      </w:r>
    </w:p>
    <w:p>
      <w:pPr>
        <w:pStyle w:val="ListParagraph"/>
        <w:numPr>
          <w:ilvl w:val="0"/>
          <w:numId w:val="2"/>
        </w:numPr>
      </w:pPr>
      <w:r>
        <w:t xml:space="preserve">不包含反洗錢教育訓練管理</w:t>
      </w:r>
    </w:p>
    <w:p>
      <w:pPr>
        <w:pStyle w:val="ListParagraph"/>
        <w:numPr>
          <w:ilvl w:val="0"/>
          <w:numId w:val="2"/>
        </w:numPr>
      </w:pPr>
      <w:r>
        <w:t xml:space="preserve">第一期不包含跨境交易風險分析（未來期程評估）</w:t>
      </w:r>
    </w:p>
    <w:p>
      <w:r>
        <w:br w:type="page"/>
      </w:r>
    </w:p>
    <w:p>
      <w:pPr>
        <w:pStyle w:val="Heading1"/>
      </w:pPr>
      <w:r>
        <w:t xml:space="preserve">優先順序與依賴</w:t>
      </w:r>
    </w:p>
    <w:p>
      <w:pPr>
        <w:pStyle w:val="Heading2"/>
      </w:pPr>
      <w:r>
        <w:t xml:space="preserve">專案優先級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優先等級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P0-Critical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優先級理由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屬於法遵強制要求，關係到監理合規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影響組織法遵風險與聲譽風險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監理機關持續加強反洗錢檢查力度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若未符合要求可能面臨裁罰或業務限制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高階風險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1560"/>
        <w:gridCol w:w="1560"/>
        <w:gridCol w:w="23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風險ID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風險描述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機率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影響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應對策略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資料品質不佳導致模型準確度低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前期進行資料品質評估，建立資料清理機制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跨系統資料整合複雜度高於預期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提前進行技術可行性驗證(POC)，預留緩衝時程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模型可解釋性不足無法通過稽核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採用可解釋的模型演算法，建立模型文件化機制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關鍵人力（資料科學家）取得困難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提前啟動人力招募，或考慮外部顧問支援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成功標準</w:t>
      </w:r>
    </w:p>
    <w:p>
      <w:pPr>
        <w:pStyle w:val="Heading2"/>
      </w:pPr>
      <w:r>
        <w:t xml:space="preserve">專案成功指標</w:t>
      </w:r>
    </w:p>
    <w:p>
      <w:pPr>
        <w:pStyle w:val="Heading3"/>
      </w:pPr>
      <w:r>
        <w:t xml:space="preserve">完成標準 (Definition of Done)</w:t>
      </w:r>
    </w:p>
    <w:p>
      <w:pPr>
        <w:pStyle w:val="ListParagraph"/>
        <w:numPr>
          <w:ilvl w:val="0"/>
          <w:numId w:val="2"/>
        </w:numPr>
      </w:pPr>
      <w:r>
        <w:t xml:space="preserve">所有範圍內功能開發完成並通過測試</w:t>
      </w:r>
    </w:p>
    <w:p>
      <w:pPr>
        <w:pStyle w:val="ListParagraph"/>
        <w:numPr>
          <w:ilvl w:val="0"/>
          <w:numId w:val="2"/>
        </w:numPr>
      </w:pPr>
      <w:r>
        <w:t xml:space="preserve">風險模型準確率達到設定門檻（目標 ≥ 85%）</w:t>
      </w:r>
    </w:p>
    <w:p>
      <w:pPr>
        <w:pStyle w:val="ListParagraph"/>
        <w:numPr>
          <w:ilvl w:val="0"/>
          <w:numId w:val="2"/>
        </w:numPr>
      </w:pPr>
      <w:r>
        <w:t xml:space="preserve">UAT 測試通過率 ≥ 95%</w:t>
      </w:r>
    </w:p>
    <w:p>
      <w:pPr>
        <w:pStyle w:val="ListParagraph"/>
        <w:numPr>
          <w:ilvl w:val="0"/>
          <w:numId w:val="2"/>
        </w:numPr>
      </w:pPr>
      <w:r>
        <w:t xml:space="preserve">效能測試符合 SLA 要求（風險評分運算時間 &lt; 5 分鐘/批次）</w:t>
      </w:r>
    </w:p>
    <w:p>
      <w:pPr>
        <w:pStyle w:val="ListParagraph"/>
        <w:numPr>
          <w:ilvl w:val="0"/>
          <w:numId w:val="2"/>
        </w:numPr>
      </w:pPr>
      <w:r>
        <w:t xml:space="preserve">資安測試通過（無高風險與中風險弱點）</w:t>
      </w:r>
    </w:p>
    <w:p>
      <w:pPr>
        <w:pStyle w:val="ListParagraph"/>
        <w:numPr>
          <w:ilvl w:val="0"/>
          <w:numId w:val="2"/>
        </w:numPr>
      </w:pPr>
      <w:r>
        <w:t xml:space="preserve">所有高階與中階風險已關閉或轉移</w:t>
      </w:r>
    </w:p>
    <w:p>
      <w:pPr>
        <w:pStyle w:val="ListParagraph"/>
        <w:numPr>
          <w:ilvl w:val="0"/>
          <w:numId w:val="2"/>
        </w:numPr>
      </w:pPr>
      <w:r>
        <w:t xml:space="preserve">文件交付完整（使用者手冊、模型文件、維運手冊、技術文件、API 文件）</w:t>
      </w:r>
    </w:p>
    <w:p>
      <w:pPr>
        <w:pStyle w:val="ListParagraph"/>
        <w:numPr>
          <w:ilvl w:val="0"/>
          <w:numId w:val="2"/>
        </w:numPr>
      </w:pPr>
      <w:r>
        <w:t xml:space="preserve">正式上線後穩定運行 30 天無重大異常</w:t>
      </w:r>
    </w:p>
    <w:p>
      <w:pPr>
        <w:pStyle w:val="ListParagraph"/>
        <w:numPr>
          <w:ilvl w:val="0"/>
          <w:numId w:val="2"/>
        </w:numPr>
      </w:pPr>
      <w:r>
        <w:t xml:space="preserve">使用者滿意度調查 ≥ 4.0 分（5 分量表）</w:t>
      </w:r>
    </w:p>
    <w:p>
      <w:pPr>
        <w:spacing w:before="200"/>
      </w:pPr>
    </w:p>
    <w:p>
      <w:pPr>
        <w:pStyle w:val="Heading3"/>
      </w:pPr>
      <w:r>
        <w:t xml:space="preserve">驗收標準 (Acceptance Criteria)</w:t>
      </w:r>
    </w:p>
    <w:p>
      <w:pPr>
        <w:pStyle w:val="ListParagraph"/>
        <w:numPr>
          <w:ilvl w:val="0"/>
          <w:numId w:val="2"/>
        </w:numPr>
      </w:pPr>
      <w:r>
        <w:t xml:space="preserve">法遵部與風控部簽核業務驗收</w:t>
      </w:r>
    </w:p>
    <w:p>
      <w:pPr>
        <w:pStyle w:val="ListParagraph"/>
        <w:numPr>
          <w:ilvl w:val="0"/>
          <w:numId w:val="2"/>
        </w:numPr>
      </w:pPr>
      <w:r>
        <w:t xml:space="preserve">模型驗證委員會通過模型驗證</w:t>
      </w:r>
    </w:p>
    <w:p>
      <w:pPr>
        <w:pStyle w:val="ListParagraph"/>
        <w:numPr>
          <w:ilvl w:val="0"/>
          <w:numId w:val="2"/>
        </w:numPr>
      </w:pPr>
      <w:r>
        <w:t xml:space="preserve">資安檢測通過（弱點掃描、滲透測試）</w:t>
      </w:r>
    </w:p>
    <w:p>
      <w:pPr>
        <w:pStyle w:val="ListParagraph"/>
        <w:numPr>
          <w:ilvl w:val="0"/>
          <w:numId w:val="2"/>
        </w:numPr>
      </w:pPr>
      <w:r>
        <w:t xml:space="preserve">稽核部確認稽核追蹤機制符合要求</w:t>
      </w:r>
    </w:p>
    <w:p>
      <w:pPr>
        <w:pStyle w:val="ListParagraph"/>
        <w:numPr>
          <w:ilvl w:val="0"/>
          <w:numId w:val="2"/>
        </w:numPr>
      </w:pPr>
      <w:r>
        <w:t xml:space="preserve">技術文件審查通過</w:t>
      </w:r>
    </w:p>
    <w:p>
      <w:pPr>
        <w:pStyle w:val="ListParagraph"/>
        <w:numPr>
          <w:ilvl w:val="0"/>
          <w:numId w:val="2"/>
        </w:numPr>
      </w:pPr>
      <w:r>
        <w:t xml:space="preserve">災難復原演練通過</w:t>
      </w:r>
    </w:p>
    <w:p>
      <w:r>
        <w:br w:type="page"/>
      </w:r>
    </w:p>
    <w:p>
      <w:pPr>
        <w:pStyle w:val="Heading1"/>
      </w:pPr>
      <w:r>
        <w:t xml:space="preserve">附錄</w:t>
      </w:r>
    </w:p>
    <w:p>
      <w:pPr>
        <w:pStyle w:val="Heading2"/>
      </w:pPr>
      <w:r>
        <w:t xml:space="preserve">專有名詞與縮寫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3120"/>
        <w:gridCol w:w="436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全名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Anti-Money Laundering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反洗錢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KYC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Know Your Customer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認識你的客戶（客戶盡職調查）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Suspicious Transaction Report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可疑交易報告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FATF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Action Task Force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防制洗錢金融行動工作組織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Politically Exposed Persons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政治公眾人物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Machine Learning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機器學習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Acceptance Testing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使用者驗收測試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Level Agreement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服務水準協議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版本歷史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1872"/>
        <w:gridCol w:w="1872"/>
        <w:gridCol w:w="4056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修訂者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修訂內容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2025-11-14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(SpecKit Meta)</w:t>
            </w:r>
          </w:p>
        </w:tc>
        <w:tc>
          <w:tcPr>
            <w:tcW w:type="dxa" w:w="40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初版建立，透過 /speckit.meta 自動產生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2025-11-14T07:05:01.142Z</dcterms:created>
  <dcterms:modified xsi:type="dcterms:W3CDTF">2025-11-14T07:05:01.143Z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