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8C67" w14:textId="77777777" w:rsidR="00B53E15" w:rsidRPr="00B53E15" w:rsidRDefault="00B53E15" w:rsidP="00B53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53E15">
        <w:rPr>
          <w:rFonts w:ascii="Times New Roman" w:eastAsia="Times New Roman" w:hAnsi="Times New Roman" w:cs="Times New Roman"/>
          <w:sz w:val="24"/>
          <w:szCs w:val="24"/>
        </w:rPr>
        <w:pict w14:anchorId="1BD0AD6F">
          <v:rect id="_x0000_i1025" style="width:0;height:1.5pt" o:hralign="center" o:hrstd="t" o:hr="t" fillcolor="#a0a0a0" stroked="f"/>
        </w:pict>
      </w:r>
    </w:p>
    <w:bookmarkEnd w:id="0"/>
    <w:p w14:paraId="3F835343" w14:textId="77777777" w:rsidR="00B53E15" w:rsidRPr="00B53E15" w:rsidRDefault="00B53E15" w:rsidP="00B53E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3E15">
        <w:rPr>
          <w:rFonts w:ascii="Times New Roman" w:eastAsia="Times New Roman" w:hAnsi="Times New Roman" w:cs="Times New Roman"/>
          <w:b/>
          <w:bCs/>
          <w:sz w:val="36"/>
          <w:szCs w:val="36"/>
        </w:rPr>
        <w:t>Block and Inline Elements in HTML</w:t>
      </w:r>
    </w:p>
    <w:p w14:paraId="2C1E1752" w14:textId="77777777" w:rsidR="00B53E15" w:rsidRPr="00B53E15" w:rsidRDefault="00B53E15" w:rsidP="00B53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E15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1971606F" w14:textId="77777777" w:rsidR="00B53E15" w:rsidRPr="00B53E15" w:rsidRDefault="00B53E15" w:rsidP="00B53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In HTML, elements are categorized as </w:t>
      </w:r>
      <w:r w:rsidRPr="00B53E15">
        <w:rPr>
          <w:rFonts w:ascii="Times New Roman" w:eastAsia="Times New Roman" w:hAnsi="Times New Roman" w:cs="Times New Roman"/>
          <w:b/>
          <w:bCs/>
          <w:sz w:val="24"/>
          <w:szCs w:val="24"/>
        </w:rPr>
        <w:t>block elements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3E15">
        <w:rPr>
          <w:rFonts w:ascii="Times New Roman" w:eastAsia="Times New Roman" w:hAnsi="Times New Roman" w:cs="Times New Roman"/>
          <w:b/>
          <w:bCs/>
          <w:sz w:val="24"/>
          <w:szCs w:val="24"/>
        </w:rPr>
        <w:t>inline elements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based on how they behave in a document.</w:t>
      </w:r>
    </w:p>
    <w:p w14:paraId="2D8D4C48" w14:textId="77777777" w:rsidR="00B53E15" w:rsidRPr="00B53E15" w:rsidRDefault="00B53E15" w:rsidP="00B53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E15">
        <w:rPr>
          <w:rFonts w:ascii="Times New Roman" w:eastAsia="Times New Roman" w:hAnsi="Times New Roman" w:cs="Times New Roman"/>
          <w:b/>
          <w:bCs/>
          <w:sz w:val="27"/>
          <w:szCs w:val="27"/>
        </w:rPr>
        <w:t>Block Elements</w:t>
      </w:r>
    </w:p>
    <w:p w14:paraId="20B42459" w14:textId="77777777" w:rsidR="00B53E15" w:rsidRPr="00B53E15" w:rsidRDefault="00B53E15" w:rsidP="00B53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Times New Roman" w:eastAsia="Times New Roman" w:hAnsi="Times New Roman" w:cs="Times New Roman"/>
          <w:sz w:val="24"/>
          <w:szCs w:val="24"/>
        </w:rPr>
        <w:t>Block elements take up the full width of their container and always start on a new line. They are commonly used for structuring content.</w:t>
      </w:r>
    </w:p>
    <w:p w14:paraId="39E33B08" w14:textId="77777777" w:rsidR="00B53E15" w:rsidRPr="00B53E15" w:rsidRDefault="00B53E15" w:rsidP="00B53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5D5C6D6F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&lt;div&gt;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A generic container for grouping elements.</w:t>
      </w:r>
    </w:p>
    <w:p w14:paraId="3DDF18C3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&lt;p&gt;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Represents a paragraph of text.</w:t>
      </w:r>
    </w:p>
    <w:p w14:paraId="32C5B7B9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&lt;h1&gt;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53E15">
        <w:rPr>
          <w:rFonts w:ascii="Courier New" w:eastAsia="Times New Roman" w:hAnsi="Courier New" w:cs="Courier New"/>
          <w:sz w:val="20"/>
          <w:szCs w:val="20"/>
        </w:rPr>
        <w:t>&lt;h6&gt;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Headings of different levels.</w:t>
      </w:r>
    </w:p>
    <w:p w14:paraId="6626079A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Defines a section of content.</w:t>
      </w:r>
    </w:p>
    <w:p w14:paraId="5BFE7F27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Represents a self-contained article.</w:t>
      </w:r>
    </w:p>
    <w:p w14:paraId="4D60DDB3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Defines a header section.</w:t>
      </w:r>
    </w:p>
    <w:p w14:paraId="1825F066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Represents a footer section.</w:t>
      </w:r>
    </w:p>
    <w:p w14:paraId="028440C4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&lt;nav&gt;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Used for navigation links.</w:t>
      </w:r>
    </w:p>
    <w:p w14:paraId="26B54C29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Represents sidebar content.</w:t>
      </w:r>
    </w:p>
    <w:p w14:paraId="14379A24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&lt;ul&gt;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3E1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53E15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B53E15">
        <w:rPr>
          <w:rFonts w:ascii="Courier New" w:eastAsia="Times New Roman" w:hAnsi="Courier New" w:cs="Courier New"/>
          <w:sz w:val="20"/>
          <w:szCs w:val="20"/>
        </w:rPr>
        <w:t>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3E15">
        <w:rPr>
          <w:rFonts w:ascii="Courier New" w:eastAsia="Times New Roman" w:hAnsi="Courier New" w:cs="Courier New"/>
          <w:sz w:val="20"/>
          <w:szCs w:val="20"/>
        </w:rPr>
        <w:t>&lt;li&gt;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Lists and list items.</w:t>
      </w:r>
    </w:p>
    <w:p w14:paraId="34210802" w14:textId="77777777" w:rsidR="00B53E15" w:rsidRPr="00B53E15" w:rsidRDefault="00B53E15" w:rsidP="00B5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Defines a table.</w:t>
      </w:r>
    </w:p>
    <w:p w14:paraId="723CFFA7" w14:textId="77777777" w:rsidR="00B53E15" w:rsidRPr="00B53E15" w:rsidRDefault="00B53E15" w:rsidP="00B53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E15">
        <w:rPr>
          <w:rFonts w:ascii="Times New Roman" w:eastAsia="Times New Roman" w:hAnsi="Times New Roman" w:cs="Times New Roman"/>
          <w:b/>
          <w:bCs/>
          <w:sz w:val="27"/>
          <w:szCs w:val="27"/>
        </w:rPr>
        <w:t>Inline Elements</w:t>
      </w:r>
    </w:p>
    <w:p w14:paraId="29289C16" w14:textId="77777777" w:rsidR="00B53E15" w:rsidRPr="00B53E15" w:rsidRDefault="00B53E15" w:rsidP="00B53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Times New Roman" w:eastAsia="Times New Roman" w:hAnsi="Times New Roman" w:cs="Times New Roman"/>
          <w:sz w:val="24"/>
          <w:szCs w:val="24"/>
        </w:rPr>
        <w:t>Inline elements only take up as much space as their content requires and do not start on a new line. They are mainly used for formatting or embedding content inside block elements.</w:t>
      </w:r>
    </w:p>
    <w:p w14:paraId="15F8B98F" w14:textId="77777777" w:rsidR="00B53E15" w:rsidRPr="00B53E15" w:rsidRDefault="00B53E15" w:rsidP="00B53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01F353F5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&lt;span&gt;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A generic inline container.</w:t>
      </w:r>
    </w:p>
    <w:p w14:paraId="6EE88989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&lt;a&gt;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Defines a hyperlink.</w:t>
      </w:r>
    </w:p>
    <w:p w14:paraId="69F13B10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Makes text bold.</w:t>
      </w:r>
    </w:p>
    <w:p w14:paraId="6673D41D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53E15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B53E15">
        <w:rPr>
          <w:rFonts w:ascii="Courier New" w:eastAsia="Times New Roman" w:hAnsi="Courier New" w:cs="Courier New"/>
          <w:sz w:val="20"/>
          <w:szCs w:val="20"/>
        </w:rPr>
        <w:t>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Emphasizes text (italic).</w:t>
      </w:r>
    </w:p>
    <w:p w14:paraId="049D4DAE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53E15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53E15">
        <w:rPr>
          <w:rFonts w:ascii="Courier New" w:eastAsia="Times New Roman" w:hAnsi="Courier New" w:cs="Courier New"/>
          <w:sz w:val="20"/>
          <w:szCs w:val="20"/>
        </w:rPr>
        <w:t>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Embeds an image.</w:t>
      </w:r>
    </w:p>
    <w:p w14:paraId="21B9CA54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Used for form labels.</w:t>
      </w:r>
    </w:p>
    <w:p w14:paraId="6F93C23E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An input field in a form.</w:t>
      </w:r>
    </w:p>
    <w:p w14:paraId="128FBA8A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A clickable button.</w:t>
      </w:r>
    </w:p>
    <w:p w14:paraId="2EF3F6E8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&lt;code&gt;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Displays code snippets.</w:t>
      </w:r>
    </w:p>
    <w:p w14:paraId="6053F3A7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&lt;small&gt;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Reduces text size.</w:t>
      </w:r>
    </w:p>
    <w:p w14:paraId="0FB7318D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lastRenderedPageBreak/>
        <w:t>&lt;sup&gt;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3E15">
        <w:rPr>
          <w:rFonts w:ascii="Courier New" w:eastAsia="Times New Roman" w:hAnsi="Courier New" w:cs="Courier New"/>
          <w:sz w:val="20"/>
          <w:szCs w:val="20"/>
        </w:rPr>
        <w:t>&lt;sub&gt;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Superscript and subscript text.</w:t>
      </w:r>
    </w:p>
    <w:p w14:paraId="01F4A693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53E15">
        <w:rPr>
          <w:rFonts w:ascii="Courier New" w:eastAsia="Times New Roman" w:hAnsi="Courier New" w:cs="Courier New"/>
          <w:sz w:val="20"/>
          <w:szCs w:val="20"/>
        </w:rPr>
        <w:t>abbr</w:t>
      </w:r>
      <w:proofErr w:type="spellEnd"/>
      <w:r w:rsidRPr="00B53E15">
        <w:rPr>
          <w:rFonts w:ascii="Courier New" w:eastAsia="Times New Roman" w:hAnsi="Courier New" w:cs="Courier New"/>
          <w:sz w:val="20"/>
          <w:szCs w:val="20"/>
        </w:rPr>
        <w:t>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Defines an abbreviation.</w:t>
      </w:r>
    </w:p>
    <w:p w14:paraId="21A6F94C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&lt;cite&gt;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Cites a reference.</w:t>
      </w:r>
    </w:p>
    <w:p w14:paraId="1DB68C51" w14:textId="77777777" w:rsidR="00B53E15" w:rsidRPr="00B53E15" w:rsidRDefault="00B53E15" w:rsidP="00B5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E15">
        <w:rPr>
          <w:rFonts w:ascii="Courier New" w:eastAsia="Times New Roman" w:hAnsi="Courier New" w:cs="Courier New"/>
          <w:sz w:val="20"/>
          <w:szCs w:val="20"/>
        </w:rPr>
        <w:t>&lt;mark&gt;</w:t>
      </w:r>
      <w:r w:rsidRPr="00B53E15">
        <w:rPr>
          <w:rFonts w:ascii="Times New Roman" w:eastAsia="Times New Roman" w:hAnsi="Times New Roman" w:cs="Times New Roman"/>
          <w:sz w:val="24"/>
          <w:szCs w:val="24"/>
        </w:rPr>
        <w:t xml:space="preserve"> – Highlights text.</w:t>
      </w:r>
    </w:p>
    <w:p w14:paraId="08411BCE" w14:textId="77777777" w:rsidR="000C7300" w:rsidRDefault="000C7300"/>
    <w:sectPr w:rsidR="000C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014F"/>
    <w:multiLevelType w:val="multilevel"/>
    <w:tmpl w:val="B2A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B3EDE"/>
    <w:multiLevelType w:val="multilevel"/>
    <w:tmpl w:val="F834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15"/>
    <w:rsid w:val="000C7300"/>
    <w:rsid w:val="00B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B6C9"/>
  <w15:chartTrackingRefBased/>
  <w15:docId w15:val="{2097DC60-837D-4E31-AC27-49236299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Roa'a Saber</dc:creator>
  <cp:keywords/>
  <dc:description/>
  <cp:lastModifiedBy>Roa'a Saber</cp:lastModifiedBy>
  <cp:revision>1</cp:revision>
  <dcterms:created xsi:type="dcterms:W3CDTF">2025-02-26T19:08:00Z</dcterms:created>
  <dcterms:modified xsi:type="dcterms:W3CDTF">2025-02-26T19:10:00Z</dcterms:modified>
</cp:coreProperties>
</file>