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031A4" w14:textId="08649076" w:rsidR="00872DA1" w:rsidRPr="00695FE3" w:rsidRDefault="00781B36" w:rsidP="007D1650">
      <w:pPr>
        <w:jc w:val="center"/>
        <w:rPr>
          <w:rFonts w:ascii="Times New Roman" w:hAnsi="Times New Roman" w:cs="Times New Roman"/>
          <w:b/>
          <w:bCs/>
          <w:sz w:val="32"/>
          <w:szCs w:val="32"/>
        </w:rPr>
      </w:pPr>
      <w:r w:rsidRPr="00695FE3">
        <w:rPr>
          <w:rFonts w:ascii="Times New Roman" w:hAnsi="Times New Roman" w:cs="Times New Roman"/>
          <w:b/>
          <w:bCs/>
          <w:sz w:val="32"/>
          <w:szCs w:val="32"/>
        </w:rPr>
        <w:t xml:space="preserve">Investigating Public Health Outcomes </w:t>
      </w:r>
      <w:r w:rsidR="00555D0E" w:rsidRPr="00695FE3">
        <w:rPr>
          <w:rFonts w:ascii="Times New Roman" w:hAnsi="Times New Roman" w:cs="Times New Roman"/>
          <w:b/>
          <w:bCs/>
          <w:sz w:val="32"/>
          <w:szCs w:val="32"/>
        </w:rPr>
        <w:t>in the Context of 1332 State Innovation Waivers</w:t>
      </w:r>
    </w:p>
    <w:p w14:paraId="4D378A21" w14:textId="009E51E1" w:rsidR="00B66C77" w:rsidRDefault="00B66C77" w:rsidP="00957F96">
      <w:pPr>
        <w:rPr>
          <w:rFonts w:ascii="Times New Roman" w:hAnsi="Times New Roman" w:cs="Times New Roman"/>
          <w:i/>
          <w:iCs/>
          <w:sz w:val="28"/>
          <w:szCs w:val="28"/>
        </w:rPr>
      </w:pPr>
      <w:r w:rsidRPr="00957F96">
        <w:rPr>
          <w:rFonts w:ascii="Times New Roman" w:hAnsi="Times New Roman" w:cs="Times New Roman"/>
          <w:i/>
          <w:iCs/>
          <w:sz w:val="28"/>
          <w:szCs w:val="28"/>
        </w:rPr>
        <w:t>By: Joey Roach</w:t>
      </w:r>
    </w:p>
    <w:p w14:paraId="54B7D8D0" w14:textId="326C24E7" w:rsidR="00957F96" w:rsidRDefault="00695FE3" w:rsidP="00957F96">
      <w:pPr>
        <w:rPr>
          <w:rFonts w:ascii="Times New Roman" w:hAnsi="Times New Roman" w:cs="Times New Roman"/>
          <w:i/>
          <w:iCs/>
          <w:sz w:val="28"/>
          <w:szCs w:val="28"/>
        </w:rPr>
      </w:pPr>
      <w:r>
        <w:rPr>
          <w:rFonts w:ascii="Times New Roman" w:hAnsi="Times New Roman" w:cs="Times New Roman"/>
          <w:i/>
          <w:iCs/>
          <w:sz w:val="28"/>
          <w:szCs w:val="28"/>
        </w:rPr>
        <w:t xml:space="preserve">University of Washington, Seattle, </w:t>
      </w:r>
      <w:proofErr w:type="spellStart"/>
      <w:r>
        <w:rPr>
          <w:rFonts w:ascii="Times New Roman" w:hAnsi="Times New Roman" w:cs="Times New Roman"/>
          <w:i/>
          <w:iCs/>
          <w:sz w:val="28"/>
          <w:szCs w:val="28"/>
        </w:rPr>
        <w:t>Wa</w:t>
      </w:r>
      <w:proofErr w:type="spellEnd"/>
      <w:r>
        <w:rPr>
          <w:rFonts w:ascii="Times New Roman" w:hAnsi="Times New Roman" w:cs="Times New Roman"/>
          <w:i/>
          <w:iCs/>
          <w:sz w:val="28"/>
          <w:szCs w:val="28"/>
        </w:rPr>
        <w:t>, Department of Economics</w:t>
      </w:r>
    </w:p>
    <w:p w14:paraId="79D076B3" w14:textId="24976403" w:rsidR="00695FE3" w:rsidRDefault="00695FE3" w:rsidP="00957F96">
      <w:pPr>
        <w:rPr>
          <w:rFonts w:ascii="Times New Roman" w:hAnsi="Times New Roman" w:cs="Times New Roman"/>
          <w:i/>
          <w:iCs/>
          <w:sz w:val="28"/>
          <w:szCs w:val="28"/>
        </w:rPr>
      </w:pPr>
      <w:r>
        <w:rPr>
          <w:rFonts w:ascii="Times New Roman" w:hAnsi="Times New Roman" w:cs="Times New Roman"/>
          <w:i/>
          <w:iCs/>
          <w:sz w:val="28"/>
          <w:szCs w:val="28"/>
        </w:rPr>
        <w:t xml:space="preserve">Thesis Advisor: </w:t>
      </w:r>
      <w:r w:rsidR="00DB3C3F">
        <w:rPr>
          <w:rFonts w:ascii="Times New Roman" w:hAnsi="Times New Roman" w:cs="Times New Roman"/>
          <w:i/>
          <w:iCs/>
          <w:sz w:val="28"/>
          <w:szCs w:val="28"/>
        </w:rPr>
        <w:t xml:space="preserve">Professor </w:t>
      </w:r>
      <w:proofErr w:type="spellStart"/>
      <w:r>
        <w:rPr>
          <w:rFonts w:ascii="Times New Roman" w:hAnsi="Times New Roman" w:cs="Times New Roman"/>
          <w:i/>
          <w:iCs/>
          <w:sz w:val="28"/>
          <w:szCs w:val="28"/>
        </w:rPr>
        <w:t>Yuya</w:t>
      </w:r>
      <w:proofErr w:type="spellEnd"/>
      <w:r>
        <w:rPr>
          <w:rFonts w:ascii="Times New Roman" w:hAnsi="Times New Roman" w:cs="Times New Roman"/>
          <w:i/>
          <w:iCs/>
          <w:sz w:val="28"/>
          <w:szCs w:val="28"/>
        </w:rPr>
        <w:t xml:space="preserve"> Takahashi</w:t>
      </w:r>
    </w:p>
    <w:p w14:paraId="5EE49D7B" w14:textId="50A5767C" w:rsidR="00DB3C3F" w:rsidRPr="00957F96" w:rsidRDefault="00C40D5E" w:rsidP="00957F96">
      <w:pPr>
        <w:rPr>
          <w:rFonts w:ascii="Times New Roman" w:hAnsi="Times New Roman" w:cs="Times New Roman"/>
          <w:i/>
          <w:iCs/>
          <w:sz w:val="28"/>
          <w:szCs w:val="28"/>
        </w:rPr>
      </w:pPr>
      <w:r>
        <w:rPr>
          <w:rFonts w:ascii="Times New Roman" w:hAnsi="Times New Roman" w:cs="Times New Roman"/>
          <w:i/>
          <w:iCs/>
          <w:sz w:val="28"/>
          <w:szCs w:val="28"/>
        </w:rPr>
        <w:t xml:space="preserve">May </w:t>
      </w:r>
      <w:r w:rsidR="00214ED6">
        <w:rPr>
          <w:rFonts w:ascii="Times New Roman" w:hAnsi="Times New Roman" w:cs="Times New Roman"/>
          <w:i/>
          <w:iCs/>
          <w:sz w:val="28"/>
          <w:szCs w:val="28"/>
        </w:rPr>
        <w:t>17</w:t>
      </w:r>
      <w:r w:rsidR="00214ED6" w:rsidRPr="00214ED6">
        <w:rPr>
          <w:rFonts w:ascii="Times New Roman" w:hAnsi="Times New Roman" w:cs="Times New Roman"/>
          <w:i/>
          <w:iCs/>
          <w:sz w:val="28"/>
          <w:szCs w:val="28"/>
          <w:vertAlign w:val="superscript"/>
        </w:rPr>
        <w:t>th</w:t>
      </w:r>
      <w:r w:rsidR="0080073F">
        <w:rPr>
          <w:rFonts w:ascii="Times New Roman" w:hAnsi="Times New Roman" w:cs="Times New Roman"/>
          <w:i/>
          <w:iCs/>
          <w:sz w:val="28"/>
          <w:szCs w:val="28"/>
        </w:rPr>
        <w:t>, 2021</w:t>
      </w:r>
    </w:p>
    <w:p w14:paraId="5C948FD8" w14:textId="4704840D" w:rsidR="00DB5F3D" w:rsidRDefault="00DB5F3D" w:rsidP="007D1650">
      <w:pPr>
        <w:jc w:val="center"/>
        <w:rPr>
          <w:rFonts w:ascii="Times New Roman" w:hAnsi="Times New Roman" w:cs="Times New Roman"/>
          <w:sz w:val="24"/>
          <w:szCs w:val="24"/>
        </w:rPr>
      </w:pPr>
    </w:p>
    <w:p w14:paraId="134AC25D" w14:textId="360F22E2" w:rsidR="0080073F" w:rsidRDefault="0080073F" w:rsidP="007D1650">
      <w:pPr>
        <w:jc w:val="center"/>
        <w:rPr>
          <w:rFonts w:ascii="Times New Roman" w:hAnsi="Times New Roman" w:cs="Times New Roman"/>
          <w:sz w:val="24"/>
          <w:szCs w:val="24"/>
        </w:rPr>
      </w:pPr>
    </w:p>
    <w:p w14:paraId="29D9BDEB" w14:textId="70B2AA66" w:rsidR="0080073F" w:rsidRDefault="0080073F" w:rsidP="007D1650">
      <w:pPr>
        <w:jc w:val="center"/>
        <w:rPr>
          <w:rFonts w:ascii="Times New Roman" w:hAnsi="Times New Roman" w:cs="Times New Roman"/>
          <w:sz w:val="24"/>
          <w:szCs w:val="24"/>
        </w:rPr>
      </w:pPr>
    </w:p>
    <w:p w14:paraId="113FEEF0" w14:textId="2354DD8E" w:rsidR="0080073F" w:rsidRDefault="0080073F" w:rsidP="007D1650">
      <w:pPr>
        <w:jc w:val="center"/>
        <w:rPr>
          <w:rFonts w:ascii="Times New Roman" w:hAnsi="Times New Roman" w:cs="Times New Roman"/>
          <w:sz w:val="24"/>
          <w:szCs w:val="24"/>
        </w:rPr>
      </w:pPr>
    </w:p>
    <w:p w14:paraId="09C44F3B" w14:textId="4B203837" w:rsidR="0099592B" w:rsidRDefault="0099592B" w:rsidP="007D1650">
      <w:pPr>
        <w:jc w:val="center"/>
        <w:rPr>
          <w:rFonts w:ascii="Times New Roman" w:hAnsi="Times New Roman" w:cs="Times New Roman"/>
          <w:sz w:val="24"/>
          <w:szCs w:val="24"/>
        </w:rPr>
      </w:pPr>
    </w:p>
    <w:p w14:paraId="2E196F26" w14:textId="77777777" w:rsidR="0099592B" w:rsidRDefault="0099592B" w:rsidP="007D1650">
      <w:pPr>
        <w:jc w:val="center"/>
        <w:rPr>
          <w:rFonts w:ascii="Times New Roman" w:hAnsi="Times New Roman" w:cs="Times New Roman"/>
          <w:sz w:val="24"/>
          <w:szCs w:val="24"/>
        </w:rPr>
      </w:pPr>
    </w:p>
    <w:p w14:paraId="2F962B87" w14:textId="717DFBE7" w:rsidR="007D1650" w:rsidRPr="00A206C0" w:rsidRDefault="00DB5F3D" w:rsidP="00856072">
      <w:pPr>
        <w:rPr>
          <w:rFonts w:ascii="Times New Roman" w:hAnsi="Times New Roman" w:cs="Times New Roman"/>
          <w:b/>
          <w:bCs/>
          <w:sz w:val="28"/>
          <w:szCs w:val="28"/>
          <w:u w:val="single"/>
        </w:rPr>
      </w:pPr>
      <w:r w:rsidRPr="00A206C0">
        <w:rPr>
          <w:rFonts w:ascii="Times New Roman" w:hAnsi="Times New Roman" w:cs="Times New Roman"/>
          <w:b/>
          <w:bCs/>
          <w:sz w:val="28"/>
          <w:szCs w:val="28"/>
          <w:u w:val="single"/>
        </w:rPr>
        <w:t>Abstract</w:t>
      </w:r>
    </w:p>
    <w:p w14:paraId="3CB32059" w14:textId="75C317D6" w:rsidR="002B6D9B" w:rsidRDefault="006C1A20" w:rsidP="002B6D9B">
      <w:pPr>
        <w:rPr>
          <w:rFonts w:ascii="Times New Roman" w:hAnsi="Times New Roman" w:cs="Times New Roman"/>
          <w:sz w:val="24"/>
          <w:szCs w:val="24"/>
        </w:rPr>
      </w:pPr>
      <w:r w:rsidRPr="00B66C77">
        <w:rPr>
          <w:rFonts w:ascii="Times New Roman" w:hAnsi="Times New Roman" w:cs="Times New Roman"/>
          <w:sz w:val="24"/>
          <w:szCs w:val="24"/>
        </w:rPr>
        <w:t>State-based reinsurance programs</w:t>
      </w:r>
      <w:r w:rsidR="007454FC" w:rsidRPr="00B66C77">
        <w:rPr>
          <w:rFonts w:ascii="Times New Roman" w:hAnsi="Times New Roman" w:cs="Times New Roman"/>
          <w:sz w:val="24"/>
          <w:szCs w:val="24"/>
        </w:rPr>
        <w:t xml:space="preserve"> under 1332 State Innovation Waivers</w:t>
      </w:r>
      <w:r w:rsidRPr="00B66C77">
        <w:rPr>
          <w:rFonts w:ascii="Times New Roman" w:hAnsi="Times New Roman" w:cs="Times New Roman"/>
          <w:sz w:val="24"/>
          <w:szCs w:val="24"/>
        </w:rPr>
        <w:t xml:space="preserve"> </w:t>
      </w:r>
      <w:r w:rsidR="004337A8" w:rsidRPr="00B66C77">
        <w:rPr>
          <w:rFonts w:ascii="Times New Roman" w:hAnsi="Times New Roman" w:cs="Times New Roman"/>
          <w:sz w:val="24"/>
          <w:szCs w:val="24"/>
        </w:rPr>
        <w:t xml:space="preserve">offer opportunities for primary insurers in the private health care market to </w:t>
      </w:r>
      <w:r w:rsidR="00C83328" w:rsidRPr="00B66C77">
        <w:rPr>
          <w:rFonts w:ascii="Times New Roman" w:hAnsi="Times New Roman" w:cs="Times New Roman"/>
          <w:sz w:val="24"/>
          <w:szCs w:val="24"/>
        </w:rPr>
        <w:t xml:space="preserve">receive reimbursement from a state-established fund </w:t>
      </w:r>
      <w:r w:rsidR="0001378B" w:rsidRPr="00B66C77">
        <w:rPr>
          <w:rFonts w:ascii="Times New Roman" w:hAnsi="Times New Roman" w:cs="Times New Roman"/>
          <w:sz w:val="24"/>
          <w:szCs w:val="24"/>
        </w:rPr>
        <w:t>for</w:t>
      </w:r>
      <w:r w:rsidR="00D34DA5" w:rsidRPr="00B66C77">
        <w:rPr>
          <w:rFonts w:ascii="Times New Roman" w:hAnsi="Times New Roman" w:cs="Times New Roman"/>
          <w:sz w:val="24"/>
          <w:szCs w:val="24"/>
        </w:rPr>
        <w:t xml:space="preserve"> incurred </w:t>
      </w:r>
      <w:r w:rsidR="0001378B" w:rsidRPr="00B66C77">
        <w:rPr>
          <w:rFonts w:ascii="Times New Roman" w:hAnsi="Times New Roman" w:cs="Times New Roman"/>
          <w:sz w:val="24"/>
          <w:szCs w:val="24"/>
        </w:rPr>
        <w:t>costs that</w:t>
      </w:r>
      <w:r w:rsidR="002D1AB6" w:rsidRPr="00B66C77">
        <w:rPr>
          <w:rFonts w:ascii="Times New Roman" w:hAnsi="Times New Roman" w:cs="Times New Roman"/>
          <w:sz w:val="24"/>
          <w:szCs w:val="24"/>
        </w:rPr>
        <w:t xml:space="preserve"> exceed </w:t>
      </w:r>
      <w:r w:rsidR="00D34DA5" w:rsidRPr="00B66C77">
        <w:rPr>
          <w:rFonts w:ascii="Times New Roman" w:hAnsi="Times New Roman" w:cs="Times New Roman"/>
          <w:sz w:val="24"/>
          <w:szCs w:val="24"/>
        </w:rPr>
        <w:t>expect</w:t>
      </w:r>
      <w:r w:rsidR="00E717FF">
        <w:rPr>
          <w:rFonts w:ascii="Times New Roman" w:hAnsi="Times New Roman" w:cs="Times New Roman"/>
          <w:sz w:val="24"/>
          <w:szCs w:val="24"/>
        </w:rPr>
        <w:t>ations</w:t>
      </w:r>
      <w:r w:rsidR="002D1AB6" w:rsidRPr="00B66C77">
        <w:rPr>
          <w:rFonts w:ascii="Times New Roman" w:hAnsi="Times New Roman" w:cs="Times New Roman"/>
          <w:sz w:val="24"/>
          <w:szCs w:val="24"/>
        </w:rPr>
        <w:t xml:space="preserve">. </w:t>
      </w:r>
      <w:r w:rsidR="004F10A3" w:rsidRPr="00B66C77">
        <w:rPr>
          <w:rFonts w:ascii="Times New Roman" w:hAnsi="Times New Roman" w:cs="Times New Roman"/>
          <w:sz w:val="24"/>
          <w:szCs w:val="24"/>
        </w:rPr>
        <w:t>Initia</w:t>
      </w:r>
      <w:r w:rsidR="00AF10B5">
        <w:rPr>
          <w:rFonts w:ascii="Times New Roman" w:hAnsi="Times New Roman" w:cs="Times New Roman"/>
          <w:sz w:val="24"/>
          <w:szCs w:val="24"/>
        </w:rPr>
        <w:t>l</w:t>
      </w:r>
      <w:r w:rsidR="004F10A3" w:rsidRPr="00B66C77">
        <w:rPr>
          <w:rFonts w:ascii="Times New Roman" w:hAnsi="Times New Roman" w:cs="Times New Roman"/>
          <w:sz w:val="24"/>
          <w:szCs w:val="24"/>
        </w:rPr>
        <w:t xml:space="preserve"> </w:t>
      </w:r>
      <w:r w:rsidR="00AF10B5">
        <w:rPr>
          <w:rFonts w:ascii="Times New Roman" w:hAnsi="Times New Roman" w:cs="Times New Roman"/>
          <w:sz w:val="24"/>
          <w:szCs w:val="24"/>
        </w:rPr>
        <w:t>effects</w:t>
      </w:r>
      <w:r w:rsidR="00844D80">
        <w:rPr>
          <w:rFonts w:ascii="Times New Roman" w:hAnsi="Times New Roman" w:cs="Times New Roman"/>
          <w:sz w:val="24"/>
          <w:szCs w:val="24"/>
        </w:rPr>
        <w:t xml:space="preserve"> from these programs</w:t>
      </w:r>
      <w:r w:rsidR="004F10A3" w:rsidRPr="00B66C77">
        <w:rPr>
          <w:rFonts w:ascii="Times New Roman" w:hAnsi="Times New Roman" w:cs="Times New Roman"/>
          <w:sz w:val="24"/>
          <w:szCs w:val="24"/>
        </w:rPr>
        <w:t xml:space="preserve"> </w:t>
      </w:r>
      <w:r w:rsidR="001520B0">
        <w:rPr>
          <w:rFonts w:ascii="Times New Roman" w:hAnsi="Times New Roman" w:cs="Times New Roman"/>
          <w:sz w:val="24"/>
          <w:szCs w:val="24"/>
        </w:rPr>
        <w:t>include</w:t>
      </w:r>
      <w:r w:rsidR="004F10A3" w:rsidRPr="00B66C77">
        <w:rPr>
          <w:rFonts w:ascii="Times New Roman" w:hAnsi="Times New Roman" w:cs="Times New Roman"/>
          <w:sz w:val="24"/>
          <w:szCs w:val="24"/>
        </w:rPr>
        <w:t xml:space="preserve"> marginal benefits </w:t>
      </w:r>
      <w:r w:rsidR="0042140C" w:rsidRPr="00B66C77">
        <w:rPr>
          <w:rFonts w:ascii="Times New Roman" w:hAnsi="Times New Roman" w:cs="Times New Roman"/>
          <w:sz w:val="24"/>
          <w:szCs w:val="24"/>
        </w:rPr>
        <w:t xml:space="preserve">of decreased premium prices charged to policyholders and moderate expansions to insurance coverage, </w:t>
      </w:r>
      <w:r w:rsidR="00FD7DD6" w:rsidRPr="00B66C77">
        <w:rPr>
          <w:rFonts w:ascii="Times New Roman" w:hAnsi="Times New Roman" w:cs="Times New Roman"/>
          <w:sz w:val="24"/>
          <w:szCs w:val="24"/>
        </w:rPr>
        <w:t xml:space="preserve">but downstream effects of </w:t>
      </w:r>
      <w:r w:rsidR="0044427C">
        <w:rPr>
          <w:rFonts w:ascii="Times New Roman" w:hAnsi="Times New Roman" w:cs="Times New Roman"/>
          <w:sz w:val="24"/>
          <w:szCs w:val="24"/>
        </w:rPr>
        <w:t xml:space="preserve">individual health </w:t>
      </w:r>
      <w:r w:rsidR="00FD7DD6" w:rsidRPr="00B66C77">
        <w:rPr>
          <w:rFonts w:ascii="Times New Roman" w:hAnsi="Times New Roman" w:cs="Times New Roman"/>
          <w:sz w:val="24"/>
          <w:szCs w:val="24"/>
        </w:rPr>
        <w:t>outcomes and health care utilization remain uninvestigated in this setting.</w:t>
      </w:r>
      <w:r w:rsidR="00FF7CC9">
        <w:rPr>
          <w:rFonts w:ascii="Times New Roman" w:hAnsi="Times New Roman" w:cs="Times New Roman"/>
          <w:sz w:val="24"/>
          <w:szCs w:val="24"/>
        </w:rPr>
        <w:t xml:space="preserve"> Through a Difference-in-Differences analysis of the Behavioral Risk Factor Surveillance Survey,</w:t>
      </w:r>
      <w:r w:rsidR="00FD7DD6" w:rsidRPr="00B66C77">
        <w:rPr>
          <w:rFonts w:ascii="Times New Roman" w:hAnsi="Times New Roman" w:cs="Times New Roman"/>
          <w:sz w:val="24"/>
          <w:szCs w:val="24"/>
        </w:rPr>
        <w:t xml:space="preserve"> </w:t>
      </w:r>
      <w:r w:rsidR="00FF7CC9">
        <w:rPr>
          <w:rFonts w:ascii="Times New Roman" w:hAnsi="Times New Roman" w:cs="Times New Roman"/>
          <w:sz w:val="24"/>
          <w:szCs w:val="24"/>
        </w:rPr>
        <w:t>t</w:t>
      </w:r>
      <w:r w:rsidR="00F558AA">
        <w:rPr>
          <w:rFonts w:ascii="Times New Roman" w:hAnsi="Times New Roman" w:cs="Times New Roman"/>
          <w:sz w:val="24"/>
          <w:szCs w:val="24"/>
        </w:rPr>
        <w:t xml:space="preserve">his paper </w:t>
      </w:r>
      <w:r w:rsidR="00BB14C7">
        <w:rPr>
          <w:rFonts w:ascii="Times New Roman" w:hAnsi="Times New Roman" w:cs="Times New Roman"/>
          <w:sz w:val="24"/>
          <w:szCs w:val="24"/>
        </w:rPr>
        <w:t>examines</w:t>
      </w:r>
      <w:r w:rsidR="0044427C">
        <w:rPr>
          <w:rFonts w:ascii="Times New Roman" w:hAnsi="Times New Roman" w:cs="Times New Roman"/>
          <w:sz w:val="24"/>
          <w:szCs w:val="24"/>
        </w:rPr>
        <w:t xml:space="preserve"> whether reinsurance programs have any causal impacts on </w:t>
      </w:r>
      <w:r w:rsidR="00BB14C7">
        <w:rPr>
          <w:rFonts w:ascii="Times New Roman" w:hAnsi="Times New Roman" w:cs="Times New Roman"/>
          <w:sz w:val="24"/>
          <w:szCs w:val="24"/>
        </w:rPr>
        <w:t>selected</w:t>
      </w:r>
      <w:r w:rsidR="0044427C">
        <w:rPr>
          <w:rFonts w:ascii="Times New Roman" w:hAnsi="Times New Roman" w:cs="Times New Roman"/>
          <w:sz w:val="24"/>
          <w:szCs w:val="24"/>
        </w:rPr>
        <w:t xml:space="preserve"> </w:t>
      </w:r>
      <w:r w:rsidR="00EE30BB">
        <w:rPr>
          <w:rFonts w:ascii="Times New Roman" w:hAnsi="Times New Roman" w:cs="Times New Roman"/>
          <w:sz w:val="24"/>
          <w:szCs w:val="24"/>
        </w:rPr>
        <w:t>health outcomes</w:t>
      </w:r>
      <w:r w:rsidR="00B643BE">
        <w:rPr>
          <w:rFonts w:ascii="Times New Roman" w:hAnsi="Times New Roman" w:cs="Times New Roman"/>
          <w:sz w:val="24"/>
          <w:szCs w:val="24"/>
        </w:rPr>
        <w:t xml:space="preserve">, </w:t>
      </w:r>
      <w:r w:rsidR="0085444F">
        <w:rPr>
          <w:rFonts w:ascii="Times New Roman" w:hAnsi="Times New Roman" w:cs="Times New Roman"/>
          <w:sz w:val="24"/>
          <w:szCs w:val="24"/>
        </w:rPr>
        <w:t>finding</w:t>
      </w:r>
      <w:r w:rsidR="00B643BE">
        <w:rPr>
          <w:rFonts w:ascii="Times New Roman" w:hAnsi="Times New Roman" w:cs="Times New Roman"/>
          <w:sz w:val="24"/>
          <w:szCs w:val="24"/>
        </w:rPr>
        <w:t xml:space="preserve"> </w:t>
      </w:r>
      <w:r w:rsidR="0085444F">
        <w:rPr>
          <w:rFonts w:ascii="Times New Roman" w:hAnsi="Times New Roman" w:cs="Times New Roman"/>
          <w:sz w:val="24"/>
          <w:szCs w:val="24"/>
        </w:rPr>
        <w:t>that the introduction of a reinsurance program through a 1332 waiver has</w:t>
      </w:r>
      <w:r w:rsidR="000C040B">
        <w:rPr>
          <w:rFonts w:ascii="Times New Roman" w:hAnsi="Times New Roman" w:cs="Times New Roman"/>
          <w:sz w:val="24"/>
          <w:szCs w:val="24"/>
        </w:rPr>
        <w:t xml:space="preserve"> only</w:t>
      </w:r>
      <w:r w:rsidR="0085444F">
        <w:rPr>
          <w:rFonts w:ascii="Times New Roman" w:hAnsi="Times New Roman" w:cs="Times New Roman"/>
          <w:sz w:val="24"/>
          <w:szCs w:val="24"/>
        </w:rPr>
        <w:t xml:space="preserve"> minimal and marginal effects</w:t>
      </w:r>
      <w:r w:rsidR="00327F59">
        <w:rPr>
          <w:rFonts w:ascii="Times New Roman" w:hAnsi="Times New Roman" w:cs="Times New Roman"/>
          <w:sz w:val="24"/>
          <w:szCs w:val="24"/>
        </w:rPr>
        <w:t>, if any,</w:t>
      </w:r>
      <w:r w:rsidR="0085444F">
        <w:rPr>
          <w:rFonts w:ascii="Times New Roman" w:hAnsi="Times New Roman" w:cs="Times New Roman"/>
          <w:sz w:val="24"/>
          <w:szCs w:val="24"/>
        </w:rPr>
        <w:t xml:space="preserve"> on</w:t>
      </w:r>
      <w:r w:rsidR="00F000C3">
        <w:rPr>
          <w:rFonts w:ascii="Times New Roman" w:hAnsi="Times New Roman" w:cs="Times New Roman"/>
          <w:sz w:val="24"/>
          <w:szCs w:val="24"/>
        </w:rPr>
        <w:t xml:space="preserve"> these</w:t>
      </w:r>
      <w:r w:rsidR="0085444F">
        <w:rPr>
          <w:rFonts w:ascii="Times New Roman" w:hAnsi="Times New Roman" w:cs="Times New Roman"/>
          <w:sz w:val="24"/>
          <w:szCs w:val="24"/>
        </w:rPr>
        <w:t xml:space="preserve"> health outcomes </w:t>
      </w:r>
      <w:r w:rsidR="004D76DF">
        <w:rPr>
          <w:rFonts w:ascii="Times New Roman" w:hAnsi="Times New Roman" w:cs="Times New Roman"/>
          <w:sz w:val="24"/>
          <w:szCs w:val="24"/>
        </w:rPr>
        <w:t xml:space="preserve">and that the effects of these programs do not translate far enough downstream to significantly alter </w:t>
      </w:r>
      <w:r w:rsidR="00D34487">
        <w:rPr>
          <w:rFonts w:ascii="Times New Roman" w:hAnsi="Times New Roman" w:cs="Times New Roman"/>
          <w:sz w:val="24"/>
          <w:szCs w:val="24"/>
        </w:rPr>
        <w:t>American citizens’ experiences and interactions with the</w:t>
      </w:r>
      <w:r w:rsidR="00142BAF">
        <w:rPr>
          <w:rFonts w:ascii="Times New Roman" w:hAnsi="Times New Roman" w:cs="Times New Roman"/>
          <w:sz w:val="24"/>
          <w:szCs w:val="24"/>
        </w:rPr>
        <w:t>ir</w:t>
      </w:r>
      <w:r w:rsidR="00D34487">
        <w:rPr>
          <w:rFonts w:ascii="Times New Roman" w:hAnsi="Times New Roman" w:cs="Times New Roman"/>
          <w:sz w:val="24"/>
          <w:szCs w:val="24"/>
        </w:rPr>
        <w:t xml:space="preserve"> health care system.</w:t>
      </w:r>
    </w:p>
    <w:p w14:paraId="58766154" w14:textId="77777777" w:rsidR="002B6D9B" w:rsidRPr="002B6D9B" w:rsidRDefault="002B6D9B" w:rsidP="002B6D9B">
      <w:pPr>
        <w:rPr>
          <w:rFonts w:ascii="Times New Roman" w:hAnsi="Times New Roman" w:cs="Times New Roman"/>
          <w:sz w:val="24"/>
          <w:szCs w:val="24"/>
        </w:rPr>
      </w:pPr>
    </w:p>
    <w:p w14:paraId="3AA6FCC9" w14:textId="333C7D97" w:rsidR="0080073F" w:rsidRDefault="0080073F" w:rsidP="00DB5F3D">
      <w:pPr>
        <w:jc w:val="center"/>
        <w:rPr>
          <w:rFonts w:ascii="Times New Roman" w:hAnsi="Times New Roman" w:cs="Times New Roman"/>
          <w:i/>
          <w:iCs/>
          <w:sz w:val="24"/>
          <w:szCs w:val="24"/>
        </w:rPr>
      </w:pPr>
    </w:p>
    <w:p w14:paraId="61464A49" w14:textId="6971F70F" w:rsidR="0080073F" w:rsidRDefault="0080073F" w:rsidP="007B4EF0">
      <w:pPr>
        <w:rPr>
          <w:rFonts w:ascii="Times New Roman" w:hAnsi="Times New Roman" w:cs="Times New Roman"/>
          <w:i/>
          <w:iCs/>
          <w:sz w:val="24"/>
          <w:szCs w:val="24"/>
        </w:rPr>
      </w:pPr>
    </w:p>
    <w:p w14:paraId="2529584C" w14:textId="20C9BE21" w:rsidR="001C2E96" w:rsidRDefault="001C2E96" w:rsidP="00DB5F3D">
      <w:pPr>
        <w:jc w:val="center"/>
        <w:rPr>
          <w:rFonts w:ascii="Times New Roman" w:hAnsi="Times New Roman" w:cs="Times New Roman"/>
          <w:i/>
          <w:iCs/>
          <w:sz w:val="24"/>
          <w:szCs w:val="24"/>
        </w:rPr>
      </w:pPr>
    </w:p>
    <w:p w14:paraId="26857CC9" w14:textId="13CD4F4B" w:rsidR="001C2E96" w:rsidRDefault="001C2E96" w:rsidP="001C2E96">
      <w:pPr>
        <w:rPr>
          <w:rFonts w:ascii="Times New Roman" w:hAnsi="Times New Roman" w:cs="Times New Roman"/>
          <w:i/>
          <w:iCs/>
          <w:sz w:val="24"/>
          <w:szCs w:val="24"/>
        </w:rPr>
      </w:pPr>
    </w:p>
    <w:p w14:paraId="4667AF8F" w14:textId="77777777" w:rsidR="007E1879" w:rsidRDefault="007E1879" w:rsidP="001C2E96">
      <w:pPr>
        <w:rPr>
          <w:rFonts w:ascii="Times New Roman" w:hAnsi="Times New Roman" w:cs="Times New Roman"/>
          <w:i/>
          <w:iCs/>
          <w:sz w:val="24"/>
          <w:szCs w:val="24"/>
        </w:rPr>
      </w:pPr>
    </w:p>
    <w:p w14:paraId="7A0C1EFB" w14:textId="48935836" w:rsidR="002233B2" w:rsidRDefault="0051369C" w:rsidP="002233B2">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Section 1: </w:t>
      </w:r>
      <w:r w:rsidR="002233B2" w:rsidRPr="002233B2">
        <w:rPr>
          <w:rFonts w:ascii="Times New Roman" w:hAnsi="Times New Roman" w:cs="Times New Roman"/>
          <w:b/>
          <w:bCs/>
          <w:sz w:val="28"/>
          <w:szCs w:val="28"/>
          <w:u w:val="single"/>
        </w:rPr>
        <w:t>Introduction</w:t>
      </w:r>
    </w:p>
    <w:p w14:paraId="30F30152" w14:textId="00E96B48" w:rsidR="00166AE7" w:rsidRDefault="00166AE7" w:rsidP="002233B2">
      <w:pPr>
        <w:rPr>
          <w:rFonts w:ascii="Times New Roman" w:hAnsi="Times New Roman" w:cs="Times New Roman"/>
          <w:sz w:val="24"/>
          <w:szCs w:val="24"/>
        </w:rPr>
      </w:pPr>
      <w:r>
        <w:rPr>
          <w:rFonts w:ascii="Times New Roman" w:hAnsi="Times New Roman" w:cs="Times New Roman"/>
          <w:sz w:val="24"/>
          <w:szCs w:val="24"/>
        </w:rPr>
        <w:tab/>
      </w:r>
      <w:r w:rsidR="00BA3B55">
        <w:rPr>
          <w:rFonts w:ascii="Times New Roman" w:hAnsi="Times New Roman" w:cs="Times New Roman"/>
          <w:sz w:val="24"/>
          <w:szCs w:val="24"/>
        </w:rPr>
        <w:t>The</w:t>
      </w:r>
      <w:r w:rsidR="00377B1E">
        <w:rPr>
          <w:rFonts w:ascii="Times New Roman" w:hAnsi="Times New Roman" w:cs="Times New Roman"/>
          <w:sz w:val="24"/>
          <w:szCs w:val="24"/>
        </w:rPr>
        <w:t xml:space="preserve"> general upheaval of the </w:t>
      </w:r>
      <w:r w:rsidR="006A5AE7">
        <w:rPr>
          <w:rFonts w:ascii="Times New Roman" w:hAnsi="Times New Roman" w:cs="Times New Roman"/>
          <w:sz w:val="24"/>
          <w:szCs w:val="24"/>
        </w:rPr>
        <w:t xml:space="preserve">American health care throughout the 2010’s </w:t>
      </w:r>
      <w:r w:rsidR="00B1503B">
        <w:rPr>
          <w:rFonts w:ascii="Times New Roman" w:hAnsi="Times New Roman" w:cs="Times New Roman"/>
          <w:sz w:val="24"/>
          <w:szCs w:val="24"/>
        </w:rPr>
        <w:t xml:space="preserve">was characterized by the passage of the Affordable Care Act [ACA] under the Obama administration, a wide-sweeping </w:t>
      </w:r>
      <w:r w:rsidR="005C2402">
        <w:rPr>
          <w:rFonts w:ascii="Times New Roman" w:hAnsi="Times New Roman" w:cs="Times New Roman"/>
          <w:sz w:val="24"/>
          <w:szCs w:val="24"/>
        </w:rPr>
        <w:t>variety of reform measures that were implemented in efforts to expand coverage and improve the delivery of health-related services</w:t>
      </w:r>
      <w:r w:rsidR="00601603">
        <w:rPr>
          <w:rFonts w:ascii="Times New Roman" w:hAnsi="Times New Roman" w:cs="Times New Roman"/>
          <w:sz w:val="24"/>
          <w:szCs w:val="24"/>
        </w:rPr>
        <w:t>. S</w:t>
      </w:r>
      <w:r w:rsidR="005C2402">
        <w:rPr>
          <w:rFonts w:ascii="Times New Roman" w:hAnsi="Times New Roman" w:cs="Times New Roman"/>
          <w:sz w:val="24"/>
          <w:szCs w:val="24"/>
        </w:rPr>
        <w:t>hort-term results were mostly positive, with an estimated number of uninsured Americans who gained coverage ranging from approximately 7-16.5 million, and general overall satisfaction from these new enrollees (Blumenthal, 2015).</w:t>
      </w:r>
      <w:r w:rsidR="00601603">
        <w:rPr>
          <w:rFonts w:ascii="Times New Roman" w:hAnsi="Times New Roman" w:cs="Times New Roman"/>
          <w:sz w:val="24"/>
          <w:szCs w:val="24"/>
        </w:rPr>
        <w:t xml:space="preserve"> </w:t>
      </w:r>
      <w:r w:rsidR="00C2641A">
        <w:rPr>
          <w:rFonts w:ascii="Times New Roman" w:hAnsi="Times New Roman" w:cs="Times New Roman"/>
          <w:sz w:val="24"/>
          <w:szCs w:val="24"/>
        </w:rPr>
        <w:t xml:space="preserve">One </w:t>
      </w:r>
      <w:proofErr w:type="gramStart"/>
      <w:r w:rsidR="00BF588A">
        <w:rPr>
          <w:rFonts w:ascii="Times New Roman" w:hAnsi="Times New Roman" w:cs="Times New Roman"/>
          <w:sz w:val="24"/>
          <w:szCs w:val="24"/>
        </w:rPr>
        <w:t>particular program</w:t>
      </w:r>
      <w:proofErr w:type="gramEnd"/>
      <w:r w:rsidR="00EC30DD">
        <w:rPr>
          <w:rFonts w:ascii="Times New Roman" w:hAnsi="Times New Roman" w:cs="Times New Roman"/>
          <w:sz w:val="24"/>
          <w:szCs w:val="24"/>
        </w:rPr>
        <w:t xml:space="preserve"> </w:t>
      </w:r>
      <w:r w:rsidR="00533113">
        <w:rPr>
          <w:rFonts w:ascii="Times New Roman" w:hAnsi="Times New Roman" w:cs="Times New Roman"/>
          <w:sz w:val="24"/>
          <w:szCs w:val="24"/>
        </w:rPr>
        <w:t>initialized under the ACA</w:t>
      </w:r>
      <w:r w:rsidR="00BF588A">
        <w:rPr>
          <w:rFonts w:ascii="Times New Roman" w:hAnsi="Times New Roman" w:cs="Times New Roman"/>
          <w:sz w:val="24"/>
          <w:szCs w:val="24"/>
        </w:rPr>
        <w:t>, which this paper focuses on,</w:t>
      </w:r>
      <w:r w:rsidR="005567D9">
        <w:rPr>
          <w:rFonts w:ascii="Times New Roman" w:hAnsi="Times New Roman" w:cs="Times New Roman"/>
          <w:sz w:val="24"/>
          <w:szCs w:val="24"/>
        </w:rPr>
        <w:t xml:space="preserve"> that</w:t>
      </w:r>
      <w:r w:rsidR="00EC30DD">
        <w:rPr>
          <w:rFonts w:ascii="Times New Roman" w:hAnsi="Times New Roman" w:cs="Times New Roman"/>
          <w:sz w:val="24"/>
          <w:szCs w:val="24"/>
        </w:rPr>
        <w:t xml:space="preserve"> </w:t>
      </w:r>
      <w:r w:rsidR="00533113">
        <w:rPr>
          <w:rFonts w:ascii="Times New Roman" w:hAnsi="Times New Roman" w:cs="Times New Roman"/>
          <w:sz w:val="24"/>
          <w:szCs w:val="24"/>
        </w:rPr>
        <w:t xml:space="preserve">has recently seen expanded </w:t>
      </w:r>
      <w:r w:rsidR="00C03C2C">
        <w:rPr>
          <w:rFonts w:ascii="Times New Roman" w:hAnsi="Times New Roman" w:cs="Times New Roman"/>
          <w:sz w:val="24"/>
          <w:szCs w:val="24"/>
        </w:rPr>
        <w:t xml:space="preserve">development and </w:t>
      </w:r>
      <w:r w:rsidR="00533113">
        <w:rPr>
          <w:rFonts w:ascii="Times New Roman" w:hAnsi="Times New Roman" w:cs="Times New Roman"/>
          <w:sz w:val="24"/>
          <w:szCs w:val="24"/>
        </w:rPr>
        <w:t xml:space="preserve">adoption </w:t>
      </w:r>
      <w:r w:rsidR="00236962">
        <w:rPr>
          <w:rFonts w:ascii="Times New Roman" w:hAnsi="Times New Roman" w:cs="Times New Roman"/>
          <w:sz w:val="24"/>
          <w:szCs w:val="24"/>
        </w:rPr>
        <w:t>at the state-level</w:t>
      </w:r>
      <w:r w:rsidR="00C03C2C">
        <w:rPr>
          <w:rFonts w:ascii="Times New Roman" w:hAnsi="Times New Roman" w:cs="Times New Roman"/>
          <w:sz w:val="24"/>
          <w:szCs w:val="24"/>
        </w:rPr>
        <w:t xml:space="preserve"> is that of reinsurance.</w:t>
      </w:r>
      <w:r w:rsidR="00236962">
        <w:rPr>
          <w:rFonts w:ascii="Times New Roman" w:hAnsi="Times New Roman" w:cs="Times New Roman"/>
          <w:sz w:val="24"/>
          <w:szCs w:val="24"/>
        </w:rPr>
        <w:t xml:space="preserve"> </w:t>
      </w:r>
    </w:p>
    <w:p w14:paraId="28C6CDB0" w14:textId="7549F3B8" w:rsidR="00BA4B97" w:rsidRDefault="00BA4B97" w:rsidP="00BA4B97">
      <w:pPr>
        <w:ind w:firstLine="720"/>
        <w:rPr>
          <w:rFonts w:ascii="Times New Roman" w:hAnsi="Times New Roman" w:cs="Times New Roman"/>
          <w:sz w:val="24"/>
          <w:szCs w:val="24"/>
        </w:rPr>
      </w:pPr>
      <w:r>
        <w:rPr>
          <w:rFonts w:ascii="Times New Roman" w:hAnsi="Times New Roman" w:cs="Times New Roman"/>
          <w:sz w:val="24"/>
          <w:szCs w:val="24"/>
        </w:rPr>
        <w:t>Reinsurance is a niche market concept, but one that continues to gain traction in t</w:t>
      </w:r>
      <w:r w:rsidR="00837F3D">
        <w:rPr>
          <w:rFonts w:ascii="Times New Roman" w:hAnsi="Times New Roman" w:cs="Times New Roman"/>
          <w:sz w:val="24"/>
          <w:szCs w:val="24"/>
        </w:rPr>
        <w:t>he realm of</w:t>
      </w:r>
      <w:r>
        <w:rPr>
          <w:rFonts w:ascii="Times New Roman" w:hAnsi="Times New Roman" w:cs="Times New Roman"/>
          <w:sz w:val="24"/>
          <w:szCs w:val="24"/>
        </w:rPr>
        <w:t xml:space="preserve"> health insurance to stabilize premium prices for individual market enrollees. In essence, reinsurance allows for primary health insurers in the private market to receive insurance on high-cost claims that would otherwise result in large net losses</w:t>
      </w:r>
      <w:r w:rsidR="00973C7E">
        <w:rPr>
          <w:rFonts w:ascii="Times New Roman" w:hAnsi="Times New Roman" w:cs="Times New Roman"/>
          <w:sz w:val="24"/>
          <w:szCs w:val="24"/>
        </w:rPr>
        <w:t xml:space="preserve"> via negotiations with a reinsurer</w:t>
      </w:r>
      <w:r>
        <w:rPr>
          <w:rFonts w:ascii="Times New Roman" w:hAnsi="Times New Roman" w:cs="Times New Roman"/>
          <w:sz w:val="24"/>
          <w:szCs w:val="24"/>
        </w:rPr>
        <w:t xml:space="preserve">. In theory, </w:t>
      </w:r>
      <w:r w:rsidR="00696B5C">
        <w:rPr>
          <w:rFonts w:ascii="Times New Roman" w:hAnsi="Times New Roman" w:cs="Times New Roman"/>
          <w:sz w:val="24"/>
          <w:szCs w:val="24"/>
        </w:rPr>
        <w:t>reinsurance</w:t>
      </w:r>
      <w:r>
        <w:rPr>
          <w:rFonts w:ascii="Times New Roman" w:hAnsi="Times New Roman" w:cs="Times New Roman"/>
          <w:sz w:val="24"/>
          <w:szCs w:val="24"/>
        </w:rPr>
        <w:t xml:space="preserve"> results in more underwriting of risk at a reduced premium</w:t>
      </w:r>
      <w:r w:rsidR="001A5B3C">
        <w:rPr>
          <w:rFonts w:ascii="Times New Roman" w:hAnsi="Times New Roman" w:cs="Times New Roman"/>
          <w:sz w:val="24"/>
          <w:szCs w:val="24"/>
        </w:rPr>
        <w:t>,</w:t>
      </w:r>
      <w:r>
        <w:rPr>
          <w:rFonts w:ascii="Times New Roman" w:hAnsi="Times New Roman" w:cs="Times New Roman"/>
          <w:sz w:val="24"/>
          <w:szCs w:val="24"/>
        </w:rPr>
        <w:t xml:space="preserve"> due to the insurer holding less financial culpability</w:t>
      </w:r>
      <w:r w:rsidR="001A5B3C">
        <w:rPr>
          <w:rFonts w:ascii="Times New Roman" w:hAnsi="Times New Roman" w:cs="Times New Roman"/>
          <w:sz w:val="24"/>
          <w:szCs w:val="24"/>
        </w:rPr>
        <w:t>,</w:t>
      </w:r>
      <w:r>
        <w:rPr>
          <w:rFonts w:ascii="Times New Roman" w:hAnsi="Times New Roman" w:cs="Times New Roman"/>
          <w:sz w:val="24"/>
          <w:szCs w:val="24"/>
        </w:rPr>
        <w:t xml:space="preserve"> and </w:t>
      </w:r>
      <w:r w:rsidR="00237F07">
        <w:rPr>
          <w:rFonts w:ascii="Times New Roman" w:hAnsi="Times New Roman" w:cs="Times New Roman"/>
          <w:sz w:val="24"/>
          <w:szCs w:val="24"/>
        </w:rPr>
        <w:t xml:space="preserve">it </w:t>
      </w:r>
      <w:r>
        <w:rPr>
          <w:rFonts w:ascii="Times New Roman" w:hAnsi="Times New Roman" w:cs="Times New Roman"/>
          <w:sz w:val="24"/>
          <w:szCs w:val="24"/>
        </w:rPr>
        <w:t xml:space="preserve">can encourage stronger market competition that generates expanded coverage. </w:t>
      </w:r>
      <w:r w:rsidR="00C56974">
        <w:rPr>
          <w:rFonts w:ascii="Times New Roman" w:hAnsi="Times New Roman" w:cs="Times New Roman"/>
          <w:sz w:val="24"/>
          <w:szCs w:val="24"/>
        </w:rPr>
        <w:t xml:space="preserve">As </w:t>
      </w:r>
      <w:r w:rsidR="00BE222C">
        <w:rPr>
          <w:rFonts w:ascii="Times New Roman" w:hAnsi="Times New Roman" w:cs="Times New Roman"/>
          <w:sz w:val="24"/>
          <w:szCs w:val="24"/>
        </w:rPr>
        <w:t>states continue to grapple with an inefficient and costly American health care system, they have begun to</w:t>
      </w:r>
      <w:r w:rsidR="008E31AA">
        <w:rPr>
          <w:rFonts w:ascii="Times New Roman" w:hAnsi="Times New Roman" w:cs="Times New Roman"/>
          <w:sz w:val="24"/>
          <w:szCs w:val="24"/>
        </w:rPr>
        <w:t xml:space="preserve"> turn towards instituting these programs on their own to </w:t>
      </w:r>
      <w:r w:rsidR="00455296">
        <w:rPr>
          <w:rFonts w:ascii="Times New Roman" w:hAnsi="Times New Roman" w:cs="Times New Roman"/>
          <w:sz w:val="24"/>
          <w:szCs w:val="24"/>
        </w:rPr>
        <w:t>solve their health care crises.</w:t>
      </w:r>
    </w:p>
    <w:p w14:paraId="24AC1CFE" w14:textId="5869C0BA" w:rsidR="00455296" w:rsidRDefault="00455296" w:rsidP="00455296">
      <w:pPr>
        <w:ind w:firstLine="720"/>
        <w:rPr>
          <w:rFonts w:ascii="Times New Roman" w:hAnsi="Times New Roman" w:cs="Times New Roman"/>
          <w:sz w:val="24"/>
          <w:szCs w:val="24"/>
        </w:rPr>
      </w:pPr>
      <w:r>
        <w:rPr>
          <w:rFonts w:ascii="Times New Roman" w:hAnsi="Times New Roman" w:cs="Times New Roman"/>
          <w:sz w:val="24"/>
          <w:szCs w:val="24"/>
        </w:rPr>
        <w:t xml:space="preserve">Through 1332 waivers, states </w:t>
      </w:r>
      <w:r w:rsidR="00B42D62">
        <w:rPr>
          <w:rFonts w:ascii="Times New Roman" w:hAnsi="Times New Roman" w:cs="Times New Roman"/>
          <w:sz w:val="24"/>
          <w:szCs w:val="24"/>
        </w:rPr>
        <w:t>can</w:t>
      </w:r>
      <w:r>
        <w:rPr>
          <w:rFonts w:ascii="Times New Roman" w:hAnsi="Times New Roman" w:cs="Times New Roman"/>
          <w:sz w:val="24"/>
          <w:szCs w:val="24"/>
        </w:rPr>
        <w:t xml:space="preserve"> institute their own independent reinsurance programs in private health insurance markets with some supplementary support coming from federal funds, akin to the ones that previously existed from 2014-2016 under the ACA’s transitional reinsurance program (</w:t>
      </w:r>
      <w:proofErr w:type="spellStart"/>
      <w:r>
        <w:rPr>
          <w:rFonts w:ascii="Times New Roman" w:hAnsi="Times New Roman" w:cs="Times New Roman"/>
          <w:sz w:val="24"/>
          <w:szCs w:val="24"/>
        </w:rPr>
        <w:t>Uberoi</w:t>
      </w:r>
      <w:proofErr w:type="spellEnd"/>
      <w:r>
        <w:rPr>
          <w:rFonts w:ascii="Times New Roman" w:hAnsi="Times New Roman" w:cs="Times New Roman"/>
          <w:sz w:val="24"/>
          <w:szCs w:val="24"/>
        </w:rPr>
        <w:t>, 2017). To be specific, Alaska, Minnesota, and Oregon had their 1332 waivers approved in 2017, while Wisconsin, New Jersey, Maryland, and Maine were approved in 2018-- more states have applied and been approved for 1332 waivers in 2019 and 2020, but these programs are too recent to examine, especially due to the COVID-19 global pandemic fundamentally altering everyday life within the same timespan (Howard, 2020). With more and more states throughout the nation joining the list of those applying for these waivers, it is becoming apparent that there exist legislators across both sides of the aisle who believe there is beneficial value in investment of these programs.</w:t>
      </w:r>
    </w:p>
    <w:p w14:paraId="6C1375A9" w14:textId="3928E19C" w:rsidR="00EC6B3D" w:rsidRDefault="00EC6B3D" w:rsidP="00455296">
      <w:pPr>
        <w:ind w:firstLine="720"/>
        <w:rPr>
          <w:rFonts w:ascii="Times New Roman" w:hAnsi="Times New Roman" w:cs="Times New Roman"/>
          <w:sz w:val="24"/>
          <w:szCs w:val="24"/>
        </w:rPr>
      </w:pPr>
      <w:r>
        <w:rPr>
          <w:rFonts w:ascii="Times New Roman" w:hAnsi="Times New Roman" w:cs="Times New Roman"/>
          <w:sz w:val="24"/>
          <w:szCs w:val="24"/>
        </w:rPr>
        <w:t xml:space="preserve">The purpose of this paper is to </w:t>
      </w:r>
      <w:r w:rsidR="00C91035">
        <w:rPr>
          <w:rFonts w:ascii="Times New Roman" w:hAnsi="Times New Roman" w:cs="Times New Roman"/>
          <w:sz w:val="24"/>
          <w:szCs w:val="24"/>
        </w:rPr>
        <w:t>examine the downstream impacts of reinsurance implementation</w:t>
      </w:r>
      <w:r w:rsidR="00116590">
        <w:rPr>
          <w:rFonts w:ascii="Times New Roman" w:hAnsi="Times New Roman" w:cs="Times New Roman"/>
          <w:sz w:val="24"/>
          <w:szCs w:val="24"/>
        </w:rPr>
        <w:t xml:space="preserve"> on citizens’ health outcomes and utilization of health care services.</w:t>
      </w:r>
      <w:r w:rsidR="00B53E76">
        <w:rPr>
          <w:rFonts w:ascii="Times New Roman" w:hAnsi="Times New Roman" w:cs="Times New Roman"/>
          <w:sz w:val="24"/>
          <w:szCs w:val="24"/>
        </w:rPr>
        <w:t xml:space="preserve"> Much of the preliminary research conducted with respect to 1332 waivers </w:t>
      </w:r>
      <w:proofErr w:type="gramStart"/>
      <w:r w:rsidR="00B53E76">
        <w:rPr>
          <w:rFonts w:ascii="Times New Roman" w:hAnsi="Times New Roman" w:cs="Times New Roman"/>
          <w:sz w:val="24"/>
          <w:szCs w:val="24"/>
        </w:rPr>
        <w:t>hones in</w:t>
      </w:r>
      <w:proofErr w:type="gramEnd"/>
      <w:r w:rsidR="00B53E76">
        <w:rPr>
          <w:rFonts w:ascii="Times New Roman" w:hAnsi="Times New Roman" w:cs="Times New Roman"/>
          <w:sz w:val="24"/>
          <w:szCs w:val="24"/>
        </w:rPr>
        <w:t xml:space="preserve"> on the supply-side, particularly the interactions existing between the health care insurer and their reinsurers</w:t>
      </w:r>
      <w:r w:rsidR="00116590">
        <w:rPr>
          <w:rFonts w:ascii="Times New Roman" w:hAnsi="Times New Roman" w:cs="Times New Roman"/>
          <w:sz w:val="24"/>
          <w:szCs w:val="24"/>
        </w:rPr>
        <w:t xml:space="preserve"> </w:t>
      </w:r>
      <w:r w:rsidR="00B53E76">
        <w:rPr>
          <w:rFonts w:ascii="Times New Roman" w:hAnsi="Times New Roman" w:cs="Times New Roman"/>
          <w:sz w:val="24"/>
          <w:szCs w:val="24"/>
        </w:rPr>
        <w:t>[</w:t>
      </w:r>
      <w:r w:rsidR="006B3E9B">
        <w:rPr>
          <w:rFonts w:ascii="Times New Roman" w:hAnsi="Times New Roman" w:cs="Times New Roman"/>
          <w:sz w:val="24"/>
          <w:szCs w:val="24"/>
        </w:rPr>
        <w:t>Further discussion of the</w:t>
      </w:r>
      <w:r w:rsidR="00B53E76">
        <w:rPr>
          <w:rFonts w:ascii="Times New Roman" w:hAnsi="Times New Roman" w:cs="Times New Roman"/>
          <w:sz w:val="24"/>
          <w:szCs w:val="24"/>
        </w:rPr>
        <w:t>se</w:t>
      </w:r>
      <w:r w:rsidR="006B3E9B">
        <w:rPr>
          <w:rFonts w:ascii="Times New Roman" w:hAnsi="Times New Roman" w:cs="Times New Roman"/>
          <w:sz w:val="24"/>
          <w:szCs w:val="24"/>
        </w:rPr>
        <w:t xml:space="preserve"> impacts exist</w:t>
      </w:r>
      <w:r w:rsidR="00B22D93">
        <w:rPr>
          <w:rFonts w:ascii="Times New Roman" w:hAnsi="Times New Roman" w:cs="Times New Roman"/>
          <w:sz w:val="24"/>
          <w:szCs w:val="24"/>
        </w:rPr>
        <w:t>s</w:t>
      </w:r>
      <w:r w:rsidR="006B3E9B">
        <w:rPr>
          <w:rFonts w:ascii="Times New Roman" w:hAnsi="Times New Roman" w:cs="Times New Roman"/>
          <w:sz w:val="24"/>
          <w:szCs w:val="24"/>
        </w:rPr>
        <w:t xml:space="preserve"> within section</w:t>
      </w:r>
      <w:r w:rsidR="00BD0651">
        <w:rPr>
          <w:rFonts w:ascii="Times New Roman" w:hAnsi="Times New Roman" w:cs="Times New Roman"/>
          <w:sz w:val="24"/>
          <w:szCs w:val="24"/>
        </w:rPr>
        <w:t xml:space="preserve"> 2</w:t>
      </w:r>
      <w:r w:rsidR="00B53E76">
        <w:rPr>
          <w:rFonts w:ascii="Times New Roman" w:hAnsi="Times New Roman" w:cs="Times New Roman"/>
          <w:sz w:val="24"/>
          <w:szCs w:val="24"/>
        </w:rPr>
        <w:t xml:space="preserve">]. </w:t>
      </w:r>
      <w:r w:rsidR="008723E4">
        <w:rPr>
          <w:rFonts w:ascii="Times New Roman" w:hAnsi="Times New Roman" w:cs="Times New Roman"/>
          <w:sz w:val="24"/>
          <w:szCs w:val="24"/>
        </w:rPr>
        <w:t xml:space="preserve">While this research is incredibly useful and valuable, there </w:t>
      </w:r>
      <w:r w:rsidR="00AA21C4">
        <w:rPr>
          <w:rFonts w:ascii="Times New Roman" w:hAnsi="Times New Roman" w:cs="Times New Roman"/>
          <w:sz w:val="24"/>
          <w:szCs w:val="24"/>
        </w:rPr>
        <w:t>is</w:t>
      </w:r>
      <w:r w:rsidR="008723E4">
        <w:rPr>
          <w:rFonts w:ascii="Times New Roman" w:hAnsi="Times New Roman" w:cs="Times New Roman"/>
          <w:sz w:val="24"/>
          <w:szCs w:val="24"/>
        </w:rPr>
        <w:t xml:space="preserve"> a clear gap </w:t>
      </w:r>
      <w:r w:rsidR="00381A69">
        <w:rPr>
          <w:rFonts w:ascii="Times New Roman" w:hAnsi="Times New Roman" w:cs="Times New Roman"/>
          <w:sz w:val="24"/>
          <w:szCs w:val="24"/>
        </w:rPr>
        <w:t>in</w:t>
      </w:r>
      <w:r w:rsidR="00DC1D56">
        <w:rPr>
          <w:rFonts w:ascii="Times New Roman" w:hAnsi="Times New Roman" w:cs="Times New Roman"/>
          <w:sz w:val="24"/>
          <w:szCs w:val="24"/>
        </w:rPr>
        <w:t xml:space="preserve"> the surrounding literature in terms of ascertaining the effects of instituting these programs on the </w:t>
      </w:r>
      <w:r w:rsidR="00D51D13">
        <w:rPr>
          <w:rFonts w:ascii="Times New Roman" w:hAnsi="Times New Roman" w:cs="Times New Roman"/>
          <w:sz w:val="24"/>
          <w:szCs w:val="24"/>
        </w:rPr>
        <w:t>outcomes of the people for whom it is intended to benefit.</w:t>
      </w:r>
      <w:r w:rsidR="00455BC7">
        <w:rPr>
          <w:rFonts w:ascii="Times New Roman" w:hAnsi="Times New Roman" w:cs="Times New Roman"/>
          <w:sz w:val="24"/>
          <w:szCs w:val="24"/>
        </w:rPr>
        <w:t xml:space="preserve"> </w:t>
      </w:r>
      <w:r w:rsidR="00F1496B">
        <w:rPr>
          <w:rFonts w:ascii="Times New Roman" w:hAnsi="Times New Roman" w:cs="Times New Roman"/>
          <w:sz w:val="24"/>
          <w:szCs w:val="24"/>
        </w:rPr>
        <w:t>If these programs help to reduce the cost of</w:t>
      </w:r>
      <w:r w:rsidR="00E93D98">
        <w:rPr>
          <w:rFonts w:ascii="Times New Roman" w:hAnsi="Times New Roman" w:cs="Times New Roman"/>
          <w:sz w:val="24"/>
          <w:szCs w:val="24"/>
        </w:rPr>
        <w:t xml:space="preserve"> having health insurance</w:t>
      </w:r>
      <w:r w:rsidR="00F1496B">
        <w:rPr>
          <w:rFonts w:ascii="Times New Roman" w:hAnsi="Times New Roman" w:cs="Times New Roman"/>
          <w:sz w:val="24"/>
          <w:szCs w:val="24"/>
        </w:rPr>
        <w:t xml:space="preserve">, </w:t>
      </w:r>
      <w:r w:rsidR="00E93D98">
        <w:rPr>
          <w:rFonts w:ascii="Times New Roman" w:hAnsi="Times New Roman" w:cs="Times New Roman"/>
          <w:sz w:val="24"/>
          <w:szCs w:val="24"/>
        </w:rPr>
        <w:t xml:space="preserve">then are individuals within states that have these programs </w:t>
      </w:r>
      <w:r w:rsidR="00DA4232">
        <w:rPr>
          <w:rFonts w:ascii="Times New Roman" w:hAnsi="Times New Roman" w:cs="Times New Roman"/>
          <w:sz w:val="24"/>
          <w:szCs w:val="24"/>
        </w:rPr>
        <w:t>using those offered services more?</w:t>
      </w:r>
    </w:p>
    <w:p w14:paraId="442E6B48" w14:textId="77777777" w:rsidR="003A2E9F" w:rsidRDefault="00F20721" w:rsidP="00F20721">
      <w:pPr>
        <w:rPr>
          <w:rFonts w:ascii="Times New Roman" w:hAnsi="Times New Roman" w:cs="Times New Roman"/>
          <w:sz w:val="24"/>
          <w:szCs w:val="24"/>
        </w:rPr>
      </w:pPr>
      <w:r>
        <w:rPr>
          <w:rFonts w:ascii="Times New Roman" w:hAnsi="Times New Roman" w:cs="Times New Roman"/>
          <w:sz w:val="24"/>
          <w:szCs w:val="24"/>
        </w:rPr>
        <w:tab/>
      </w:r>
    </w:p>
    <w:p w14:paraId="17F35C3C" w14:textId="32D10C9C" w:rsidR="003A2E9F" w:rsidRDefault="003A2E9F" w:rsidP="00F20721">
      <w:pPr>
        <w:rPr>
          <w:rFonts w:ascii="Times New Roman" w:hAnsi="Times New Roman" w:cs="Times New Roman"/>
          <w:sz w:val="24"/>
          <w:szCs w:val="24"/>
        </w:rPr>
      </w:pPr>
      <w:r>
        <w:rPr>
          <w:rFonts w:ascii="Times New Roman" w:hAnsi="Times New Roman" w:cs="Times New Roman"/>
          <w:sz w:val="24"/>
          <w:szCs w:val="24"/>
        </w:rPr>
        <w:lastRenderedPageBreak/>
        <w:tab/>
        <w:t xml:space="preserve">The work done in this thesis attempts to </w:t>
      </w:r>
      <w:r w:rsidR="00055A2F">
        <w:rPr>
          <w:rFonts w:ascii="Times New Roman" w:hAnsi="Times New Roman" w:cs="Times New Roman"/>
          <w:sz w:val="24"/>
          <w:szCs w:val="24"/>
        </w:rPr>
        <w:t>close that existing literature gap</w:t>
      </w:r>
      <w:r w:rsidR="0036788D">
        <w:rPr>
          <w:rFonts w:ascii="Times New Roman" w:hAnsi="Times New Roman" w:cs="Times New Roman"/>
          <w:sz w:val="24"/>
          <w:szCs w:val="24"/>
        </w:rPr>
        <w:t xml:space="preserve">. Utilizing </w:t>
      </w:r>
      <w:r w:rsidR="00C81587">
        <w:rPr>
          <w:rFonts w:ascii="Times New Roman" w:hAnsi="Times New Roman" w:cs="Times New Roman"/>
          <w:sz w:val="24"/>
          <w:szCs w:val="24"/>
        </w:rPr>
        <w:t xml:space="preserve">survey data from the Behavioral Risk Factor Surveillance System [BRFSS], an annual nationwide telephone survey that collects information about Americans’ health-related behaviors and their associated risks, </w:t>
      </w:r>
      <w:r w:rsidR="003A4919">
        <w:rPr>
          <w:rFonts w:ascii="Times New Roman" w:hAnsi="Times New Roman" w:cs="Times New Roman"/>
          <w:sz w:val="24"/>
          <w:szCs w:val="24"/>
        </w:rPr>
        <w:t xml:space="preserve">we conducted regression analysis </w:t>
      </w:r>
      <w:r w:rsidR="008F44A9">
        <w:rPr>
          <w:rFonts w:ascii="Times New Roman" w:hAnsi="Times New Roman" w:cs="Times New Roman"/>
          <w:sz w:val="24"/>
          <w:szCs w:val="24"/>
        </w:rPr>
        <w:t xml:space="preserve">on the proportion of individuals </w:t>
      </w:r>
      <w:r w:rsidR="00BD741A">
        <w:rPr>
          <w:rFonts w:ascii="Times New Roman" w:hAnsi="Times New Roman" w:cs="Times New Roman"/>
          <w:sz w:val="24"/>
          <w:szCs w:val="24"/>
        </w:rPr>
        <w:t xml:space="preserve">within a single state </w:t>
      </w:r>
      <w:r w:rsidR="008F44A9">
        <w:rPr>
          <w:rFonts w:ascii="Times New Roman" w:hAnsi="Times New Roman" w:cs="Times New Roman"/>
          <w:sz w:val="24"/>
          <w:szCs w:val="24"/>
        </w:rPr>
        <w:t xml:space="preserve">who exhibited a particular health behavior as captured within the BRFSS. Through a difference-in-differences research design, we </w:t>
      </w:r>
      <w:r w:rsidR="002255FE">
        <w:rPr>
          <w:rFonts w:ascii="Times New Roman" w:hAnsi="Times New Roman" w:cs="Times New Roman"/>
          <w:sz w:val="24"/>
          <w:szCs w:val="24"/>
        </w:rPr>
        <w:t xml:space="preserve">determined the extent to which </w:t>
      </w:r>
      <w:r w:rsidR="00A96FDD">
        <w:rPr>
          <w:rFonts w:ascii="Times New Roman" w:hAnsi="Times New Roman" w:cs="Times New Roman"/>
          <w:sz w:val="24"/>
          <w:szCs w:val="24"/>
        </w:rPr>
        <w:t xml:space="preserve">individuals who received treatment [i.e., resided in a state that implemented reinsurance under 1332 waivers] </w:t>
      </w:r>
      <w:r w:rsidR="00CE470D">
        <w:rPr>
          <w:rFonts w:ascii="Times New Roman" w:hAnsi="Times New Roman" w:cs="Times New Roman"/>
          <w:sz w:val="24"/>
          <w:szCs w:val="24"/>
        </w:rPr>
        <w:t>alter</w:t>
      </w:r>
      <w:r w:rsidR="000069AA">
        <w:rPr>
          <w:rFonts w:ascii="Times New Roman" w:hAnsi="Times New Roman" w:cs="Times New Roman"/>
          <w:sz w:val="24"/>
          <w:szCs w:val="24"/>
        </w:rPr>
        <w:t>ed</w:t>
      </w:r>
      <w:r w:rsidR="00CE470D">
        <w:rPr>
          <w:rFonts w:ascii="Times New Roman" w:hAnsi="Times New Roman" w:cs="Times New Roman"/>
          <w:sz w:val="24"/>
          <w:szCs w:val="24"/>
        </w:rPr>
        <w:t xml:space="preserve"> their health-related behaviors</w:t>
      </w:r>
      <w:r w:rsidR="00787950">
        <w:rPr>
          <w:rFonts w:ascii="Times New Roman" w:hAnsi="Times New Roman" w:cs="Times New Roman"/>
          <w:sz w:val="24"/>
          <w:szCs w:val="24"/>
        </w:rPr>
        <w:t xml:space="preserve"> and health-based outcomes</w:t>
      </w:r>
      <w:r w:rsidR="00CE470D">
        <w:rPr>
          <w:rFonts w:ascii="Times New Roman" w:hAnsi="Times New Roman" w:cs="Times New Roman"/>
          <w:sz w:val="24"/>
          <w:szCs w:val="24"/>
        </w:rPr>
        <w:t xml:space="preserve"> when compared </w:t>
      </w:r>
      <w:r w:rsidR="00151352">
        <w:rPr>
          <w:rFonts w:ascii="Times New Roman" w:hAnsi="Times New Roman" w:cs="Times New Roman"/>
          <w:sz w:val="24"/>
          <w:szCs w:val="24"/>
        </w:rPr>
        <w:t>to individuals who did not receive treatment [i.e., resided in a state that did not implement a reinsurance program]</w:t>
      </w:r>
      <w:r w:rsidR="00055A2F">
        <w:rPr>
          <w:rFonts w:ascii="Times New Roman" w:hAnsi="Times New Roman" w:cs="Times New Roman"/>
          <w:sz w:val="24"/>
          <w:szCs w:val="24"/>
        </w:rPr>
        <w:t xml:space="preserve"> </w:t>
      </w:r>
      <w:r w:rsidR="006C2A23">
        <w:rPr>
          <w:rFonts w:ascii="Times New Roman" w:hAnsi="Times New Roman" w:cs="Times New Roman"/>
          <w:sz w:val="24"/>
          <w:szCs w:val="24"/>
        </w:rPr>
        <w:t xml:space="preserve">specifically </w:t>
      </w:r>
      <w:r w:rsidR="000069AA">
        <w:rPr>
          <w:rFonts w:ascii="Times New Roman" w:hAnsi="Times New Roman" w:cs="Times New Roman"/>
          <w:sz w:val="24"/>
          <w:szCs w:val="24"/>
        </w:rPr>
        <w:t xml:space="preserve">due to </w:t>
      </w:r>
      <w:r w:rsidR="00787950">
        <w:rPr>
          <w:rFonts w:ascii="Times New Roman" w:hAnsi="Times New Roman" w:cs="Times New Roman"/>
          <w:sz w:val="24"/>
          <w:szCs w:val="24"/>
        </w:rPr>
        <w:t>the treatment</w:t>
      </w:r>
      <w:r w:rsidR="000069AA">
        <w:rPr>
          <w:rFonts w:ascii="Times New Roman" w:hAnsi="Times New Roman" w:cs="Times New Roman"/>
          <w:sz w:val="24"/>
          <w:szCs w:val="24"/>
        </w:rPr>
        <w:t>.</w:t>
      </w:r>
      <w:r w:rsidR="00E1706A">
        <w:rPr>
          <w:rFonts w:ascii="Times New Roman" w:hAnsi="Times New Roman" w:cs="Times New Roman"/>
          <w:sz w:val="24"/>
          <w:szCs w:val="24"/>
        </w:rPr>
        <w:t xml:space="preserve"> The specific measures examined are covered thoroughly within </w:t>
      </w:r>
      <w:r w:rsidR="00AD496D">
        <w:rPr>
          <w:rFonts w:ascii="Times New Roman" w:hAnsi="Times New Roman" w:cs="Times New Roman"/>
          <w:sz w:val="24"/>
          <w:szCs w:val="24"/>
        </w:rPr>
        <w:t>section 3,</w:t>
      </w:r>
      <w:r w:rsidR="00E1706A">
        <w:rPr>
          <w:rFonts w:ascii="Times New Roman" w:hAnsi="Times New Roman" w:cs="Times New Roman"/>
          <w:sz w:val="24"/>
          <w:szCs w:val="24"/>
        </w:rPr>
        <w:t xml:space="preserve"> and they are predicated on </w:t>
      </w:r>
      <w:r w:rsidR="009F7DCB">
        <w:rPr>
          <w:rFonts w:ascii="Times New Roman" w:hAnsi="Times New Roman" w:cs="Times New Roman"/>
          <w:sz w:val="24"/>
          <w:szCs w:val="24"/>
        </w:rPr>
        <w:t xml:space="preserve">an individual’s mental, </w:t>
      </w:r>
      <w:r w:rsidR="00735F27">
        <w:rPr>
          <w:rFonts w:ascii="Times New Roman" w:hAnsi="Times New Roman" w:cs="Times New Roman"/>
          <w:sz w:val="24"/>
          <w:szCs w:val="24"/>
        </w:rPr>
        <w:t>physical,</w:t>
      </w:r>
      <w:r w:rsidR="009F7DCB">
        <w:rPr>
          <w:rFonts w:ascii="Times New Roman" w:hAnsi="Times New Roman" w:cs="Times New Roman"/>
          <w:sz w:val="24"/>
          <w:szCs w:val="24"/>
        </w:rPr>
        <w:t xml:space="preserve"> and overall health, their health insurance status, their ability to see a doctor without financial impediment, </w:t>
      </w:r>
      <w:r w:rsidR="00B60CE3">
        <w:rPr>
          <w:rFonts w:ascii="Times New Roman" w:hAnsi="Times New Roman" w:cs="Times New Roman"/>
          <w:sz w:val="24"/>
          <w:szCs w:val="24"/>
        </w:rPr>
        <w:t xml:space="preserve">their frequency of visiting a doctor and </w:t>
      </w:r>
      <w:proofErr w:type="gramStart"/>
      <w:r w:rsidR="00B60CE3">
        <w:rPr>
          <w:rFonts w:ascii="Times New Roman" w:hAnsi="Times New Roman" w:cs="Times New Roman"/>
          <w:sz w:val="24"/>
          <w:szCs w:val="24"/>
        </w:rPr>
        <w:t>whether or not</w:t>
      </w:r>
      <w:proofErr w:type="gramEnd"/>
      <w:r w:rsidR="00B60CE3">
        <w:rPr>
          <w:rFonts w:ascii="Times New Roman" w:hAnsi="Times New Roman" w:cs="Times New Roman"/>
          <w:sz w:val="24"/>
          <w:szCs w:val="24"/>
        </w:rPr>
        <w:t xml:space="preserve"> they have a primary personal doctor.</w:t>
      </w:r>
    </w:p>
    <w:p w14:paraId="6C1739C4" w14:textId="297D4DD3" w:rsidR="002E4760" w:rsidRDefault="000E37C6" w:rsidP="00F20721">
      <w:pPr>
        <w:rPr>
          <w:rFonts w:ascii="Times New Roman" w:hAnsi="Times New Roman" w:cs="Times New Roman"/>
          <w:sz w:val="24"/>
          <w:szCs w:val="24"/>
        </w:rPr>
      </w:pPr>
      <w:r>
        <w:rPr>
          <w:rFonts w:ascii="Times New Roman" w:hAnsi="Times New Roman" w:cs="Times New Roman"/>
          <w:sz w:val="24"/>
          <w:szCs w:val="24"/>
        </w:rPr>
        <w:tab/>
        <w:t xml:space="preserve">The results of this study yielded inconclusive results about the casual effect of reinsurance on </w:t>
      </w:r>
      <w:r w:rsidR="00490BAF">
        <w:rPr>
          <w:rFonts w:ascii="Times New Roman" w:hAnsi="Times New Roman" w:cs="Times New Roman"/>
          <w:sz w:val="24"/>
          <w:szCs w:val="24"/>
        </w:rPr>
        <w:t xml:space="preserve">a state population’s </w:t>
      </w:r>
      <w:r w:rsidR="00292D0A">
        <w:rPr>
          <w:rFonts w:ascii="Times New Roman" w:hAnsi="Times New Roman" w:cs="Times New Roman"/>
          <w:sz w:val="24"/>
          <w:szCs w:val="24"/>
        </w:rPr>
        <w:t>health status and engagement with health resources</w:t>
      </w:r>
      <w:r w:rsidR="00D75E4A">
        <w:rPr>
          <w:rFonts w:ascii="Times New Roman" w:hAnsi="Times New Roman" w:cs="Times New Roman"/>
          <w:sz w:val="24"/>
          <w:szCs w:val="24"/>
        </w:rPr>
        <w:t xml:space="preserve">. While some </w:t>
      </w:r>
      <w:r w:rsidR="00F40E67">
        <w:rPr>
          <w:rFonts w:ascii="Times New Roman" w:hAnsi="Times New Roman" w:cs="Times New Roman"/>
          <w:sz w:val="24"/>
          <w:szCs w:val="24"/>
        </w:rPr>
        <w:t xml:space="preserve">larger </w:t>
      </w:r>
      <w:r w:rsidR="00D75E4A">
        <w:rPr>
          <w:rFonts w:ascii="Times New Roman" w:hAnsi="Times New Roman" w:cs="Times New Roman"/>
          <w:sz w:val="24"/>
          <w:szCs w:val="24"/>
        </w:rPr>
        <w:t xml:space="preserve">trends and correlations were unveiled, our findings indicate that </w:t>
      </w:r>
      <w:r w:rsidR="00D93992">
        <w:rPr>
          <w:rFonts w:ascii="Times New Roman" w:hAnsi="Times New Roman" w:cs="Times New Roman"/>
          <w:sz w:val="24"/>
          <w:szCs w:val="24"/>
        </w:rPr>
        <w:t>it is not possible</w:t>
      </w:r>
      <w:r w:rsidR="00F40E67">
        <w:rPr>
          <w:rFonts w:ascii="Times New Roman" w:hAnsi="Times New Roman" w:cs="Times New Roman"/>
          <w:sz w:val="24"/>
          <w:szCs w:val="24"/>
        </w:rPr>
        <w:t xml:space="preserve"> to ascribe any causal effects of reinsurance on health outcomes</w:t>
      </w:r>
      <w:r w:rsidR="00D93992">
        <w:rPr>
          <w:rFonts w:ascii="Times New Roman" w:hAnsi="Times New Roman" w:cs="Times New Roman"/>
          <w:sz w:val="24"/>
          <w:szCs w:val="24"/>
        </w:rPr>
        <w:t>, utilizing the stated data with the given methodology</w:t>
      </w:r>
      <w:r w:rsidR="00F40E67">
        <w:rPr>
          <w:rFonts w:ascii="Times New Roman" w:hAnsi="Times New Roman" w:cs="Times New Roman"/>
          <w:sz w:val="24"/>
          <w:szCs w:val="24"/>
        </w:rPr>
        <w:t xml:space="preserve">. </w:t>
      </w:r>
      <w:r w:rsidR="006434AC">
        <w:rPr>
          <w:rFonts w:ascii="Times New Roman" w:hAnsi="Times New Roman" w:cs="Times New Roman"/>
          <w:sz w:val="24"/>
          <w:szCs w:val="24"/>
        </w:rPr>
        <w:t xml:space="preserve">These results give pause to the </w:t>
      </w:r>
      <w:r w:rsidR="007E7185">
        <w:rPr>
          <w:rFonts w:ascii="Times New Roman" w:hAnsi="Times New Roman" w:cs="Times New Roman"/>
          <w:sz w:val="24"/>
          <w:szCs w:val="24"/>
        </w:rPr>
        <w:t xml:space="preserve">true beneficial impacts on the general population that could be derived through a reinsurance program. </w:t>
      </w:r>
      <w:r w:rsidR="00B13A41">
        <w:rPr>
          <w:rFonts w:ascii="Times New Roman" w:hAnsi="Times New Roman" w:cs="Times New Roman"/>
          <w:sz w:val="24"/>
          <w:szCs w:val="24"/>
        </w:rPr>
        <w:t xml:space="preserve">Limitations and confounding elements of this research necessitate further investigation </w:t>
      </w:r>
      <w:r w:rsidR="00F27479">
        <w:rPr>
          <w:rFonts w:ascii="Times New Roman" w:hAnsi="Times New Roman" w:cs="Times New Roman"/>
          <w:sz w:val="24"/>
          <w:szCs w:val="24"/>
        </w:rPr>
        <w:t xml:space="preserve">into reinsurance through a variety of potential avenues, including, but not limited to: </w:t>
      </w:r>
      <w:r w:rsidR="004C6CBE">
        <w:rPr>
          <w:rFonts w:ascii="Times New Roman" w:hAnsi="Times New Roman" w:cs="Times New Roman"/>
          <w:sz w:val="24"/>
          <w:szCs w:val="24"/>
        </w:rPr>
        <w:t>considering a different set of health outcomes and behaviors</w:t>
      </w:r>
      <w:r w:rsidR="00D77A16">
        <w:rPr>
          <w:rFonts w:ascii="Times New Roman" w:hAnsi="Times New Roman" w:cs="Times New Roman"/>
          <w:sz w:val="24"/>
          <w:szCs w:val="24"/>
        </w:rPr>
        <w:t xml:space="preserve"> and/or a different data source</w:t>
      </w:r>
      <w:r w:rsidR="004C6CBE">
        <w:rPr>
          <w:rFonts w:ascii="Times New Roman" w:hAnsi="Times New Roman" w:cs="Times New Roman"/>
          <w:sz w:val="24"/>
          <w:szCs w:val="24"/>
        </w:rPr>
        <w:t>;</w:t>
      </w:r>
      <w:r w:rsidR="00D77A16">
        <w:rPr>
          <w:rFonts w:ascii="Times New Roman" w:hAnsi="Times New Roman" w:cs="Times New Roman"/>
          <w:sz w:val="24"/>
          <w:szCs w:val="24"/>
        </w:rPr>
        <w:t xml:space="preserve"> </w:t>
      </w:r>
      <w:r w:rsidR="00DC7E67">
        <w:rPr>
          <w:rFonts w:ascii="Times New Roman" w:hAnsi="Times New Roman" w:cs="Times New Roman"/>
          <w:sz w:val="24"/>
          <w:szCs w:val="24"/>
        </w:rPr>
        <w:t xml:space="preserve">comparing and </w:t>
      </w:r>
      <w:r w:rsidR="00A06363">
        <w:rPr>
          <w:rFonts w:ascii="Times New Roman" w:hAnsi="Times New Roman" w:cs="Times New Roman"/>
          <w:sz w:val="24"/>
          <w:szCs w:val="24"/>
        </w:rPr>
        <w:t xml:space="preserve">contrasting the effects of reinsurance on sub-populations as opposed to a wider general state population; </w:t>
      </w:r>
      <w:r w:rsidR="00DC7E67">
        <w:rPr>
          <w:rFonts w:ascii="Times New Roman" w:hAnsi="Times New Roman" w:cs="Times New Roman"/>
          <w:sz w:val="24"/>
          <w:szCs w:val="24"/>
        </w:rPr>
        <w:t xml:space="preserve">analyzing whether reinsurance bears any impact on </w:t>
      </w:r>
      <w:r w:rsidR="00E9744D">
        <w:rPr>
          <w:rFonts w:ascii="Times New Roman" w:hAnsi="Times New Roman" w:cs="Times New Roman"/>
          <w:sz w:val="24"/>
          <w:szCs w:val="24"/>
        </w:rPr>
        <w:t>what services health insurers choose to cover</w:t>
      </w:r>
      <w:r w:rsidR="005446D5">
        <w:rPr>
          <w:rFonts w:ascii="Times New Roman" w:hAnsi="Times New Roman" w:cs="Times New Roman"/>
          <w:sz w:val="24"/>
          <w:szCs w:val="24"/>
        </w:rPr>
        <w:t xml:space="preserve"> [or to what extent</w:t>
      </w:r>
      <w:r w:rsidR="00283B2F">
        <w:rPr>
          <w:rFonts w:ascii="Times New Roman" w:hAnsi="Times New Roman" w:cs="Times New Roman"/>
          <w:sz w:val="24"/>
          <w:szCs w:val="24"/>
        </w:rPr>
        <w:t xml:space="preserve"> they are covered</w:t>
      </w:r>
      <w:r w:rsidR="005446D5">
        <w:rPr>
          <w:rFonts w:ascii="Times New Roman" w:hAnsi="Times New Roman" w:cs="Times New Roman"/>
          <w:sz w:val="24"/>
          <w:szCs w:val="24"/>
        </w:rPr>
        <w:t>]</w:t>
      </w:r>
      <w:r w:rsidR="00E9744D">
        <w:rPr>
          <w:rFonts w:ascii="Times New Roman" w:hAnsi="Times New Roman" w:cs="Times New Roman"/>
          <w:sz w:val="24"/>
          <w:szCs w:val="24"/>
        </w:rPr>
        <w:t xml:space="preserve">, and how that </w:t>
      </w:r>
      <w:r w:rsidR="005446D5">
        <w:rPr>
          <w:rFonts w:ascii="Times New Roman" w:hAnsi="Times New Roman" w:cs="Times New Roman"/>
          <w:sz w:val="24"/>
          <w:szCs w:val="24"/>
        </w:rPr>
        <w:t>trickles down to the insured consumer.</w:t>
      </w:r>
      <w:r w:rsidR="00DC7E67">
        <w:rPr>
          <w:rFonts w:ascii="Times New Roman" w:hAnsi="Times New Roman" w:cs="Times New Roman"/>
          <w:sz w:val="24"/>
          <w:szCs w:val="24"/>
        </w:rPr>
        <w:t xml:space="preserve"> </w:t>
      </w:r>
    </w:p>
    <w:p w14:paraId="471F5B76" w14:textId="38DDC964" w:rsidR="004220EC" w:rsidRDefault="004220EC" w:rsidP="00F20721">
      <w:pPr>
        <w:rPr>
          <w:rFonts w:ascii="Times New Roman" w:hAnsi="Times New Roman" w:cs="Times New Roman"/>
          <w:sz w:val="24"/>
          <w:szCs w:val="24"/>
        </w:rPr>
      </w:pPr>
      <w:r>
        <w:rPr>
          <w:rFonts w:ascii="Times New Roman" w:hAnsi="Times New Roman" w:cs="Times New Roman"/>
          <w:sz w:val="24"/>
          <w:szCs w:val="24"/>
        </w:rPr>
        <w:tab/>
        <w:t xml:space="preserve">The rest of the paper is organized as follows: </w:t>
      </w:r>
      <w:r w:rsidR="008C4FCA">
        <w:rPr>
          <w:rFonts w:ascii="Times New Roman" w:hAnsi="Times New Roman" w:cs="Times New Roman"/>
          <w:sz w:val="24"/>
          <w:szCs w:val="24"/>
        </w:rPr>
        <w:t xml:space="preserve">Section 2 provides a literature review, section 3 </w:t>
      </w:r>
      <w:r w:rsidR="007E0D34">
        <w:rPr>
          <w:rFonts w:ascii="Times New Roman" w:hAnsi="Times New Roman" w:cs="Times New Roman"/>
          <w:sz w:val="24"/>
          <w:szCs w:val="24"/>
        </w:rPr>
        <w:t xml:space="preserve">describes the data and variables of interest, section 4 </w:t>
      </w:r>
      <w:r w:rsidR="002D4946">
        <w:rPr>
          <w:rFonts w:ascii="Times New Roman" w:hAnsi="Times New Roman" w:cs="Times New Roman"/>
          <w:sz w:val="24"/>
          <w:szCs w:val="24"/>
        </w:rPr>
        <w:t xml:space="preserve">explains the methodology of the research design, section 5 reports the results of the analysis, section 6 is a discussion of those results, and section 7 </w:t>
      </w:r>
      <w:r w:rsidR="00560288">
        <w:rPr>
          <w:rFonts w:ascii="Times New Roman" w:hAnsi="Times New Roman" w:cs="Times New Roman"/>
          <w:sz w:val="24"/>
          <w:szCs w:val="24"/>
        </w:rPr>
        <w:t>contains concluding remarks.</w:t>
      </w:r>
    </w:p>
    <w:p w14:paraId="4E44C798" w14:textId="3FA9ECE2" w:rsidR="002E4760" w:rsidRDefault="002E4760" w:rsidP="00F20721">
      <w:pPr>
        <w:rPr>
          <w:rFonts w:ascii="Times New Roman" w:hAnsi="Times New Roman" w:cs="Times New Roman"/>
          <w:sz w:val="24"/>
          <w:szCs w:val="24"/>
        </w:rPr>
      </w:pPr>
    </w:p>
    <w:p w14:paraId="74F16BB2" w14:textId="6CBD8472" w:rsidR="002E4760" w:rsidRDefault="002E4760" w:rsidP="00F20721">
      <w:pPr>
        <w:rPr>
          <w:rFonts w:ascii="Times New Roman" w:hAnsi="Times New Roman" w:cs="Times New Roman"/>
          <w:sz w:val="24"/>
          <w:szCs w:val="24"/>
        </w:rPr>
      </w:pPr>
    </w:p>
    <w:p w14:paraId="3D8F0220" w14:textId="32515114" w:rsidR="002E4760" w:rsidRDefault="002E4760" w:rsidP="00F20721">
      <w:pPr>
        <w:rPr>
          <w:rFonts w:ascii="Times New Roman" w:hAnsi="Times New Roman" w:cs="Times New Roman"/>
          <w:sz w:val="24"/>
          <w:szCs w:val="24"/>
        </w:rPr>
      </w:pPr>
    </w:p>
    <w:p w14:paraId="74A042BB" w14:textId="432CF14D" w:rsidR="002E4760" w:rsidRDefault="002E4760" w:rsidP="00F20721">
      <w:pPr>
        <w:rPr>
          <w:rFonts w:ascii="Times New Roman" w:hAnsi="Times New Roman" w:cs="Times New Roman"/>
          <w:sz w:val="24"/>
          <w:szCs w:val="24"/>
        </w:rPr>
      </w:pPr>
    </w:p>
    <w:p w14:paraId="2E31EA12" w14:textId="4BED78E0" w:rsidR="002E4760" w:rsidRDefault="002E4760" w:rsidP="00F20721">
      <w:pPr>
        <w:rPr>
          <w:rFonts w:ascii="Times New Roman" w:hAnsi="Times New Roman" w:cs="Times New Roman"/>
          <w:sz w:val="24"/>
          <w:szCs w:val="24"/>
        </w:rPr>
      </w:pPr>
    </w:p>
    <w:p w14:paraId="7B9ED55A" w14:textId="690345FF" w:rsidR="000F4A46" w:rsidRDefault="000F4A46" w:rsidP="00F20721">
      <w:pPr>
        <w:rPr>
          <w:rFonts w:ascii="Times New Roman" w:hAnsi="Times New Roman" w:cs="Times New Roman"/>
          <w:sz w:val="24"/>
          <w:szCs w:val="24"/>
        </w:rPr>
      </w:pPr>
    </w:p>
    <w:p w14:paraId="3DA14392" w14:textId="77777777" w:rsidR="002D61CE" w:rsidRDefault="002D61CE" w:rsidP="00F20721">
      <w:pPr>
        <w:rPr>
          <w:rFonts w:ascii="Times New Roman" w:hAnsi="Times New Roman" w:cs="Times New Roman"/>
          <w:sz w:val="24"/>
          <w:szCs w:val="24"/>
        </w:rPr>
      </w:pPr>
    </w:p>
    <w:p w14:paraId="7977C32B" w14:textId="77777777" w:rsidR="002E4760" w:rsidRDefault="002E4760" w:rsidP="00F20721">
      <w:pPr>
        <w:rPr>
          <w:rFonts w:ascii="Times New Roman" w:hAnsi="Times New Roman" w:cs="Times New Roman"/>
          <w:sz w:val="24"/>
          <w:szCs w:val="24"/>
        </w:rPr>
      </w:pPr>
    </w:p>
    <w:p w14:paraId="232BEBA0" w14:textId="3DBECBBB" w:rsidR="00A206C0" w:rsidRPr="00C34639" w:rsidRDefault="0051369C" w:rsidP="00A206C0">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Section 2: </w:t>
      </w:r>
      <w:r w:rsidR="00A206C0" w:rsidRPr="00C34639">
        <w:rPr>
          <w:rFonts w:ascii="Times New Roman" w:hAnsi="Times New Roman" w:cs="Times New Roman"/>
          <w:b/>
          <w:bCs/>
          <w:sz w:val="28"/>
          <w:szCs w:val="28"/>
          <w:u w:val="single"/>
        </w:rPr>
        <w:t>Literature Review</w:t>
      </w:r>
    </w:p>
    <w:p w14:paraId="2DCF8A9F" w14:textId="540203BB" w:rsidR="00F20721" w:rsidRDefault="004C5F49" w:rsidP="007B7511">
      <w:pPr>
        <w:rPr>
          <w:rFonts w:ascii="Times New Roman" w:hAnsi="Times New Roman" w:cs="Times New Roman"/>
          <w:i/>
          <w:iCs/>
          <w:sz w:val="24"/>
          <w:szCs w:val="24"/>
        </w:rPr>
      </w:pPr>
      <w:r>
        <w:rPr>
          <w:rFonts w:ascii="Times New Roman" w:hAnsi="Times New Roman" w:cs="Times New Roman"/>
          <w:i/>
          <w:iCs/>
          <w:sz w:val="24"/>
          <w:szCs w:val="24"/>
        </w:rPr>
        <w:t>Reinsurance in a General Framework</w:t>
      </w:r>
    </w:p>
    <w:p w14:paraId="659DAEE0" w14:textId="5739F762" w:rsidR="00965966" w:rsidRDefault="00B552E4" w:rsidP="00B552E4">
      <w:pPr>
        <w:ind w:firstLine="720"/>
        <w:rPr>
          <w:rFonts w:ascii="Times New Roman" w:hAnsi="Times New Roman" w:cs="Times New Roman"/>
          <w:sz w:val="24"/>
          <w:szCs w:val="24"/>
        </w:rPr>
      </w:pPr>
      <w:r>
        <w:rPr>
          <w:rFonts w:ascii="Times New Roman" w:hAnsi="Times New Roman" w:cs="Times New Roman"/>
          <w:sz w:val="24"/>
          <w:szCs w:val="24"/>
        </w:rPr>
        <w:t xml:space="preserve">To </w:t>
      </w:r>
      <w:r w:rsidR="00FB567C">
        <w:rPr>
          <w:rFonts w:ascii="Times New Roman" w:hAnsi="Times New Roman" w:cs="Times New Roman"/>
          <w:sz w:val="24"/>
          <w:szCs w:val="24"/>
        </w:rPr>
        <w:t>begin</w:t>
      </w:r>
      <w:r>
        <w:rPr>
          <w:rFonts w:ascii="Times New Roman" w:hAnsi="Times New Roman" w:cs="Times New Roman"/>
          <w:sz w:val="24"/>
          <w:szCs w:val="24"/>
        </w:rPr>
        <w:t xml:space="preserve">, we look at what prior research has unveiled about how reinsurance works, generally, in an insurance market. In our context, reinsurance is a mechanism that affects the supply-side of the market, as reinsurers and policyholders do not directly interact with one another. Research of this market has revealed that optimal decisions, from the insurer’s perspective, do exist in the presence of reinsurance with regards to premiums charged to policyholders and the amount of risk ceded to reinsurers; moreover, the existence of reinsurance implies that an insurer could feasibly reap more profit than without the reinsurer (Zhuang, 2016). The implication here, then, is that primary insurers could serve to benefit by offering more insurance, and then passing off some of the </w:t>
      </w:r>
      <w:r w:rsidR="006F0542">
        <w:rPr>
          <w:rFonts w:ascii="Times New Roman" w:hAnsi="Times New Roman" w:cs="Times New Roman"/>
          <w:sz w:val="24"/>
          <w:szCs w:val="24"/>
        </w:rPr>
        <w:t xml:space="preserve">additionally incurred </w:t>
      </w:r>
      <w:r>
        <w:rPr>
          <w:rFonts w:ascii="Times New Roman" w:hAnsi="Times New Roman" w:cs="Times New Roman"/>
          <w:sz w:val="24"/>
          <w:szCs w:val="24"/>
        </w:rPr>
        <w:t>risk to the reinsurer.</w:t>
      </w:r>
    </w:p>
    <w:p w14:paraId="6C55F8DE" w14:textId="5564F52B" w:rsidR="004C5F49" w:rsidRDefault="00B552E4" w:rsidP="00B552E4">
      <w:pPr>
        <w:ind w:firstLine="720"/>
        <w:rPr>
          <w:rFonts w:ascii="Times New Roman" w:hAnsi="Times New Roman" w:cs="Times New Roman"/>
          <w:sz w:val="24"/>
          <w:szCs w:val="24"/>
        </w:rPr>
      </w:pPr>
      <w:r>
        <w:rPr>
          <w:rFonts w:ascii="Times New Roman" w:hAnsi="Times New Roman" w:cs="Times New Roman"/>
          <w:sz w:val="24"/>
          <w:szCs w:val="24"/>
        </w:rPr>
        <w:t xml:space="preserve"> Although the purchase of reinsurance is typically costly, it tends to be worthwhile. By purchasing reinsurance, the insurer</w:t>
      </w:r>
      <w:r w:rsidR="003F19AD">
        <w:rPr>
          <w:rFonts w:ascii="Times New Roman" w:hAnsi="Times New Roman" w:cs="Times New Roman"/>
          <w:sz w:val="24"/>
          <w:szCs w:val="24"/>
        </w:rPr>
        <w:t xml:space="preserve"> does</w:t>
      </w:r>
      <w:r>
        <w:rPr>
          <w:rFonts w:ascii="Times New Roman" w:hAnsi="Times New Roman" w:cs="Times New Roman"/>
          <w:sz w:val="24"/>
          <w:szCs w:val="24"/>
        </w:rPr>
        <w:t xml:space="preserve"> concede that they</w:t>
      </w:r>
      <w:r w:rsidR="003F19AD">
        <w:rPr>
          <w:rFonts w:ascii="Times New Roman" w:hAnsi="Times New Roman" w:cs="Times New Roman"/>
          <w:sz w:val="24"/>
          <w:szCs w:val="24"/>
        </w:rPr>
        <w:t xml:space="preserve"> expect to</w:t>
      </w:r>
      <w:r>
        <w:rPr>
          <w:rFonts w:ascii="Times New Roman" w:hAnsi="Times New Roman" w:cs="Times New Roman"/>
          <w:sz w:val="24"/>
          <w:szCs w:val="24"/>
        </w:rPr>
        <w:t xml:space="preserve"> have to pay higher costs </w:t>
      </w:r>
      <w:r w:rsidR="00974CF7">
        <w:rPr>
          <w:rFonts w:ascii="Times New Roman" w:hAnsi="Times New Roman" w:cs="Times New Roman"/>
          <w:sz w:val="24"/>
          <w:szCs w:val="24"/>
        </w:rPr>
        <w:t>in</w:t>
      </w:r>
      <w:r>
        <w:rPr>
          <w:rFonts w:ascii="Times New Roman" w:hAnsi="Times New Roman" w:cs="Times New Roman"/>
          <w:sz w:val="24"/>
          <w:szCs w:val="24"/>
        </w:rPr>
        <w:t xml:space="preserve"> produc</w:t>
      </w:r>
      <w:r w:rsidR="00974CF7">
        <w:rPr>
          <w:rFonts w:ascii="Times New Roman" w:hAnsi="Times New Roman" w:cs="Times New Roman"/>
          <w:sz w:val="24"/>
          <w:szCs w:val="24"/>
        </w:rPr>
        <w:t>ing</w:t>
      </w:r>
      <w:r>
        <w:rPr>
          <w:rFonts w:ascii="Times New Roman" w:hAnsi="Times New Roman" w:cs="Times New Roman"/>
          <w:sz w:val="24"/>
          <w:szCs w:val="24"/>
        </w:rPr>
        <w:t xml:space="preserve"> insurable services for the claims they </w:t>
      </w:r>
      <w:r w:rsidR="00974CF7">
        <w:rPr>
          <w:rFonts w:ascii="Times New Roman" w:hAnsi="Times New Roman" w:cs="Times New Roman"/>
          <w:sz w:val="24"/>
          <w:szCs w:val="24"/>
        </w:rPr>
        <w:t>choose to</w:t>
      </w:r>
      <w:r>
        <w:rPr>
          <w:rFonts w:ascii="Times New Roman" w:hAnsi="Times New Roman" w:cs="Times New Roman"/>
          <w:sz w:val="24"/>
          <w:szCs w:val="24"/>
        </w:rPr>
        <w:t xml:space="preserve"> reinsur</w:t>
      </w:r>
      <w:r w:rsidR="00974CF7">
        <w:rPr>
          <w:rFonts w:ascii="Times New Roman" w:hAnsi="Times New Roman" w:cs="Times New Roman"/>
          <w:sz w:val="24"/>
          <w:szCs w:val="24"/>
        </w:rPr>
        <w:t>e</w:t>
      </w:r>
      <w:r>
        <w:rPr>
          <w:rFonts w:ascii="Times New Roman" w:hAnsi="Times New Roman" w:cs="Times New Roman"/>
          <w:sz w:val="24"/>
          <w:szCs w:val="24"/>
        </w:rPr>
        <w:t>, but they do so to reduce the risk they are financially liable for (Cummins, 2008</w:t>
      </w:r>
      <w:r w:rsidR="00974CF7">
        <w:rPr>
          <w:rFonts w:ascii="Times New Roman" w:hAnsi="Times New Roman" w:cs="Times New Roman"/>
          <w:sz w:val="24"/>
          <w:szCs w:val="24"/>
        </w:rPr>
        <w:t>).</w:t>
      </w:r>
      <w:r w:rsidR="005425B2">
        <w:rPr>
          <w:rFonts w:ascii="Times New Roman" w:hAnsi="Times New Roman" w:cs="Times New Roman"/>
          <w:sz w:val="24"/>
          <w:szCs w:val="24"/>
        </w:rPr>
        <w:t xml:space="preserve"> </w:t>
      </w:r>
      <w:r>
        <w:rPr>
          <w:rFonts w:ascii="Times New Roman" w:hAnsi="Times New Roman" w:cs="Times New Roman"/>
          <w:sz w:val="24"/>
          <w:szCs w:val="24"/>
        </w:rPr>
        <w:t>This supports the findings</w:t>
      </w:r>
      <w:r w:rsidR="00CC4CB3">
        <w:rPr>
          <w:rFonts w:ascii="Times New Roman" w:hAnsi="Times New Roman" w:cs="Times New Roman"/>
          <w:sz w:val="24"/>
          <w:szCs w:val="24"/>
        </w:rPr>
        <w:t xml:space="preserve"> by Zhuang</w:t>
      </w:r>
      <w:r>
        <w:rPr>
          <w:rFonts w:ascii="Times New Roman" w:hAnsi="Times New Roman" w:cs="Times New Roman"/>
          <w:sz w:val="24"/>
          <w:szCs w:val="24"/>
        </w:rPr>
        <w:t>, suggesting that higher costs do not directly lead to larger losses in a market that features reinsurance, which permits insurers to underwrite more risk for policyholders</w:t>
      </w:r>
      <w:r w:rsidR="00FD38BA">
        <w:rPr>
          <w:rFonts w:ascii="Times New Roman" w:hAnsi="Times New Roman" w:cs="Times New Roman"/>
          <w:sz w:val="24"/>
          <w:szCs w:val="24"/>
        </w:rPr>
        <w:t xml:space="preserve">. Moreover, Zhuang’s results also demonstrated the existence of an optimum premium in the presence of reinsurance. </w:t>
      </w:r>
      <w:r w:rsidR="00DE4A10">
        <w:rPr>
          <w:rFonts w:ascii="Times New Roman" w:hAnsi="Times New Roman" w:cs="Times New Roman"/>
          <w:sz w:val="24"/>
          <w:szCs w:val="24"/>
        </w:rPr>
        <w:t xml:space="preserve">While not </w:t>
      </w:r>
      <w:proofErr w:type="gramStart"/>
      <w:r w:rsidR="00DE4A10">
        <w:rPr>
          <w:rFonts w:ascii="Times New Roman" w:hAnsi="Times New Roman" w:cs="Times New Roman"/>
          <w:sz w:val="24"/>
          <w:szCs w:val="24"/>
        </w:rPr>
        <w:t>directly specified</w:t>
      </w:r>
      <w:proofErr w:type="gramEnd"/>
      <w:r w:rsidR="00EC1E40">
        <w:rPr>
          <w:rFonts w:ascii="Times New Roman" w:hAnsi="Times New Roman" w:cs="Times New Roman"/>
          <w:sz w:val="24"/>
          <w:szCs w:val="24"/>
        </w:rPr>
        <w:t xml:space="preserve"> in that paper</w:t>
      </w:r>
      <w:r w:rsidR="00DE4A10">
        <w:rPr>
          <w:rFonts w:ascii="Times New Roman" w:hAnsi="Times New Roman" w:cs="Times New Roman"/>
          <w:sz w:val="24"/>
          <w:szCs w:val="24"/>
        </w:rPr>
        <w:t xml:space="preserve">, a traditional economist perspective on these policies </w:t>
      </w:r>
      <w:r w:rsidR="00C674F3">
        <w:rPr>
          <w:rFonts w:ascii="Times New Roman" w:hAnsi="Times New Roman" w:cs="Times New Roman"/>
          <w:sz w:val="24"/>
          <w:szCs w:val="24"/>
        </w:rPr>
        <w:t xml:space="preserve">can be used to contemplate </w:t>
      </w:r>
      <w:r w:rsidR="00B23158">
        <w:rPr>
          <w:rFonts w:ascii="Times New Roman" w:hAnsi="Times New Roman" w:cs="Times New Roman"/>
          <w:sz w:val="24"/>
          <w:szCs w:val="24"/>
        </w:rPr>
        <w:t xml:space="preserve">how that optimal premium differs from equilibrium; </w:t>
      </w:r>
      <w:r w:rsidR="002D6442">
        <w:rPr>
          <w:rFonts w:ascii="Times New Roman" w:hAnsi="Times New Roman" w:cs="Times New Roman"/>
          <w:sz w:val="24"/>
          <w:szCs w:val="24"/>
        </w:rPr>
        <w:t>reinsurance is a policy which is shifting the supply curve to the right</w:t>
      </w:r>
      <w:r w:rsidR="00015AB1">
        <w:rPr>
          <w:rFonts w:ascii="Times New Roman" w:hAnsi="Times New Roman" w:cs="Times New Roman"/>
          <w:sz w:val="24"/>
          <w:szCs w:val="24"/>
        </w:rPr>
        <w:t xml:space="preserve">, hence </w:t>
      </w:r>
      <w:r w:rsidR="00D931A7">
        <w:rPr>
          <w:rFonts w:ascii="Times New Roman" w:hAnsi="Times New Roman" w:cs="Times New Roman"/>
          <w:sz w:val="24"/>
          <w:szCs w:val="24"/>
        </w:rPr>
        <w:t xml:space="preserve">the increased quantity supplied by the underwriting of additional insurance. </w:t>
      </w:r>
      <w:r w:rsidR="00714993">
        <w:rPr>
          <w:rFonts w:ascii="Times New Roman" w:hAnsi="Times New Roman" w:cs="Times New Roman"/>
          <w:sz w:val="24"/>
          <w:szCs w:val="24"/>
        </w:rPr>
        <w:t>From this perspective, we would expect to also see a decreased premium price charged to policyholders.</w:t>
      </w:r>
    </w:p>
    <w:p w14:paraId="1D1E523B" w14:textId="17E3172F" w:rsidR="00714993" w:rsidRDefault="00714993" w:rsidP="00714993">
      <w:pPr>
        <w:rPr>
          <w:rFonts w:ascii="Times New Roman" w:hAnsi="Times New Roman" w:cs="Times New Roman"/>
          <w:i/>
          <w:iCs/>
          <w:sz w:val="24"/>
          <w:szCs w:val="24"/>
        </w:rPr>
      </w:pPr>
      <w:r>
        <w:rPr>
          <w:rFonts w:ascii="Times New Roman" w:hAnsi="Times New Roman" w:cs="Times New Roman"/>
          <w:i/>
          <w:iCs/>
          <w:sz w:val="24"/>
          <w:szCs w:val="24"/>
        </w:rPr>
        <w:t xml:space="preserve">Reinsurance in </w:t>
      </w:r>
      <w:r w:rsidR="00122DA9">
        <w:rPr>
          <w:rFonts w:ascii="Times New Roman" w:hAnsi="Times New Roman" w:cs="Times New Roman"/>
          <w:i/>
          <w:iCs/>
          <w:sz w:val="24"/>
          <w:szCs w:val="24"/>
        </w:rPr>
        <w:t>Health Care Markets</w:t>
      </w:r>
      <w:r w:rsidR="002E326C">
        <w:rPr>
          <w:rFonts w:ascii="Times New Roman" w:hAnsi="Times New Roman" w:cs="Times New Roman"/>
          <w:i/>
          <w:iCs/>
          <w:sz w:val="24"/>
          <w:szCs w:val="24"/>
        </w:rPr>
        <w:t>: Supply-Side Direct Impacts</w:t>
      </w:r>
    </w:p>
    <w:p w14:paraId="4166A40B" w14:textId="02DC6AE6" w:rsidR="00D57210" w:rsidRDefault="00D57210" w:rsidP="00A63111">
      <w:pPr>
        <w:ind w:firstLine="720"/>
        <w:rPr>
          <w:rFonts w:ascii="Times New Roman" w:hAnsi="Times New Roman" w:cs="Times New Roman"/>
          <w:sz w:val="24"/>
          <w:szCs w:val="24"/>
        </w:rPr>
      </w:pPr>
      <w:r>
        <w:rPr>
          <w:rFonts w:ascii="Times New Roman" w:hAnsi="Times New Roman" w:cs="Times New Roman"/>
          <w:sz w:val="24"/>
          <w:szCs w:val="24"/>
        </w:rPr>
        <w:t>Armed with the knowledge of how reinsurance affects insurer behavior generally, we turn towards research that is more focused on the specific impacts of reinsurance in health-care markets</w:t>
      </w:r>
      <w:r w:rsidR="00855327">
        <w:rPr>
          <w:rFonts w:ascii="Times New Roman" w:hAnsi="Times New Roman" w:cs="Times New Roman"/>
          <w:sz w:val="24"/>
          <w:szCs w:val="24"/>
        </w:rPr>
        <w:t>, a</w:t>
      </w:r>
      <w:r>
        <w:rPr>
          <w:rFonts w:ascii="Times New Roman" w:hAnsi="Times New Roman" w:cs="Times New Roman"/>
          <w:sz w:val="24"/>
          <w:szCs w:val="24"/>
        </w:rPr>
        <w:t xml:space="preserve">s </w:t>
      </w:r>
      <w:r w:rsidR="00320182">
        <w:rPr>
          <w:rFonts w:ascii="Times New Roman" w:hAnsi="Times New Roman" w:cs="Times New Roman"/>
          <w:sz w:val="24"/>
          <w:szCs w:val="24"/>
        </w:rPr>
        <w:t>most of</w:t>
      </w:r>
      <w:r>
        <w:rPr>
          <w:rFonts w:ascii="Times New Roman" w:hAnsi="Times New Roman" w:cs="Times New Roman"/>
          <w:sz w:val="24"/>
          <w:szCs w:val="24"/>
        </w:rPr>
        <w:t xml:space="preserve"> the early </w:t>
      </w:r>
      <w:r w:rsidR="00F02C55">
        <w:rPr>
          <w:rFonts w:ascii="Times New Roman" w:hAnsi="Times New Roman" w:cs="Times New Roman"/>
          <w:sz w:val="24"/>
          <w:szCs w:val="24"/>
        </w:rPr>
        <w:t>studies</w:t>
      </w:r>
      <w:r>
        <w:rPr>
          <w:rFonts w:ascii="Times New Roman" w:hAnsi="Times New Roman" w:cs="Times New Roman"/>
          <w:sz w:val="24"/>
          <w:szCs w:val="24"/>
        </w:rPr>
        <w:t xml:space="preserve"> on this topic ha</w:t>
      </w:r>
      <w:r w:rsidR="00320182">
        <w:rPr>
          <w:rFonts w:ascii="Times New Roman" w:hAnsi="Times New Roman" w:cs="Times New Roman"/>
          <w:sz w:val="24"/>
          <w:szCs w:val="24"/>
        </w:rPr>
        <w:t>ve</w:t>
      </w:r>
      <w:r>
        <w:rPr>
          <w:rFonts w:ascii="Times New Roman" w:hAnsi="Times New Roman" w:cs="Times New Roman"/>
          <w:sz w:val="24"/>
          <w:szCs w:val="24"/>
        </w:rPr>
        <w:t xml:space="preserve"> examined outcomes from a primary insurer’s perspective</w:t>
      </w:r>
      <w:r w:rsidR="00855327">
        <w:rPr>
          <w:rFonts w:ascii="Times New Roman" w:hAnsi="Times New Roman" w:cs="Times New Roman"/>
          <w:sz w:val="24"/>
          <w:szCs w:val="24"/>
        </w:rPr>
        <w:t xml:space="preserve">. </w:t>
      </w:r>
      <w:r>
        <w:rPr>
          <w:rFonts w:ascii="Times New Roman" w:hAnsi="Times New Roman" w:cs="Times New Roman"/>
          <w:sz w:val="24"/>
          <w:szCs w:val="24"/>
        </w:rPr>
        <w:t>To verify what we expect</w:t>
      </w:r>
      <w:r w:rsidR="00A63111">
        <w:rPr>
          <w:rFonts w:ascii="Times New Roman" w:hAnsi="Times New Roman" w:cs="Times New Roman"/>
          <w:sz w:val="24"/>
          <w:szCs w:val="24"/>
        </w:rPr>
        <w:t xml:space="preserve"> </w:t>
      </w:r>
      <w:r w:rsidR="002D0BD0">
        <w:rPr>
          <w:rFonts w:ascii="Times New Roman" w:hAnsi="Times New Roman" w:cs="Times New Roman"/>
          <w:sz w:val="24"/>
          <w:szCs w:val="24"/>
        </w:rPr>
        <w:t>regarding</w:t>
      </w:r>
      <w:r w:rsidR="00A63111">
        <w:rPr>
          <w:rFonts w:ascii="Times New Roman" w:hAnsi="Times New Roman" w:cs="Times New Roman"/>
          <w:sz w:val="24"/>
          <w:szCs w:val="24"/>
        </w:rPr>
        <w:t xml:space="preserve"> premium </w:t>
      </w:r>
      <w:r w:rsidR="001F2D6F">
        <w:rPr>
          <w:rFonts w:ascii="Times New Roman" w:hAnsi="Times New Roman" w:cs="Times New Roman"/>
          <w:sz w:val="24"/>
          <w:szCs w:val="24"/>
        </w:rPr>
        <w:t>prices</w:t>
      </w:r>
      <w:r>
        <w:rPr>
          <w:rFonts w:ascii="Times New Roman" w:hAnsi="Times New Roman" w:cs="Times New Roman"/>
          <w:sz w:val="24"/>
          <w:szCs w:val="24"/>
        </w:rPr>
        <w:t>, we note that former research has demonstrated how states that operate reinsurance programs see, on average, a 16.9% reduction in their individual market premiums, relative to estimated premiums without reinsurance (Sloan, 2019). This agrees with previously detailed research, and so do findings that reinsurance greatly decreases the variability of profits for private insurers (Ellis, 2017). Again, this makes sense as insurers no longer suffer the full brunt of any high-end losses, helping to drive down costs and stabiliz</w:t>
      </w:r>
      <w:r w:rsidR="00171C09">
        <w:rPr>
          <w:rFonts w:ascii="Times New Roman" w:hAnsi="Times New Roman" w:cs="Times New Roman"/>
          <w:sz w:val="24"/>
          <w:szCs w:val="24"/>
        </w:rPr>
        <w:t xml:space="preserve">e </w:t>
      </w:r>
      <w:r>
        <w:rPr>
          <w:rFonts w:ascii="Times New Roman" w:hAnsi="Times New Roman" w:cs="Times New Roman"/>
          <w:sz w:val="24"/>
          <w:szCs w:val="24"/>
        </w:rPr>
        <w:t xml:space="preserve">expected profits, which in turn means that stabilization can be passed off to consumer prices. While some expected results of implementing reinsurance have been borne out, others </w:t>
      </w:r>
      <w:r w:rsidR="00B87703">
        <w:rPr>
          <w:rFonts w:ascii="Times New Roman" w:hAnsi="Times New Roman" w:cs="Times New Roman"/>
          <w:sz w:val="24"/>
          <w:szCs w:val="24"/>
        </w:rPr>
        <w:t>remain</w:t>
      </w:r>
      <w:r>
        <w:rPr>
          <w:rFonts w:ascii="Times New Roman" w:hAnsi="Times New Roman" w:cs="Times New Roman"/>
          <w:sz w:val="24"/>
          <w:szCs w:val="24"/>
        </w:rPr>
        <w:t xml:space="preserve"> </w:t>
      </w:r>
      <w:r w:rsidR="00C22280">
        <w:rPr>
          <w:rFonts w:ascii="Times New Roman" w:hAnsi="Times New Roman" w:cs="Times New Roman"/>
          <w:sz w:val="24"/>
          <w:szCs w:val="24"/>
        </w:rPr>
        <w:t xml:space="preserve">somewhat </w:t>
      </w:r>
      <w:r>
        <w:rPr>
          <w:rFonts w:ascii="Times New Roman" w:hAnsi="Times New Roman" w:cs="Times New Roman"/>
          <w:sz w:val="24"/>
          <w:szCs w:val="24"/>
        </w:rPr>
        <w:t>unclear.</w:t>
      </w:r>
    </w:p>
    <w:p w14:paraId="19B01A5B" w14:textId="59ADEC33" w:rsidR="00D57210" w:rsidRDefault="00D57210" w:rsidP="00D57210">
      <w:pPr>
        <w:rPr>
          <w:rFonts w:ascii="Times New Roman" w:hAnsi="Times New Roman" w:cs="Times New Roman"/>
          <w:sz w:val="24"/>
          <w:szCs w:val="24"/>
        </w:rPr>
      </w:pPr>
      <w:r>
        <w:rPr>
          <w:rFonts w:ascii="Times New Roman" w:hAnsi="Times New Roman" w:cs="Times New Roman"/>
          <w:sz w:val="24"/>
          <w:szCs w:val="24"/>
        </w:rPr>
        <w:tab/>
        <w:t>The expectation is for a reinsurance program to help provide cheaper health care coverage for more people, but the actualities of 1332</w:t>
      </w:r>
      <w:r w:rsidR="00435619">
        <w:rPr>
          <w:rFonts w:ascii="Times New Roman" w:hAnsi="Times New Roman" w:cs="Times New Roman"/>
          <w:sz w:val="24"/>
          <w:szCs w:val="24"/>
        </w:rPr>
        <w:t xml:space="preserve"> state innovation</w:t>
      </w:r>
      <w:r>
        <w:rPr>
          <w:rFonts w:ascii="Times New Roman" w:hAnsi="Times New Roman" w:cs="Times New Roman"/>
          <w:sz w:val="24"/>
          <w:szCs w:val="24"/>
        </w:rPr>
        <w:t xml:space="preserve"> waive</w:t>
      </w:r>
      <w:r w:rsidR="00435619">
        <w:rPr>
          <w:rFonts w:ascii="Times New Roman" w:hAnsi="Times New Roman" w:cs="Times New Roman"/>
          <w:sz w:val="24"/>
          <w:szCs w:val="24"/>
        </w:rPr>
        <w:t>rs</w:t>
      </w:r>
      <w:r>
        <w:rPr>
          <w:rFonts w:ascii="Times New Roman" w:hAnsi="Times New Roman" w:cs="Times New Roman"/>
          <w:sz w:val="24"/>
          <w:szCs w:val="24"/>
        </w:rPr>
        <w:t xml:space="preserve"> </w:t>
      </w:r>
      <w:r w:rsidR="00B47041">
        <w:rPr>
          <w:rFonts w:ascii="Times New Roman" w:hAnsi="Times New Roman" w:cs="Times New Roman"/>
          <w:sz w:val="24"/>
          <w:szCs w:val="24"/>
        </w:rPr>
        <w:t xml:space="preserve">have </w:t>
      </w:r>
      <w:r>
        <w:rPr>
          <w:rFonts w:ascii="Times New Roman" w:hAnsi="Times New Roman" w:cs="Times New Roman"/>
          <w:sz w:val="24"/>
          <w:szCs w:val="24"/>
        </w:rPr>
        <w:t>had mixed outcomes to hit on these goals thus far. For example, when Maryland initialized their reinsurance program in 2019</w:t>
      </w:r>
      <w:r w:rsidR="008D14DC">
        <w:rPr>
          <w:rFonts w:ascii="Times New Roman" w:hAnsi="Times New Roman" w:cs="Times New Roman"/>
          <w:sz w:val="24"/>
          <w:szCs w:val="24"/>
        </w:rPr>
        <w:t>,</w:t>
      </w:r>
      <w:r>
        <w:rPr>
          <w:rFonts w:ascii="Times New Roman" w:hAnsi="Times New Roman" w:cs="Times New Roman"/>
          <w:sz w:val="24"/>
          <w:szCs w:val="24"/>
        </w:rPr>
        <w:t xml:space="preserve"> total enrollment in the insurance market rose by 2.2% from the prior year, </w:t>
      </w:r>
      <w:r>
        <w:rPr>
          <w:rFonts w:ascii="Times New Roman" w:hAnsi="Times New Roman" w:cs="Times New Roman"/>
          <w:sz w:val="24"/>
          <w:szCs w:val="24"/>
        </w:rPr>
        <w:lastRenderedPageBreak/>
        <w:t xml:space="preserve">particularly boosted by increases to enrollment for </w:t>
      </w:r>
      <w:r w:rsidR="008D14DC">
        <w:rPr>
          <w:rFonts w:ascii="Times New Roman" w:hAnsi="Times New Roman" w:cs="Times New Roman"/>
          <w:sz w:val="24"/>
          <w:szCs w:val="24"/>
        </w:rPr>
        <w:t>African Americans</w:t>
      </w:r>
      <w:r>
        <w:rPr>
          <w:rFonts w:ascii="Times New Roman" w:hAnsi="Times New Roman" w:cs="Times New Roman"/>
          <w:sz w:val="24"/>
          <w:szCs w:val="24"/>
        </w:rPr>
        <w:t xml:space="preserve">, </w:t>
      </w:r>
      <w:r w:rsidR="008D14DC">
        <w:rPr>
          <w:rFonts w:ascii="Times New Roman" w:hAnsi="Times New Roman" w:cs="Times New Roman"/>
          <w:sz w:val="24"/>
          <w:szCs w:val="24"/>
        </w:rPr>
        <w:t>Hispanics,</w:t>
      </w:r>
      <w:r>
        <w:rPr>
          <w:rFonts w:ascii="Times New Roman" w:hAnsi="Times New Roman" w:cs="Times New Roman"/>
          <w:sz w:val="24"/>
          <w:szCs w:val="24"/>
        </w:rPr>
        <w:t xml:space="preserve"> and young adults. This represented a 20% increase in predicted enrollment rates without the reinsurance program (Hoag, 2019). Juxtapose this with states like Minnesota, which did see a bump to its enrollment rate after establishing a reinsurance program, but fell short of their projected growth (Schwab, 2018), and we can begin to doubt the true effectiveness of reinsurance as a primary means to expand insurance coverage. </w:t>
      </w:r>
      <w:r w:rsidR="001E5467">
        <w:rPr>
          <w:rFonts w:ascii="Times New Roman" w:hAnsi="Times New Roman" w:cs="Times New Roman"/>
          <w:sz w:val="24"/>
          <w:szCs w:val="24"/>
        </w:rPr>
        <w:t>While c</w:t>
      </w:r>
      <w:r>
        <w:rPr>
          <w:rFonts w:ascii="Times New Roman" w:hAnsi="Times New Roman" w:cs="Times New Roman"/>
          <w:sz w:val="24"/>
          <w:szCs w:val="24"/>
        </w:rPr>
        <w:t>overage has expanded, the inconsistency across states to reach their goals causes uncertainty as to how attributable coverage expansion is to the presence of reinsurance. Thus, while in theory reinsurance provides the means for insurers to offer additional coverage, reinsurance in practice does not necessarily guarantee that more individuals will be enrolled in the market.</w:t>
      </w:r>
    </w:p>
    <w:p w14:paraId="5E9FCA5F" w14:textId="09039FA4" w:rsidR="00293017" w:rsidRPr="00293017" w:rsidRDefault="00293017" w:rsidP="00D57210">
      <w:pPr>
        <w:rPr>
          <w:rFonts w:ascii="Times New Roman" w:hAnsi="Times New Roman" w:cs="Times New Roman"/>
          <w:i/>
          <w:iCs/>
          <w:sz w:val="24"/>
          <w:szCs w:val="24"/>
        </w:rPr>
      </w:pPr>
      <w:r>
        <w:rPr>
          <w:rFonts w:ascii="Times New Roman" w:hAnsi="Times New Roman" w:cs="Times New Roman"/>
          <w:i/>
          <w:iCs/>
          <w:sz w:val="24"/>
          <w:szCs w:val="24"/>
        </w:rPr>
        <w:t>Reinsurance in Health Care Markets: Supply-Side Second Order Impacts</w:t>
      </w:r>
      <w:r w:rsidR="005808EF">
        <w:rPr>
          <w:rFonts w:ascii="Times New Roman" w:hAnsi="Times New Roman" w:cs="Times New Roman"/>
          <w:i/>
          <w:iCs/>
          <w:sz w:val="24"/>
          <w:szCs w:val="24"/>
        </w:rPr>
        <w:t xml:space="preserve"> as Selection Incentives</w:t>
      </w:r>
    </w:p>
    <w:p w14:paraId="13EFDF2A" w14:textId="0B2FC94E" w:rsidR="00D57210" w:rsidRDefault="00D57210" w:rsidP="00D57210">
      <w:pPr>
        <w:rPr>
          <w:rFonts w:ascii="Times New Roman" w:hAnsi="Times New Roman" w:cs="Times New Roman"/>
          <w:sz w:val="24"/>
          <w:szCs w:val="24"/>
        </w:rPr>
      </w:pPr>
      <w:r>
        <w:rPr>
          <w:rFonts w:ascii="Times New Roman" w:hAnsi="Times New Roman" w:cs="Times New Roman"/>
          <w:sz w:val="24"/>
          <w:szCs w:val="24"/>
        </w:rPr>
        <w:tab/>
        <w:t xml:space="preserve">One possible way to interpret the previous conundrum </w:t>
      </w:r>
      <w:r w:rsidR="004808AD">
        <w:rPr>
          <w:rFonts w:ascii="Times New Roman" w:hAnsi="Times New Roman" w:cs="Times New Roman"/>
          <w:sz w:val="24"/>
          <w:szCs w:val="24"/>
        </w:rPr>
        <w:t>[</w:t>
      </w:r>
      <w:r>
        <w:rPr>
          <w:rFonts w:ascii="Times New Roman" w:hAnsi="Times New Roman" w:cs="Times New Roman"/>
          <w:sz w:val="24"/>
          <w:szCs w:val="24"/>
        </w:rPr>
        <w:t>or po</w:t>
      </w:r>
      <w:r w:rsidR="0045670A">
        <w:rPr>
          <w:rFonts w:ascii="Times New Roman" w:hAnsi="Times New Roman" w:cs="Times New Roman"/>
          <w:sz w:val="24"/>
          <w:szCs w:val="24"/>
        </w:rPr>
        <w:t>ssibl</w:t>
      </w:r>
      <w:r>
        <w:rPr>
          <w:rFonts w:ascii="Times New Roman" w:hAnsi="Times New Roman" w:cs="Times New Roman"/>
          <w:sz w:val="24"/>
          <w:szCs w:val="24"/>
        </w:rPr>
        <w:t>y provide some justification to it</w:t>
      </w:r>
      <w:r w:rsidR="004808AD">
        <w:rPr>
          <w:rFonts w:ascii="Times New Roman" w:hAnsi="Times New Roman" w:cs="Times New Roman"/>
          <w:sz w:val="24"/>
          <w:szCs w:val="24"/>
        </w:rPr>
        <w:t>]</w:t>
      </w:r>
      <w:r>
        <w:rPr>
          <w:rFonts w:ascii="Times New Roman" w:hAnsi="Times New Roman" w:cs="Times New Roman"/>
          <w:sz w:val="24"/>
          <w:szCs w:val="24"/>
        </w:rPr>
        <w:t xml:space="preserve"> is the notion of selection incentives for primary insurers, and how being in a reinsurance market affects that. At its core, selection incentives are a way to frame insurer behavior as being risk averse in a market with incomplete information. That is, insurers have a preference to sell insurance to low-risk enrollees, as they are more likely to incur lower costs, and deny coverage to high-risk clients who may be costly (Jack, 2001). Prior to the ACA, insurers typically denied coverage to those deemed to be high-risk according to their having a deniable pre-existing condition (Claxton, 2016), but the ACA made it illegal to deny</w:t>
      </w:r>
      <w:r w:rsidR="000B32EA">
        <w:rPr>
          <w:rFonts w:ascii="Times New Roman" w:hAnsi="Times New Roman" w:cs="Times New Roman"/>
          <w:sz w:val="24"/>
          <w:szCs w:val="24"/>
        </w:rPr>
        <w:t xml:space="preserve">, </w:t>
      </w:r>
      <w:r>
        <w:rPr>
          <w:rFonts w:ascii="Times New Roman" w:hAnsi="Times New Roman" w:cs="Times New Roman"/>
          <w:sz w:val="24"/>
          <w:szCs w:val="24"/>
        </w:rPr>
        <w:t>or charge more for</w:t>
      </w:r>
      <w:r w:rsidR="000B32EA">
        <w:rPr>
          <w:rFonts w:ascii="Times New Roman" w:hAnsi="Times New Roman" w:cs="Times New Roman"/>
          <w:sz w:val="24"/>
          <w:szCs w:val="24"/>
        </w:rPr>
        <w:t>,</w:t>
      </w:r>
      <w:r w:rsidR="005808EF">
        <w:rPr>
          <w:rFonts w:ascii="Times New Roman" w:hAnsi="Times New Roman" w:cs="Times New Roman"/>
          <w:sz w:val="24"/>
          <w:szCs w:val="24"/>
        </w:rPr>
        <w:t xml:space="preserve"> health insurance</w:t>
      </w:r>
      <w:r>
        <w:rPr>
          <w:rFonts w:ascii="Times New Roman" w:hAnsi="Times New Roman" w:cs="Times New Roman"/>
          <w:sz w:val="24"/>
          <w:szCs w:val="24"/>
        </w:rPr>
        <w:t xml:space="preserve"> coverage </w:t>
      </w:r>
      <w:r w:rsidR="009535AD">
        <w:rPr>
          <w:rFonts w:ascii="Times New Roman" w:hAnsi="Times New Roman" w:cs="Times New Roman"/>
          <w:sz w:val="24"/>
          <w:szCs w:val="24"/>
        </w:rPr>
        <w:t>based</w:t>
      </w:r>
      <w:r w:rsidR="005B3E49">
        <w:rPr>
          <w:rFonts w:ascii="Times New Roman" w:hAnsi="Times New Roman" w:cs="Times New Roman"/>
          <w:sz w:val="24"/>
          <w:szCs w:val="24"/>
        </w:rPr>
        <w:t xml:space="preserve"> solely</w:t>
      </w:r>
      <w:r w:rsidR="009535AD">
        <w:rPr>
          <w:rFonts w:ascii="Times New Roman" w:hAnsi="Times New Roman" w:cs="Times New Roman"/>
          <w:sz w:val="24"/>
          <w:szCs w:val="24"/>
        </w:rPr>
        <w:t xml:space="preserve"> on</w:t>
      </w:r>
      <w:r>
        <w:rPr>
          <w:rFonts w:ascii="Times New Roman" w:hAnsi="Times New Roman" w:cs="Times New Roman"/>
          <w:sz w:val="24"/>
          <w:szCs w:val="24"/>
        </w:rPr>
        <w:t xml:space="preserve"> a pre-existing condition. Despite however well-intentioned this component of the legislation is, it does nothing to alter the insurer mindset of desirability to avoid high-risk. In other words, while the ACA eliminated the most prominent form of selection incentives, it did not outright eliminate incentives for insurers to try and select their risk. To this end, if these remaining selection incentives are significant, it can help explain why coverage enrollment has fallen short of some expectations.</w:t>
      </w:r>
    </w:p>
    <w:p w14:paraId="74511A62" w14:textId="0F001717" w:rsidR="00D57210" w:rsidRDefault="00D57210" w:rsidP="00D57210">
      <w:pPr>
        <w:rPr>
          <w:rFonts w:ascii="Times New Roman" w:hAnsi="Times New Roman" w:cs="Times New Roman"/>
          <w:sz w:val="24"/>
          <w:szCs w:val="24"/>
        </w:rPr>
      </w:pPr>
      <w:r>
        <w:rPr>
          <w:rFonts w:ascii="Times New Roman" w:hAnsi="Times New Roman" w:cs="Times New Roman"/>
          <w:sz w:val="24"/>
          <w:szCs w:val="24"/>
        </w:rPr>
        <w:tab/>
        <w:t xml:space="preserve">Bearing this in mind, one sub-field of research that has emerged recently has predicated upon how these remaining selection incentives continue to exist, from the insurer perspective, in the private health care market. In this context, selection incentives have instead shifted towards being based on the quality of plan offerings for enrollees. This is referred to as service-level selection, and typically involves alteration of the types of services, or the availability of providers, offered </w:t>
      </w:r>
      <w:r w:rsidR="00913A4B">
        <w:rPr>
          <w:rFonts w:ascii="Times New Roman" w:hAnsi="Times New Roman" w:cs="Times New Roman"/>
          <w:sz w:val="24"/>
          <w:szCs w:val="24"/>
        </w:rPr>
        <w:t>by</w:t>
      </w:r>
      <w:r>
        <w:rPr>
          <w:rFonts w:ascii="Times New Roman" w:hAnsi="Times New Roman" w:cs="Times New Roman"/>
          <w:sz w:val="24"/>
          <w:szCs w:val="24"/>
        </w:rPr>
        <w:t xml:space="preserve"> a particular plan. The rationale behind this is to either deter or encourage enrollees towards certain plans—take, for instance, an insurer who covers both smokers and non-smokers. This insurer, hypothetically, could be incentivized to degrade the plan for non-smokers by removing offered services or providers due to having a lack of complete information </w:t>
      </w:r>
      <w:r w:rsidR="004808AD">
        <w:rPr>
          <w:rFonts w:ascii="Times New Roman" w:hAnsi="Times New Roman" w:cs="Times New Roman"/>
          <w:sz w:val="24"/>
          <w:szCs w:val="24"/>
        </w:rPr>
        <w:t>[</w:t>
      </w:r>
      <w:r>
        <w:rPr>
          <w:rFonts w:ascii="Times New Roman" w:hAnsi="Times New Roman" w:cs="Times New Roman"/>
          <w:sz w:val="24"/>
          <w:szCs w:val="24"/>
        </w:rPr>
        <w:t xml:space="preserve">i.e., to discourage a smoker from lying about their </w:t>
      </w:r>
      <w:r w:rsidR="008D1518">
        <w:rPr>
          <w:rFonts w:ascii="Times New Roman" w:hAnsi="Times New Roman" w:cs="Times New Roman"/>
          <w:sz w:val="24"/>
          <w:szCs w:val="24"/>
        </w:rPr>
        <w:t xml:space="preserve">smoking </w:t>
      </w:r>
      <w:r>
        <w:rPr>
          <w:rFonts w:ascii="Times New Roman" w:hAnsi="Times New Roman" w:cs="Times New Roman"/>
          <w:sz w:val="24"/>
          <w:szCs w:val="24"/>
        </w:rPr>
        <w:t xml:space="preserve">habit </w:t>
      </w:r>
      <w:r w:rsidR="008D1518">
        <w:rPr>
          <w:rFonts w:ascii="Times New Roman" w:hAnsi="Times New Roman" w:cs="Times New Roman"/>
          <w:sz w:val="24"/>
          <w:szCs w:val="24"/>
        </w:rPr>
        <w:t>to</w:t>
      </w:r>
      <w:r>
        <w:rPr>
          <w:rFonts w:ascii="Times New Roman" w:hAnsi="Times New Roman" w:cs="Times New Roman"/>
          <w:sz w:val="24"/>
          <w:szCs w:val="24"/>
        </w:rPr>
        <w:t xml:space="preserve"> receive the cheaper, non-smoker plan</w:t>
      </w:r>
      <w:r w:rsidR="004808AD">
        <w:rPr>
          <w:rFonts w:ascii="Times New Roman" w:hAnsi="Times New Roman" w:cs="Times New Roman"/>
          <w:sz w:val="24"/>
          <w:szCs w:val="24"/>
        </w:rPr>
        <w:t>]</w:t>
      </w:r>
      <w:r>
        <w:rPr>
          <w:rFonts w:ascii="Times New Roman" w:hAnsi="Times New Roman" w:cs="Times New Roman"/>
          <w:sz w:val="24"/>
          <w:szCs w:val="24"/>
        </w:rPr>
        <w:t>.</w:t>
      </w:r>
    </w:p>
    <w:p w14:paraId="666E106B" w14:textId="76F17EBD" w:rsidR="00D57210" w:rsidRDefault="00D57210" w:rsidP="00D57210">
      <w:pPr>
        <w:ind w:firstLine="720"/>
        <w:rPr>
          <w:rFonts w:ascii="Times New Roman" w:hAnsi="Times New Roman" w:cs="Times New Roman"/>
          <w:sz w:val="24"/>
          <w:szCs w:val="24"/>
        </w:rPr>
      </w:pPr>
      <w:r>
        <w:rPr>
          <w:rFonts w:ascii="Times New Roman" w:hAnsi="Times New Roman" w:cs="Times New Roman"/>
          <w:sz w:val="24"/>
          <w:szCs w:val="24"/>
        </w:rPr>
        <w:t xml:space="preserve"> Research has shown that, under such circumstances, the potential exists for </w:t>
      </w:r>
      <w:proofErr w:type="gramStart"/>
      <w:r>
        <w:rPr>
          <w:rFonts w:ascii="Times New Roman" w:hAnsi="Times New Roman" w:cs="Times New Roman"/>
          <w:sz w:val="24"/>
          <w:szCs w:val="24"/>
        </w:rPr>
        <w:t>particular types</w:t>
      </w:r>
      <w:proofErr w:type="gramEnd"/>
      <w:r>
        <w:rPr>
          <w:rFonts w:ascii="Times New Roman" w:hAnsi="Times New Roman" w:cs="Times New Roman"/>
          <w:sz w:val="24"/>
          <w:szCs w:val="24"/>
        </w:rPr>
        <w:t xml:space="preserve"> of consumers to not be able to purchase insurance for any level of coverage (Hendren, 2017). This type of behavior by insurers is detrimental to market stability, serving the welfare of an insurer rather than the welfare of society</w:t>
      </w:r>
      <w:r w:rsidR="00044624">
        <w:rPr>
          <w:rFonts w:ascii="Times New Roman" w:hAnsi="Times New Roman" w:cs="Times New Roman"/>
          <w:sz w:val="24"/>
          <w:szCs w:val="24"/>
        </w:rPr>
        <w:t>;</w:t>
      </w:r>
      <w:r>
        <w:rPr>
          <w:rFonts w:ascii="Times New Roman" w:hAnsi="Times New Roman" w:cs="Times New Roman"/>
          <w:sz w:val="24"/>
          <w:szCs w:val="24"/>
        </w:rPr>
        <w:t xml:space="preserve"> </w:t>
      </w:r>
      <w:r w:rsidR="00044624">
        <w:rPr>
          <w:rFonts w:ascii="Times New Roman" w:hAnsi="Times New Roman" w:cs="Times New Roman"/>
          <w:sz w:val="24"/>
          <w:szCs w:val="24"/>
        </w:rPr>
        <w:t>p</w:t>
      </w:r>
      <w:r>
        <w:rPr>
          <w:rFonts w:ascii="Times New Roman" w:hAnsi="Times New Roman" w:cs="Times New Roman"/>
          <w:sz w:val="24"/>
          <w:szCs w:val="24"/>
        </w:rPr>
        <w:t xml:space="preserve">revious work has revealed that </w:t>
      </w:r>
      <w:r w:rsidR="008B1D81">
        <w:rPr>
          <w:rFonts w:ascii="Times New Roman" w:hAnsi="Times New Roman" w:cs="Times New Roman"/>
          <w:sz w:val="24"/>
          <w:szCs w:val="24"/>
        </w:rPr>
        <w:t xml:space="preserve">some </w:t>
      </w:r>
      <w:r>
        <w:rPr>
          <w:rFonts w:ascii="Times New Roman" w:hAnsi="Times New Roman" w:cs="Times New Roman"/>
          <w:sz w:val="24"/>
          <w:szCs w:val="24"/>
        </w:rPr>
        <w:t>sectors of the insurance market</w:t>
      </w:r>
      <w:r w:rsidR="008B1D81">
        <w:rPr>
          <w:rFonts w:ascii="Times New Roman" w:hAnsi="Times New Roman" w:cs="Times New Roman"/>
          <w:sz w:val="24"/>
          <w:szCs w:val="24"/>
        </w:rPr>
        <w:t>,</w:t>
      </w:r>
      <w:r>
        <w:rPr>
          <w:rFonts w:ascii="Times New Roman" w:hAnsi="Times New Roman" w:cs="Times New Roman"/>
          <w:sz w:val="24"/>
          <w:szCs w:val="24"/>
        </w:rPr>
        <w:t xml:space="preserve"> </w:t>
      </w:r>
      <w:r w:rsidR="008B1D81">
        <w:rPr>
          <w:rFonts w:ascii="Times New Roman" w:hAnsi="Times New Roman" w:cs="Times New Roman"/>
          <w:sz w:val="24"/>
          <w:szCs w:val="24"/>
        </w:rPr>
        <w:t xml:space="preserve">such as </w:t>
      </w:r>
      <w:r>
        <w:rPr>
          <w:rFonts w:ascii="Times New Roman" w:hAnsi="Times New Roman" w:cs="Times New Roman"/>
          <w:sz w:val="24"/>
          <w:szCs w:val="24"/>
        </w:rPr>
        <w:t>drug pricing for certain therapeutic classes</w:t>
      </w:r>
      <w:r w:rsidR="008B1D81">
        <w:rPr>
          <w:rFonts w:ascii="Times New Roman" w:hAnsi="Times New Roman" w:cs="Times New Roman"/>
          <w:sz w:val="24"/>
          <w:szCs w:val="24"/>
        </w:rPr>
        <w:t>,</w:t>
      </w:r>
      <w:r>
        <w:rPr>
          <w:rFonts w:ascii="Times New Roman" w:hAnsi="Times New Roman" w:cs="Times New Roman"/>
          <w:sz w:val="24"/>
          <w:szCs w:val="24"/>
        </w:rPr>
        <w:t xml:space="preserve"> do, in fact, suffer from </w:t>
      </w:r>
      <w:r>
        <w:rPr>
          <w:rFonts w:ascii="Times New Roman" w:hAnsi="Times New Roman" w:cs="Times New Roman"/>
          <w:sz w:val="24"/>
          <w:szCs w:val="24"/>
        </w:rPr>
        <w:lastRenderedPageBreak/>
        <w:t>service-level selection</w:t>
      </w:r>
      <w:r w:rsidR="00044624">
        <w:rPr>
          <w:rFonts w:ascii="Times New Roman" w:hAnsi="Times New Roman" w:cs="Times New Roman"/>
          <w:sz w:val="24"/>
          <w:szCs w:val="24"/>
        </w:rPr>
        <w:t xml:space="preserve"> which </w:t>
      </w:r>
      <w:r>
        <w:rPr>
          <w:rFonts w:ascii="Times New Roman" w:hAnsi="Times New Roman" w:cs="Times New Roman"/>
          <w:sz w:val="24"/>
          <w:szCs w:val="24"/>
        </w:rPr>
        <w:t>mak</w:t>
      </w:r>
      <w:r w:rsidR="00044624">
        <w:rPr>
          <w:rFonts w:ascii="Times New Roman" w:hAnsi="Times New Roman" w:cs="Times New Roman"/>
          <w:sz w:val="24"/>
          <w:szCs w:val="24"/>
        </w:rPr>
        <w:t>es</w:t>
      </w:r>
      <w:r>
        <w:rPr>
          <w:rFonts w:ascii="Times New Roman" w:hAnsi="Times New Roman" w:cs="Times New Roman"/>
          <w:sz w:val="24"/>
          <w:szCs w:val="24"/>
        </w:rPr>
        <w:t xml:space="preserve"> it harder for enrollees in the individual markets who need those drugs to find suitable healthcare plans (Rose, 2017). This implies that selection incentives can still motivate insurers to restrict plan access for specific demographics and populations</w:t>
      </w:r>
      <w:r w:rsidR="00A75002">
        <w:rPr>
          <w:rFonts w:ascii="Times New Roman" w:hAnsi="Times New Roman" w:cs="Times New Roman"/>
          <w:sz w:val="24"/>
          <w:szCs w:val="24"/>
        </w:rPr>
        <w:t>.</w:t>
      </w:r>
    </w:p>
    <w:p w14:paraId="2778CB97" w14:textId="0E796CB7" w:rsidR="00D57210" w:rsidRDefault="00246D57" w:rsidP="00D57210">
      <w:pPr>
        <w:ind w:firstLine="720"/>
        <w:rPr>
          <w:rFonts w:ascii="Times New Roman" w:hAnsi="Times New Roman" w:cs="Times New Roman"/>
          <w:sz w:val="24"/>
          <w:szCs w:val="24"/>
        </w:rPr>
      </w:pPr>
      <w:r>
        <w:rPr>
          <w:rFonts w:ascii="Times New Roman" w:hAnsi="Times New Roman" w:cs="Times New Roman"/>
          <w:sz w:val="24"/>
          <w:szCs w:val="24"/>
        </w:rPr>
        <w:t>With these basic logistics of selection incentives,</w:t>
      </w:r>
      <w:r w:rsidR="00D57210">
        <w:rPr>
          <w:rFonts w:ascii="Times New Roman" w:hAnsi="Times New Roman" w:cs="Times New Roman"/>
          <w:sz w:val="24"/>
          <w:szCs w:val="24"/>
        </w:rPr>
        <w:t xml:space="preserve"> we return to the question of how </w:t>
      </w:r>
      <w:r w:rsidR="00865311">
        <w:rPr>
          <w:rFonts w:ascii="Times New Roman" w:hAnsi="Times New Roman" w:cs="Times New Roman"/>
          <w:sz w:val="24"/>
          <w:szCs w:val="24"/>
        </w:rPr>
        <w:t>these incentives may be</w:t>
      </w:r>
      <w:r w:rsidR="00D57210">
        <w:rPr>
          <w:rFonts w:ascii="Times New Roman" w:hAnsi="Times New Roman" w:cs="Times New Roman"/>
          <w:sz w:val="24"/>
          <w:szCs w:val="24"/>
        </w:rPr>
        <w:t xml:space="preserve"> impacted in the presence of reinsurance. It should be stated that, in the subsequently mentioned studies, results indicate that reinsurance has the capacity to reduce selection incentives</w:t>
      </w:r>
      <w:r w:rsidR="00D22529">
        <w:rPr>
          <w:rFonts w:ascii="Times New Roman" w:hAnsi="Times New Roman" w:cs="Times New Roman"/>
          <w:sz w:val="24"/>
          <w:szCs w:val="24"/>
        </w:rPr>
        <w:t xml:space="preserve">. </w:t>
      </w:r>
      <w:r w:rsidR="00D57210">
        <w:rPr>
          <w:rFonts w:ascii="Times New Roman" w:hAnsi="Times New Roman" w:cs="Times New Roman"/>
          <w:sz w:val="24"/>
          <w:szCs w:val="24"/>
        </w:rPr>
        <w:t>It follows then that what is important is determining the extent to which reinsurance combats selection incentives; the findings here are much more nuanced. One study found that, compared to other chronic diseases like heart disease, cancer and diabetes, reinsurance only covered 80% of costs on average for individual</w:t>
      </w:r>
      <w:r w:rsidR="00611E56">
        <w:rPr>
          <w:rFonts w:ascii="Times New Roman" w:hAnsi="Times New Roman" w:cs="Times New Roman"/>
          <w:sz w:val="24"/>
          <w:szCs w:val="24"/>
        </w:rPr>
        <w:t>s</w:t>
      </w:r>
      <w:r w:rsidR="00D57210">
        <w:rPr>
          <w:rFonts w:ascii="Times New Roman" w:hAnsi="Times New Roman" w:cs="Times New Roman"/>
          <w:sz w:val="24"/>
          <w:szCs w:val="24"/>
        </w:rPr>
        <w:t xml:space="preserve"> with mental illness, suggesting that mental health plans could still suffer from being intentionally degraded to deter those with mental illness from enrolling (Zhu, 2013). Moreover, recall</w:t>
      </w:r>
      <w:r w:rsidR="00962542">
        <w:rPr>
          <w:rFonts w:ascii="Times New Roman" w:hAnsi="Times New Roman" w:cs="Times New Roman"/>
          <w:sz w:val="24"/>
          <w:szCs w:val="24"/>
        </w:rPr>
        <w:t>ing</w:t>
      </w:r>
      <w:r w:rsidR="00D57210">
        <w:rPr>
          <w:rFonts w:ascii="Times New Roman" w:hAnsi="Times New Roman" w:cs="Times New Roman"/>
          <w:sz w:val="24"/>
          <w:szCs w:val="24"/>
        </w:rPr>
        <w:t xml:space="preserve"> that reinsurance reduces the variation in the profitability of an insurer by limiting high-end losses</w:t>
      </w:r>
      <w:r w:rsidR="00962542">
        <w:rPr>
          <w:rFonts w:ascii="Times New Roman" w:hAnsi="Times New Roman" w:cs="Times New Roman"/>
          <w:sz w:val="24"/>
          <w:szCs w:val="24"/>
        </w:rPr>
        <w:t xml:space="preserve">, </w:t>
      </w:r>
      <w:r w:rsidR="00D57210">
        <w:rPr>
          <w:rFonts w:ascii="Times New Roman" w:hAnsi="Times New Roman" w:cs="Times New Roman"/>
          <w:sz w:val="24"/>
          <w:szCs w:val="24"/>
        </w:rPr>
        <w:t xml:space="preserve">a logical </w:t>
      </w:r>
      <w:r w:rsidR="00962542">
        <w:rPr>
          <w:rFonts w:ascii="Times New Roman" w:hAnsi="Times New Roman" w:cs="Times New Roman"/>
          <w:sz w:val="24"/>
          <w:szCs w:val="24"/>
        </w:rPr>
        <w:t>extension</w:t>
      </w:r>
      <w:r w:rsidR="00D57210">
        <w:rPr>
          <w:rFonts w:ascii="Times New Roman" w:hAnsi="Times New Roman" w:cs="Times New Roman"/>
          <w:sz w:val="24"/>
          <w:szCs w:val="24"/>
        </w:rPr>
        <w:t xml:space="preserve"> from this fact is that predictive power of costs has increased due to the insurer only being completely financially liable to the lower-risk enrollees. Once insurers have this knowledge, their determination of optimal plans to offer can vary </w:t>
      </w:r>
      <w:r w:rsidR="00BC5B93">
        <w:rPr>
          <w:rFonts w:ascii="Times New Roman" w:hAnsi="Times New Roman" w:cs="Times New Roman"/>
          <w:sz w:val="24"/>
          <w:szCs w:val="24"/>
        </w:rPr>
        <w:t>to</w:t>
      </w:r>
      <w:r w:rsidR="00D57210">
        <w:rPr>
          <w:rFonts w:ascii="Times New Roman" w:hAnsi="Times New Roman" w:cs="Times New Roman"/>
          <w:sz w:val="24"/>
          <w:szCs w:val="24"/>
        </w:rPr>
        <w:t xml:space="preserve"> maximize profitability</w:t>
      </w:r>
      <w:r w:rsidR="002457E1">
        <w:rPr>
          <w:rFonts w:ascii="Times New Roman" w:hAnsi="Times New Roman" w:cs="Times New Roman"/>
          <w:sz w:val="24"/>
          <w:szCs w:val="24"/>
        </w:rPr>
        <w:t xml:space="preserve">—this </w:t>
      </w:r>
      <w:r w:rsidR="00D57210">
        <w:rPr>
          <w:rFonts w:ascii="Times New Roman" w:hAnsi="Times New Roman" w:cs="Times New Roman"/>
          <w:sz w:val="24"/>
          <w:szCs w:val="24"/>
        </w:rPr>
        <w:t>assessment lends itself quite well to the discovery that a reinsurance program performs worse in terms of reducing selection incentives when compared to a form of risk adjustment (Ellis, 2017</w:t>
      </w:r>
      <w:r w:rsidR="00665994">
        <w:rPr>
          <w:rFonts w:ascii="Times New Roman" w:hAnsi="Times New Roman" w:cs="Times New Roman"/>
          <w:sz w:val="24"/>
          <w:szCs w:val="24"/>
        </w:rPr>
        <w:t xml:space="preserve">). </w:t>
      </w:r>
      <w:r w:rsidR="00C92E1C">
        <w:rPr>
          <w:rFonts w:ascii="Times New Roman" w:hAnsi="Times New Roman" w:cs="Times New Roman"/>
          <w:sz w:val="24"/>
          <w:szCs w:val="24"/>
        </w:rPr>
        <w:t>Thus</w:t>
      </w:r>
      <w:r w:rsidR="00D57210">
        <w:rPr>
          <w:rFonts w:ascii="Times New Roman" w:hAnsi="Times New Roman" w:cs="Times New Roman"/>
          <w:sz w:val="24"/>
          <w:szCs w:val="24"/>
        </w:rPr>
        <w:t xml:space="preserve">, it has been proven that reinsurance can mitigate selection incentives, but the extent to which it does so pales in comparison to other policies that could remedy inefficiencies of the health care </w:t>
      </w:r>
      <w:r w:rsidR="007B07C5">
        <w:rPr>
          <w:rFonts w:ascii="Times New Roman" w:hAnsi="Times New Roman" w:cs="Times New Roman"/>
          <w:sz w:val="24"/>
          <w:szCs w:val="24"/>
        </w:rPr>
        <w:t>market and</w:t>
      </w:r>
      <w:r w:rsidR="00D57210">
        <w:rPr>
          <w:rFonts w:ascii="Times New Roman" w:hAnsi="Times New Roman" w:cs="Times New Roman"/>
          <w:sz w:val="24"/>
          <w:szCs w:val="24"/>
        </w:rPr>
        <w:t xml:space="preserve"> may be insufficient </w:t>
      </w:r>
      <w:proofErr w:type="gramStart"/>
      <w:r w:rsidR="00D57210">
        <w:rPr>
          <w:rFonts w:ascii="Times New Roman" w:hAnsi="Times New Roman" w:cs="Times New Roman"/>
          <w:sz w:val="24"/>
          <w:szCs w:val="24"/>
        </w:rPr>
        <w:t>in its own right to</w:t>
      </w:r>
      <w:proofErr w:type="gramEnd"/>
      <w:r w:rsidR="00D57210">
        <w:rPr>
          <w:rFonts w:ascii="Times New Roman" w:hAnsi="Times New Roman" w:cs="Times New Roman"/>
          <w:sz w:val="24"/>
          <w:szCs w:val="24"/>
        </w:rPr>
        <w:t xml:space="preserve"> prevent detrimental plan degradation</w:t>
      </w:r>
      <w:r w:rsidR="006D0DA3">
        <w:rPr>
          <w:rFonts w:ascii="Times New Roman" w:hAnsi="Times New Roman" w:cs="Times New Roman"/>
          <w:sz w:val="24"/>
          <w:szCs w:val="24"/>
        </w:rPr>
        <w:t>, specifically with regards</w:t>
      </w:r>
      <w:r w:rsidR="00D57210">
        <w:rPr>
          <w:rFonts w:ascii="Times New Roman" w:hAnsi="Times New Roman" w:cs="Times New Roman"/>
          <w:sz w:val="24"/>
          <w:szCs w:val="24"/>
        </w:rPr>
        <w:t xml:space="preserve"> to sub-populations that are characterized as high-risk.</w:t>
      </w:r>
    </w:p>
    <w:p w14:paraId="59FA3BA1" w14:textId="24C5A4AD" w:rsidR="00A75002" w:rsidRDefault="00A75002" w:rsidP="00A75002">
      <w:pPr>
        <w:rPr>
          <w:rFonts w:ascii="Times New Roman" w:hAnsi="Times New Roman" w:cs="Times New Roman"/>
          <w:i/>
          <w:iCs/>
          <w:sz w:val="24"/>
          <w:szCs w:val="24"/>
        </w:rPr>
      </w:pPr>
      <w:r>
        <w:rPr>
          <w:rFonts w:ascii="Times New Roman" w:hAnsi="Times New Roman" w:cs="Times New Roman"/>
          <w:i/>
          <w:iCs/>
          <w:sz w:val="24"/>
          <w:szCs w:val="24"/>
        </w:rPr>
        <w:t>Reinsurance in Health Care Markets: Demand-Side Direct Impacts</w:t>
      </w:r>
    </w:p>
    <w:p w14:paraId="342EF5F1" w14:textId="0FCB4D3D" w:rsidR="003A3D2C" w:rsidRDefault="003F289E" w:rsidP="000527BB">
      <w:pPr>
        <w:ind w:firstLine="720"/>
        <w:rPr>
          <w:rFonts w:ascii="Times New Roman" w:hAnsi="Times New Roman" w:cs="Times New Roman"/>
          <w:sz w:val="24"/>
          <w:szCs w:val="24"/>
        </w:rPr>
      </w:pPr>
      <w:r>
        <w:rPr>
          <w:rFonts w:ascii="Times New Roman" w:hAnsi="Times New Roman" w:cs="Times New Roman"/>
          <w:sz w:val="24"/>
          <w:szCs w:val="24"/>
        </w:rPr>
        <w:t xml:space="preserve">We now examine </w:t>
      </w:r>
      <w:r w:rsidR="000527BB">
        <w:rPr>
          <w:rFonts w:ascii="Times New Roman" w:hAnsi="Times New Roman" w:cs="Times New Roman"/>
          <w:sz w:val="24"/>
          <w:szCs w:val="24"/>
        </w:rPr>
        <w:t xml:space="preserve">reinsurance on the demand side, as it pertains to market enrollees. We note that while reinsurance does not directly affect demand </w:t>
      </w:r>
      <w:r w:rsidR="004808AD">
        <w:rPr>
          <w:rFonts w:ascii="Times New Roman" w:hAnsi="Times New Roman" w:cs="Times New Roman"/>
          <w:sz w:val="24"/>
          <w:szCs w:val="24"/>
        </w:rPr>
        <w:t>[</w:t>
      </w:r>
      <w:r w:rsidR="00756100">
        <w:rPr>
          <w:rFonts w:ascii="Times New Roman" w:hAnsi="Times New Roman" w:cs="Times New Roman"/>
          <w:sz w:val="24"/>
          <w:szCs w:val="24"/>
        </w:rPr>
        <w:t>as</w:t>
      </w:r>
      <w:r w:rsidR="000527BB">
        <w:rPr>
          <w:rFonts w:ascii="Times New Roman" w:hAnsi="Times New Roman" w:cs="Times New Roman"/>
          <w:sz w:val="24"/>
          <w:szCs w:val="24"/>
        </w:rPr>
        <w:t xml:space="preserve"> policyholders and </w:t>
      </w:r>
      <w:r w:rsidR="00756100">
        <w:rPr>
          <w:rFonts w:ascii="Times New Roman" w:hAnsi="Times New Roman" w:cs="Times New Roman"/>
          <w:sz w:val="24"/>
          <w:szCs w:val="24"/>
        </w:rPr>
        <w:t>re</w:t>
      </w:r>
      <w:r w:rsidR="000527BB">
        <w:rPr>
          <w:rFonts w:ascii="Times New Roman" w:hAnsi="Times New Roman" w:cs="Times New Roman"/>
          <w:sz w:val="24"/>
          <w:szCs w:val="24"/>
        </w:rPr>
        <w:t>insurers do not directly interact with one another</w:t>
      </w:r>
      <w:r w:rsidR="004808AD">
        <w:rPr>
          <w:rFonts w:ascii="Times New Roman" w:hAnsi="Times New Roman" w:cs="Times New Roman"/>
          <w:sz w:val="24"/>
          <w:szCs w:val="24"/>
        </w:rPr>
        <w:t>]</w:t>
      </w:r>
      <w:r w:rsidR="000527BB">
        <w:rPr>
          <w:rFonts w:ascii="Times New Roman" w:hAnsi="Times New Roman" w:cs="Times New Roman"/>
          <w:sz w:val="24"/>
          <w:szCs w:val="24"/>
        </w:rPr>
        <w:t>, the</w:t>
      </w:r>
      <w:r w:rsidR="003A3D2C">
        <w:rPr>
          <w:rFonts w:ascii="Times New Roman" w:hAnsi="Times New Roman" w:cs="Times New Roman"/>
          <w:sz w:val="24"/>
          <w:szCs w:val="24"/>
        </w:rPr>
        <w:t xml:space="preserve"> direct</w:t>
      </w:r>
      <w:r w:rsidR="000527BB">
        <w:rPr>
          <w:rFonts w:ascii="Times New Roman" w:hAnsi="Times New Roman" w:cs="Times New Roman"/>
          <w:sz w:val="24"/>
          <w:szCs w:val="24"/>
        </w:rPr>
        <w:t xml:space="preserve"> market outcomes from these programs are still felt by consumers: premium prices are decreasing on average and enrollment has seen modest increases in these states, as previously stated, although causality in the latter case </w:t>
      </w:r>
      <w:r w:rsidR="000E5484">
        <w:rPr>
          <w:rFonts w:ascii="Times New Roman" w:hAnsi="Times New Roman" w:cs="Times New Roman"/>
          <w:sz w:val="24"/>
          <w:szCs w:val="24"/>
        </w:rPr>
        <w:t>remains</w:t>
      </w:r>
      <w:r w:rsidR="000527BB">
        <w:rPr>
          <w:rFonts w:ascii="Times New Roman" w:hAnsi="Times New Roman" w:cs="Times New Roman"/>
          <w:sz w:val="24"/>
          <w:szCs w:val="24"/>
        </w:rPr>
        <w:t xml:space="preserve"> undetermined as of this point. </w:t>
      </w:r>
    </w:p>
    <w:p w14:paraId="1771A6C3" w14:textId="7D418296" w:rsidR="000527BB" w:rsidRDefault="000527BB" w:rsidP="000527BB">
      <w:pPr>
        <w:ind w:firstLine="720"/>
        <w:rPr>
          <w:rFonts w:ascii="Times New Roman" w:hAnsi="Times New Roman" w:cs="Times New Roman"/>
          <w:sz w:val="24"/>
          <w:szCs w:val="24"/>
        </w:rPr>
      </w:pPr>
      <w:r>
        <w:rPr>
          <w:rFonts w:ascii="Times New Roman" w:hAnsi="Times New Roman" w:cs="Times New Roman"/>
          <w:sz w:val="24"/>
          <w:szCs w:val="24"/>
        </w:rPr>
        <w:t xml:space="preserve">While these direct impacts are known and </w:t>
      </w:r>
      <w:r w:rsidR="00811E2E">
        <w:rPr>
          <w:rFonts w:ascii="Times New Roman" w:hAnsi="Times New Roman" w:cs="Times New Roman"/>
          <w:sz w:val="24"/>
          <w:szCs w:val="24"/>
        </w:rPr>
        <w:t>c</w:t>
      </w:r>
      <w:r>
        <w:rPr>
          <w:rFonts w:ascii="Times New Roman" w:hAnsi="Times New Roman" w:cs="Times New Roman"/>
          <w:sz w:val="24"/>
          <w:szCs w:val="24"/>
        </w:rPr>
        <w:t xml:space="preserve">ould still be worthwhile to research as a component of analysis for these programs, the real interest lies in determining if we can uncover significant differences of health care access and utilization between residents of states with reinsurance programs versus those without. Finding an answer to this question would help illuminate whether reinsurance has downstream health effects that could further affect </w:t>
      </w:r>
      <w:r w:rsidR="004808AD">
        <w:rPr>
          <w:rFonts w:ascii="Times New Roman" w:hAnsi="Times New Roman" w:cs="Times New Roman"/>
          <w:sz w:val="24"/>
          <w:szCs w:val="24"/>
        </w:rPr>
        <w:t>[</w:t>
      </w:r>
      <w:r>
        <w:rPr>
          <w:rFonts w:ascii="Times New Roman" w:hAnsi="Times New Roman" w:cs="Times New Roman"/>
          <w:sz w:val="24"/>
          <w:szCs w:val="24"/>
        </w:rPr>
        <w:t>either positively or negatively</w:t>
      </w:r>
      <w:r w:rsidR="004808AD">
        <w:rPr>
          <w:rFonts w:ascii="Times New Roman" w:hAnsi="Times New Roman" w:cs="Times New Roman"/>
          <w:sz w:val="24"/>
          <w:szCs w:val="24"/>
        </w:rPr>
        <w:t>]</w:t>
      </w:r>
      <w:r>
        <w:rPr>
          <w:rFonts w:ascii="Times New Roman" w:hAnsi="Times New Roman" w:cs="Times New Roman"/>
          <w:sz w:val="24"/>
          <w:szCs w:val="24"/>
        </w:rPr>
        <w:t xml:space="preserve"> individuals beyond the scope of simply the price of their premium</w:t>
      </w:r>
      <w:r w:rsidR="009D0744">
        <w:rPr>
          <w:rFonts w:ascii="Times New Roman" w:hAnsi="Times New Roman" w:cs="Times New Roman"/>
          <w:sz w:val="24"/>
          <w:szCs w:val="24"/>
        </w:rPr>
        <w:t>. I</w:t>
      </w:r>
      <w:r w:rsidR="003A3D2C">
        <w:rPr>
          <w:rFonts w:ascii="Times New Roman" w:hAnsi="Times New Roman" w:cs="Times New Roman"/>
          <w:sz w:val="24"/>
          <w:szCs w:val="24"/>
        </w:rPr>
        <w:t>t is</w:t>
      </w:r>
      <w:r>
        <w:rPr>
          <w:rFonts w:ascii="Times New Roman" w:hAnsi="Times New Roman" w:cs="Times New Roman"/>
          <w:sz w:val="24"/>
          <w:szCs w:val="24"/>
        </w:rPr>
        <w:t xml:space="preserve"> worth noting that although reinsurance, by design, is </w:t>
      </w:r>
      <w:r w:rsidR="00F02CCE">
        <w:rPr>
          <w:rFonts w:ascii="Times New Roman" w:hAnsi="Times New Roman" w:cs="Times New Roman"/>
          <w:sz w:val="24"/>
          <w:szCs w:val="24"/>
        </w:rPr>
        <w:t>more so</w:t>
      </w:r>
      <w:r>
        <w:rPr>
          <w:rFonts w:ascii="Times New Roman" w:hAnsi="Times New Roman" w:cs="Times New Roman"/>
          <w:sz w:val="24"/>
          <w:szCs w:val="24"/>
        </w:rPr>
        <w:t xml:space="preserve"> intended to address high-cost enrollees, research of outcomes should not be limited to only high-cost enrollees. These programs operate state-wide, so research should investigate the outcomes for not only high-cost enrollees, but for varying socio-demographic and health characteristics.</w:t>
      </w:r>
    </w:p>
    <w:p w14:paraId="21B94075" w14:textId="77777777" w:rsidR="000F4A46" w:rsidRDefault="000F4A46" w:rsidP="000F4A46">
      <w:pPr>
        <w:rPr>
          <w:rFonts w:ascii="Times New Roman" w:hAnsi="Times New Roman" w:cs="Times New Roman"/>
          <w:sz w:val="24"/>
          <w:szCs w:val="24"/>
        </w:rPr>
      </w:pPr>
    </w:p>
    <w:p w14:paraId="1493CF4A" w14:textId="4DBFBCBC" w:rsidR="000D1BBA" w:rsidRDefault="00811E2E" w:rsidP="000D1BBA">
      <w:pPr>
        <w:rPr>
          <w:rFonts w:ascii="Times New Roman" w:hAnsi="Times New Roman" w:cs="Times New Roman"/>
          <w:i/>
          <w:iCs/>
          <w:sz w:val="24"/>
          <w:szCs w:val="24"/>
        </w:rPr>
      </w:pPr>
      <w:r>
        <w:rPr>
          <w:rFonts w:ascii="Times New Roman" w:hAnsi="Times New Roman" w:cs="Times New Roman"/>
          <w:i/>
          <w:iCs/>
          <w:sz w:val="24"/>
          <w:szCs w:val="24"/>
        </w:rPr>
        <w:lastRenderedPageBreak/>
        <w:t xml:space="preserve">Patient Health </w:t>
      </w:r>
      <w:r w:rsidR="005135FA">
        <w:rPr>
          <w:rFonts w:ascii="Times New Roman" w:hAnsi="Times New Roman" w:cs="Times New Roman"/>
          <w:i/>
          <w:iCs/>
          <w:sz w:val="24"/>
          <w:szCs w:val="24"/>
        </w:rPr>
        <w:t>Outcomes and Health Care Utilization as Developed Under the ACA</w:t>
      </w:r>
    </w:p>
    <w:p w14:paraId="426193CA" w14:textId="7DA08B14" w:rsidR="00665994" w:rsidRDefault="00665994" w:rsidP="004A6F64">
      <w:pPr>
        <w:ind w:firstLine="720"/>
        <w:rPr>
          <w:rFonts w:ascii="Times New Roman" w:hAnsi="Times New Roman" w:cs="Times New Roman"/>
          <w:sz w:val="24"/>
          <w:szCs w:val="24"/>
        </w:rPr>
      </w:pPr>
      <w:r>
        <w:rPr>
          <w:rFonts w:ascii="Times New Roman" w:hAnsi="Times New Roman" w:cs="Times New Roman"/>
          <w:sz w:val="24"/>
          <w:szCs w:val="24"/>
        </w:rPr>
        <w:t>Much of the recent research surrounding patient outcomes and health care utilization has, rightfully, revolved around the impacts of the ACA on these factors. We thus build our discussion around what we know about health care access and utilization, as it has developed under current legislation. One of the most general studies that was encountered on this subject was an analysis of the effects of the ACA on preventative care usage amongst the privately insured. Despite encouraging preventative care use being a deliberate intention of the ACA, results from this research showed that substantial increases to preventative care were relatively trivial, with only rates of routine checkups and the percentage of individuals receiving flu vaccinations having sizable boosts (</w:t>
      </w:r>
      <w:r w:rsidR="005D4047">
        <w:rPr>
          <w:rFonts w:ascii="Times New Roman" w:hAnsi="Times New Roman" w:cs="Times New Roman"/>
          <w:sz w:val="24"/>
          <w:szCs w:val="24"/>
        </w:rPr>
        <w:t>Hong</w:t>
      </w:r>
      <w:r>
        <w:rPr>
          <w:rFonts w:ascii="Times New Roman" w:hAnsi="Times New Roman" w:cs="Times New Roman"/>
          <w:sz w:val="24"/>
          <w:szCs w:val="24"/>
        </w:rPr>
        <w:t xml:space="preserve">, 2017). On a related note, a separate study examined how preventative care was impacted by additional Medicaid expansions. In that study, results were quite a bit stronger: states that expanded Medicaid were found to have higher rates of insurance amongst low-income, childless adults and positive health access and utilization benefits, including the probability of having a personal doctor, receiving some forms of preventative care </w:t>
      </w:r>
      <w:r w:rsidR="004808AD">
        <w:rPr>
          <w:rFonts w:ascii="Times New Roman" w:hAnsi="Times New Roman" w:cs="Times New Roman"/>
          <w:sz w:val="24"/>
          <w:szCs w:val="24"/>
        </w:rPr>
        <w:t>[</w:t>
      </w:r>
      <w:r>
        <w:rPr>
          <w:rFonts w:ascii="Times New Roman" w:hAnsi="Times New Roman" w:cs="Times New Roman"/>
          <w:sz w:val="24"/>
          <w:szCs w:val="24"/>
        </w:rPr>
        <w:t>in particular, HIV testing</w:t>
      </w:r>
      <w:r w:rsidR="004808AD">
        <w:rPr>
          <w:rFonts w:ascii="Times New Roman" w:hAnsi="Times New Roman" w:cs="Times New Roman"/>
          <w:sz w:val="24"/>
          <w:szCs w:val="24"/>
        </w:rPr>
        <w:t>]</w:t>
      </w:r>
      <w:r>
        <w:rPr>
          <w:rFonts w:ascii="Times New Roman" w:hAnsi="Times New Roman" w:cs="Times New Roman"/>
          <w:sz w:val="24"/>
          <w:szCs w:val="24"/>
        </w:rPr>
        <w:t xml:space="preserve"> and improved self-reported health (Simon, 2017</w:t>
      </w:r>
      <w:r w:rsidR="00AC6619">
        <w:rPr>
          <w:rFonts w:ascii="Times New Roman" w:hAnsi="Times New Roman" w:cs="Times New Roman"/>
          <w:sz w:val="24"/>
          <w:szCs w:val="24"/>
        </w:rPr>
        <w:t>). One takeaway which is</w:t>
      </w:r>
      <w:r>
        <w:rPr>
          <w:rFonts w:ascii="Times New Roman" w:hAnsi="Times New Roman" w:cs="Times New Roman"/>
          <w:sz w:val="24"/>
          <w:szCs w:val="24"/>
        </w:rPr>
        <w:t xml:space="preserve"> interesting is that other studies on Medicaid expansions have found results inconsistent with Simon’s findings—in particular, the inability to conclude that Medicaid expansions had any impact on self-reported health status (Wherry, 2016). Collectively, the variation</w:t>
      </w:r>
      <w:r w:rsidR="006C723E">
        <w:rPr>
          <w:rFonts w:ascii="Times New Roman" w:hAnsi="Times New Roman" w:cs="Times New Roman"/>
          <w:sz w:val="24"/>
          <w:szCs w:val="24"/>
        </w:rPr>
        <w:t>s</w:t>
      </w:r>
      <w:r>
        <w:rPr>
          <w:rFonts w:ascii="Times New Roman" w:hAnsi="Times New Roman" w:cs="Times New Roman"/>
          <w:sz w:val="24"/>
          <w:szCs w:val="24"/>
        </w:rPr>
        <w:t xml:space="preserve"> in the results of the literature suggest that at least some forms of preventative care usage are positively correlated with having insurance coverage, but the extent to which health care access and utilization is altered depends on a case-by-case basis, where each case could feasibly warrant its own </w:t>
      </w:r>
      <w:r w:rsidR="007C2D67">
        <w:rPr>
          <w:rFonts w:ascii="Times New Roman" w:hAnsi="Times New Roman" w:cs="Times New Roman"/>
          <w:sz w:val="24"/>
          <w:szCs w:val="24"/>
        </w:rPr>
        <w:t xml:space="preserve">detailed </w:t>
      </w:r>
      <w:r>
        <w:rPr>
          <w:rFonts w:ascii="Times New Roman" w:hAnsi="Times New Roman" w:cs="Times New Roman"/>
          <w:sz w:val="24"/>
          <w:szCs w:val="24"/>
        </w:rPr>
        <w:t>research.</w:t>
      </w:r>
    </w:p>
    <w:p w14:paraId="346F9416" w14:textId="686A93D7" w:rsidR="00665994" w:rsidRDefault="00665994" w:rsidP="00665994">
      <w:pPr>
        <w:rPr>
          <w:rFonts w:ascii="Times New Roman" w:hAnsi="Times New Roman" w:cs="Times New Roman"/>
          <w:sz w:val="24"/>
          <w:szCs w:val="24"/>
        </w:rPr>
      </w:pPr>
      <w:r>
        <w:rPr>
          <w:rFonts w:ascii="Times New Roman" w:hAnsi="Times New Roman" w:cs="Times New Roman"/>
          <w:sz w:val="24"/>
          <w:szCs w:val="24"/>
        </w:rPr>
        <w:tab/>
        <w:t xml:space="preserve">If at least some forms of preventative care are positively linked with expanded insurance coverage, then it is natural to wonder if some forms of preventative care are used less frequently when coverage is expanded. The literature itself is a bit of a mixed bag in this regard. Specifically, </w:t>
      </w:r>
      <w:r w:rsidR="00D15027">
        <w:rPr>
          <w:rFonts w:ascii="Times New Roman" w:hAnsi="Times New Roman" w:cs="Times New Roman"/>
          <w:sz w:val="24"/>
          <w:szCs w:val="24"/>
        </w:rPr>
        <w:t>we have</w:t>
      </w:r>
      <w:r>
        <w:rPr>
          <w:rFonts w:ascii="Times New Roman" w:hAnsi="Times New Roman" w:cs="Times New Roman"/>
          <w:sz w:val="24"/>
          <w:szCs w:val="24"/>
        </w:rPr>
        <w:t xml:space="preserve"> seen contradictory findings in Emergency Department </w:t>
      </w:r>
      <w:r w:rsidR="00E964D2">
        <w:rPr>
          <w:rFonts w:ascii="Times New Roman" w:hAnsi="Times New Roman" w:cs="Times New Roman"/>
          <w:sz w:val="24"/>
          <w:szCs w:val="24"/>
        </w:rPr>
        <w:t>[</w:t>
      </w:r>
      <w:r>
        <w:rPr>
          <w:rFonts w:ascii="Times New Roman" w:hAnsi="Times New Roman" w:cs="Times New Roman"/>
          <w:sz w:val="24"/>
          <w:szCs w:val="24"/>
        </w:rPr>
        <w:t>ED</w:t>
      </w:r>
      <w:r w:rsidR="00E964D2">
        <w:rPr>
          <w:rFonts w:ascii="Times New Roman" w:hAnsi="Times New Roman" w:cs="Times New Roman"/>
          <w:sz w:val="24"/>
          <w:szCs w:val="24"/>
        </w:rPr>
        <w:t>]</w:t>
      </w:r>
      <w:r>
        <w:rPr>
          <w:rFonts w:ascii="Times New Roman" w:hAnsi="Times New Roman" w:cs="Times New Roman"/>
          <w:sz w:val="24"/>
          <w:szCs w:val="24"/>
        </w:rPr>
        <w:t xml:space="preserve"> visits and hospitalizations, with an Oregon study that found an increase in the usage of these services, while other studies of coverage expansions have uncovered reductions in ED</w:t>
      </w:r>
      <w:r w:rsidR="00602022">
        <w:rPr>
          <w:rFonts w:ascii="Times New Roman" w:hAnsi="Times New Roman" w:cs="Times New Roman"/>
          <w:sz w:val="24"/>
          <w:szCs w:val="24"/>
        </w:rPr>
        <w:t xml:space="preserve"> visits</w:t>
      </w:r>
      <w:r>
        <w:rPr>
          <w:rFonts w:ascii="Times New Roman" w:hAnsi="Times New Roman" w:cs="Times New Roman"/>
          <w:sz w:val="24"/>
          <w:szCs w:val="24"/>
        </w:rPr>
        <w:t xml:space="preserve"> and hospitalization usage (Sommers, 2017). It makes sense for fluctuations like these to exist, as services like these ones are prone to serving critical health needs, which can often fall outside of the domain of insurance coverage. Considering the discrepancies found in different settings that are examining the same basic question </w:t>
      </w:r>
      <w:r w:rsidR="00324408">
        <w:rPr>
          <w:rFonts w:ascii="Times New Roman" w:hAnsi="Times New Roman" w:cs="Times New Roman"/>
          <w:sz w:val="24"/>
          <w:szCs w:val="24"/>
        </w:rPr>
        <w:t>of how health insurance co</w:t>
      </w:r>
      <w:r w:rsidR="00E901BD">
        <w:rPr>
          <w:rFonts w:ascii="Times New Roman" w:hAnsi="Times New Roman" w:cs="Times New Roman"/>
          <w:sz w:val="24"/>
          <w:szCs w:val="24"/>
        </w:rPr>
        <w:t>verage impacts health outcomes,</w:t>
      </w:r>
      <w:r>
        <w:rPr>
          <w:rFonts w:ascii="Times New Roman" w:hAnsi="Times New Roman" w:cs="Times New Roman"/>
          <w:sz w:val="24"/>
          <w:szCs w:val="24"/>
        </w:rPr>
        <w:t xml:space="preserve"> it seems </w:t>
      </w:r>
      <w:r w:rsidR="00885A8B">
        <w:rPr>
          <w:rFonts w:ascii="Times New Roman" w:hAnsi="Times New Roman" w:cs="Times New Roman"/>
          <w:sz w:val="24"/>
          <w:szCs w:val="24"/>
        </w:rPr>
        <w:t>reasonable</w:t>
      </w:r>
      <w:r>
        <w:rPr>
          <w:rFonts w:ascii="Times New Roman" w:hAnsi="Times New Roman" w:cs="Times New Roman"/>
          <w:sz w:val="24"/>
          <w:szCs w:val="24"/>
        </w:rPr>
        <w:t xml:space="preserve"> to investigate characteristics</w:t>
      </w:r>
      <w:r w:rsidR="00CF1121">
        <w:rPr>
          <w:rFonts w:ascii="Times New Roman" w:hAnsi="Times New Roman" w:cs="Times New Roman"/>
          <w:sz w:val="24"/>
          <w:szCs w:val="24"/>
        </w:rPr>
        <w:t xml:space="preserve"> that are of the same vein as these ones</w:t>
      </w:r>
      <w:r>
        <w:rPr>
          <w:rFonts w:ascii="Times New Roman" w:hAnsi="Times New Roman" w:cs="Times New Roman"/>
          <w:sz w:val="24"/>
          <w:szCs w:val="24"/>
        </w:rPr>
        <w:t xml:space="preserve"> within the states that have reinsurance programs, and to be prepared for some mixed outcomes, depending on the natural state of usage of the service in question.</w:t>
      </w:r>
    </w:p>
    <w:p w14:paraId="4EDB1384" w14:textId="0304666C" w:rsidR="008E2AB1" w:rsidRPr="008E2AB1" w:rsidRDefault="008E2AB1" w:rsidP="00232673">
      <w:pPr>
        <w:rPr>
          <w:rFonts w:ascii="Times New Roman" w:hAnsi="Times New Roman" w:cs="Times New Roman"/>
          <w:i/>
          <w:iCs/>
          <w:sz w:val="24"/>
          <w:szCs w:val="24"/>
        </w:rPr>
      </w:pPr>
      <w:r>
        <w:rPr>
          <w:rFonts w:ascii="Times New Roman" w:hAnsi="Times New Roman" w:cs="Times New Roman"/>
          <w:i/>
          <w:iCs/>
          <w:sz w:val="24"/>
          <w:szCs w:val="24"/>
        </w:rPr>
        <w:t>Concluding Thoughts on the Surrounding Literature</w:t>
      </w:r>
    </w:p>
    <w:p w14:paraId="34305284" w14:textId="5D21BCF6" w:rsidR="00363717" w:rsidRDefault="00363717" w:rsidP="00363717">
      <w:pPr>
        <w:rPr>
          <w:rFonts w:ascii="Times New Roman" w:hAnsi="Times New Roman" w:cs="Times New Roman"/>
          <w:sz w:val="24"/>
          <w:szCs w:val="24"/>
        </w:rPr>
      </w:pPr>
      <w:r>
        <w:rPr>
          <w:rFonts w:ascii="Times New Roman" w:hAnsi="Times New Roman" w:cs="Times New Roman"/>
          <w:sz w:val="24"/>
          <w:szCs w:val="24"/>
        </w:rPr>
        <w:tab/>
        <w:t xml:space="preserve">In summation of the literature review, we know that: reinsurance can drive down premium prices and result in modest enrollment increases; primary insurers remain risk-averse in spite of this, and will potentially continue to find ways to avoid selling insurance to high-risk individuals, commonly by degrading plan offerings; expanding insurance coverage is </w:t>
      </w:r>
      <w:r w:rsidR="00E90590">
        <w:rPr>
          <w:rFonts w:ascii="Times New Roman" w:hAnsi="Times New Roman" w:cs="Times New Roman"/>
          <w:sz w:val="24"/>
          <w:szCs w:val="24"/>
        </w:rPr>
        <w:t>[</w:t>
      </w:r>
      <w:r>
        <w:rPr>
          <w:rFonts w:ascii="Times New Roman" w:hAnsi="Times New Roman" w:cs="Times New Roman"/>
          <w:sz w:val="24"/>
          <w:szCs w:val="24"/>
        </w:rPr>
        <w:t>usually</w:t>
      </w:r>
      <w:r w:rsidR="00E90590">
        <w:rPr>
          <w:rFonts w:ascii="Times New Roman" w:hAnsi="Times New Roman" w:cs="Times New Roman"/>
          <w:sz w:val="24"/>
          <w:szCs w:val="24"/>
        </w:rPr>
        <w:t xml:space="preserve">] </w:t>
      </w:r>
      <w:r>
        <w:rPr>
          <w:rFonts w:ascii="Times New Roman" w:hAnsi="Times New Roman" w:cs="Times New Roman"/>
          <w:sz w:val="24"/>
          <w:szCs w:val="24"/>
        </w:rPr>
        <w:t xml:space="preserve">positively related with health care utilization and access, although the magnitudes of these effects </w:t>
      </w:r>
      <w:r>
        <w:rPr>
          <w:rFonts w:ascii="Times New Roman" w:hAnsi="Times New Roman" w:cs="Times New Roman"/>
          <w:sz w:val="24"/>
          <w:szCs w:val="24"/>
        </w:rPr>
        <w:lastRenderedPageBreak/>
        <w:t xml:space="preserve">vary depending on the populations and settings we consider. We are interested in researching the effect </w:t>
      </w:r>
      <w:r w:rsidR="00E90590">
        <w:rPr>
          <w:rFonts w:ascii="Times New Roman" w:hAnsi="Times New Roman" w:cs="Times New Roman"/>
          <w:sz w:val="24"/>
          <w:szCs w:val="24"/>
        </w:rPr>
        <w:t>[</w:t>
      </w:r>
      <w:r>
        <w:rPr>
          <w:rFonts w:ascii="Times New Roman" w:hAnsi="Times New Roman" w:cs="Times New Roman"/>
          <w:sz w:val="24"/>
          <w:szCs w:val="24"/>
        </w:rPr>
        <w:t>if one exists</w:t>
      </w:r>
      <w:r w:rsidR="00E90590">
        <w:rPr>
          <w:rFonts w:ascii="Times New Roman" w:hAnsi="Times New Roman" w:cs="Times New Roman"/>
          <w:sz w:val="24"/>
          <w:szCs w:val="24"/>
        </w:rPr>
        <w:t>]</w:t>
      </w:r>
      <w:r>
        <w:rPr>
          <w:rFonts w:ascii="Times New Roman" w:hAnsi="Times New Roman" w:cs="Times New Roman"/>
          <w:sz w:val="24"/>
          <w:szCs w:val="24"/>
        </w:rPr>
        <w:t xml:space="preserve"> of implementing reinsurance programs on health care market enrollees’ health outcomes, as it relates to having primary care access, </w:t>
      </w:r>
      <w:r w:rsidR="000C02DB">
        <w:rPr>
          <w:rFonts w:ascii="Times New Roman" w:hAnsi="Times New Roman" w:cs="Times New Roman"/>
          <w:sz w:val="24"/>
          <w:szCs w:val="24"/>
        </w:rPr>
        <w:t>making use of available health services,</w:t>
      </w:r>
      <w:r>
        <w:rPr>
          <w:rFonts w:ascii="Times New Roman" w:hAnsi="Times New Roman" w:cs="Times New Roman"/>
          <w:sz w:val="24"/>
          <w:szCs w:val="24"/>
        </w:rPr>
        <w:t xml:space="preserve"> reductions in cost limitations to receive care and self-reported health status. The prior heading into this research is that these reinsurance programs will not actually have a significant impact on individual health outcomes, even though they are reducing premium prices and resulting in modest enrollment increases. The simple intuition is that reinsurance is a relatively small measure affecting the supply-side of insurance that not a lot of people know about and, thus, should not have exceptionally large impacts on consumer behavior. The goal, then, is to determine if investment in these programs will yield any</w:t>
      </w:r>
      <w:r w:rsidR="00E157F5">
        <w:rPr>
          <w:rFonts w:ascii="Times New Roman" w:hAnsi="Times New Roman" w:cs="Times New Roman"/>
          <w:sz w:val="24"/>
          <w:szCs w:val="24"/>
        </w:rPr>
        <w:t xml:space="preserve"> downstream</w:t>
      </w:r>
      <w:r>
        <w:rPr>
          <w:rFonts w:ascii="Times New Roman" w:hAnsi="Times New Roman" w:cs="Times New Roman"/>
          <w:sz w:val="24"/>
          <w:szCs w:val="24"/>
        </w:rPr>
        <w:t xml:space="preserve"> benefits, from the demand-side, outside of premium prices and modest coverage boosts.</w:t>
      </w:r>
    </w:p>
    <w:p w14:paraId="70626CA9" w14:textId="0AEF8C15" w:rsidR="002E4760" w:rsidRDefault="002E4760" w:rsidP="00363717">
      <w:pPr>
        <w:rPr>
          <w:rFonts w:ascii="Times New Roman" w:hAnsi="Times New Roman" w:cs="Times New Roman"/>
          <w:sz w:val="24"/>
          <w:szCs w:val="24"/>
        </w:rPr>
      </w:pPr>
    </w:p>
    <w:p w14:paraId="22DDAF6A" w14:textId="2D9F2850" w:rsidR="002E4760" w:rsidRDefault="002E4760" w:rsidP="00363717">
      <w:pPr>
        <w:rPr>
          <w:rFonts w:ascii="Times New Roman" w:hAnsi="Times New Roman" w:cs="Times New Roman"/>
          <w:sz w:val="24"/>
          <w:szCs w:val="24"/>
        </w:rPr>
      </w:pPr>
    </w:p>
    <w:p w14:paraId="4DDA3E62" w14:textId="48980DB8" w:rsidR="002E4760" w:rsidRDefault="002E4760" w:rsidP="00363717">
      <w:pPr>
        <w:rPr>
          <w:rFonts w:ascii="Times New Roman" w:hAnsi="Times New Roman" w:cs="Times New Roman"/>
          <w:sz w:val="24"/>
          <w:szCs w:val="24"/>
        </w:rPr>
      </w:pPr>
    </w:p>
    <w:p w14:paraId="0C5316B3" w14:textId="6A9A961C" w:rsidR="002E4760" w:rsidRDefault="002E4760" w:rsidP="00363717">
      <w:pPr>
        <w:rPr>
          <w:rFonts w:ascii="Times New Roman" w:hAnsi="Times New Roman" w:cs="Times New Roman"/>
          <w:sz w:val="24"/>
          <w:szCs w:val="24"/>
        </w:rPr>
      </w:pPr>
    </w:p>
    <w:p w14:paraId="477D9C25" w14:textId="698DBFC1" w:rsidR="002E4760" w:rsidRDefault="002E4760" w:rsidP="00363717">
      <w:pPr>
        <w:rPr>
          <w:rFonts w:ascii="Times New Roman" w:hAnsi="Times New Roman" w:cs="Times New Roman"/>
          <w:sz w:val="24"/>
          <w:szCs w:val="24"/>
        </w:rPr>
      </w:pPr>
    </w:p>
    <w:p w14:paraId="7E0238D5" w14:textId="364B4EE5" w:rsidR="00027017" w:rsidRDefault="00027017" w:rsidP="00363717">
      <w:pPr>
        <w:rPr>
          <w:rFonts w:ascii="Times New Roman" w:hAnsi="Times New Roman" w:cs="Times New Roman"/>
          <w:sz w:val="24"/>
          <w:szCs w:val="24"/>
        </w:rPr>
      </w:pPr>
    </w:p>
    <w:p w14:paraId="021E896D" w14:textId="688AD317" w:rsidR="00027017" w:rsidRDefault="00027017" w:rsidP="00363717">
      <w:pPr>
        <w:rPr>
          <w:rFonts w:ascii="Times New Roman" w:hAnsi="Times New Roman" w:cs="Times New Roman"/>
          <w:sz w:val="24"/>
          <w:szCs w:val="24"/>
        </w:rPr>
      </w:pPr>
    </w:p>
    <w:p w14:paraId="30D117EA" w14:textId="608F2E78" w:rsidR="00027017" w:rsidRDefault="00027017" w:rsidP="00363717">
      <w:pPr>
        <w:rPr>
          <w:rFonts w:ascii="Times New Roman" w:hAnsi="Times New Roman" w:cs="Times New Roman"/>
          <w:sz w:val="24"/>
          <w:szCs w:val="24"/>
        </w:rPr>
      </w:pPr>
    </w:p>
    <w:p w14:paraId="6FF68FDA" w14:textId="60F98B5D" w:rsidR="00027017" w:rsidRDefault="00027017" w:rsidP="00363717">
      <w:pPr>
        <w:rPr>
          <w:rFonts w:ascii="Times New Roman" w:hAnsi="Times New Roman" w:cs="Times New Roman"/>
          <w:sz w:val="24"/>
          <w:szCs w:val="24"/>
        </w:rPr>
      </w:pPr>
    </w:p>
    <w:p w14:paraId="606461A6" w14:textId="0603089B" w:rsidR="00027017" w:rsidRDefault="00027017" w:rsidP="00363717">
      <w:pPr>
        <w:rPr>
          <w:rFonts w:ascii="Times New Roman" w:hAnsi="Times New Roman" w:cs="Times New Roman"/>
          <w:sz w:val="24"/>
          <w:szCs w:val="24"/>
        </w:rPr>
      </w:pPr>
    </w:p>
    <w:p w14:paraId="3D6DD9FB" w14:textId="3A504A73" w:rsidR="00027017" w:rsidRDefault="00027017" w:rsidP="00363717">
      <w:pPr>
        <w:rPr>
          <w:rFonts w:ascii="Times New Roman" w:hAnsi="Times New Roman" w:cs="Times New Roman"/>
          <w:sz w:val="24"/>
          <w:szCs w:val="24"/>
        </w:rPr>
      </w:pPr>
    </w:p>
    <w:p w14:paraId="3544F691" w14:textId="31B3FBE2" w:rsidR="00027017" w:rsidRDefault="00027017" w:rsidP="00363717">
      <w:pPr>
        <w:rPr>
          <w:rFonts w:ascii="Times New Roman" w:hAnsi="Times New Roman" w:cs="Times New Roman"/>
          <w:sz w:val="24"/>
          <w:szCs w:val="24"/>
        </w:rPr>
      </w:pPr>
    </w:p>
    <w:p w14:paraId="60D2D375" w14:textId="13071EDA" w:rsidR="00027017" w:rsidRDefault="00027017" w:rsidP="00363717">
      <w:pPr>
        <w:rPr>
          <w:rFonts w:ascii="Times New Roman" w:hAnsi="Times New Roman" w:cs="Times New Roman"/>
          <w:sz w:val="24"/>
          <w:szCs w:val="24"/>
        </w:rPr>
      </w:pPr>
    </w:p>
    <w:p w14:paraId="13374187" w14:textId="49D99196" w:rsidR="00027017" w:rsidRDefault="00027017" w:rsidP="00363717">
      <w:pPr>
        <w:rPr>
          <w:rFonts w:ascii="Times New Roman" w:hAnsi="Times New Roman" w:cs="Times New Roman"/>
          <w:sz w:val="24"/>
          <w:szCs w:val="24"/>
        </w:rPr>
      </w:pPr>
    </w:p>
    <w:p w14:paraId="3AB31483" w14:textId="0326CA73" w:rsidR="00027017" w:rsidRDefault="00027017" w:rsidP="00363717">
      <w:pPr>
        <w:rPr>
          <w:rFonts w:ascii="Times New Roman" w:hAnsi="Times New Roman" w:cs="Times New Roman"/>
          <w:sz w:val="24"/>
          <w:szCs w:val="24"/>
        </w:rPr>
      </w:pPr>
    </w:p>
    <w:p w14:paraId="02313DA0" w14:textId="3615DE2C" w:rsidR="00027017" w:rsidRDefault="00027017" w:rsidP="00363717">
      <w:pPr>
        <w:rPr>
          <w:rFonts w:ascii="Times New Roman" w:hAnsi="Times New Roman" w:cs="Times New Roman"/>
          <w:sz w:val="24"/>
          <w:szCs w:val="24"/>
        </w:rPr>
      </w:pPr>
    </w:p>
    <w:p w14:paraId="7FF90D8D" w14:textId="1089CF0A" w:rsidR="00027017" w:rsidRDefault="00027017" w:rsidP="00363717">
      <w:pPr>
        <w:rPr>
          <w:rFonts w:ascii="Times New Roman" w:hAnsi="Times New Roman" w:cs="Times New Roman"/>
          <w:sz w:val="24"/>
          <w:szCs w:val="24"/>
        </w:rPr>
      </w:pPr>
    </w:p>
    <w:p w14:paraId="11D86D01" w14:textId="36DA85F2" w:rsidR="00027017" w:rsidRDefault="00027017" w:rsidP="00363717">
      <w:pPr>
        <w:rPr>
          <w:rFonts w:ascii="Times New Roman" w:hAnsi="Times New Roman" w:cs="Times New Roman"/>
          <w:sz w:val="24"/>
          <w:szCs w:val="24"/>
        </w:rPr>
      </w:pPr>
    </w:p>
    <w:p w14:paraId="785172CC" w14:textId="67ADECCD" w:rsidR="00027017" w:rsidRDefault="00027017" w:rsidP="00363717">
      <w:pPr>
        <w:rPr>
          <w:rFonts w:ascii="Times New Roman" w:hAnsi="Times New Roman" w:cs="Times New Roman"/>
          <w:sz w:val="24"/>
          <w:szCs w:val="24"/>
        </w:rPr>
      </w:pPr>
    </w:p>
    <w:p w14:paraId="70F52D53" w14:textId="0B9BB58A" w:rsidR="00DB42B5" w:rsidRDefault="00DB42B5" w:rsidP="00363717">
      <w:pPr>
        <w:rPr>
          <w:rFonts w:ascii="Times New Roman" w:hAnsi="Times New Roman" w:cs="Times New Roman"/>
          <w:sz w:val="24"/>
          <w:szCs w:val="24"/>
        </w:rPr>
      </w:pPr>
    </w:p>
    <w:p w14:paraId="6F9032B7" w14:textId="77777777" w:rsidR="00A44597" w:rsidRDefault="00A44597" w:rsidP="00363717">
      <w:pPr>
        <w:rPr>
          <w:rFonts w:ascii="Times New Roman" w:hAnsi="Times New Roman" w:cs="Times New Roman"/>
          <w:sz w:val="24"/>
          <w:szCs w:val="24"/>
        </w:rPr>
      </w:pPr>
    </w:p>
    <w:p w14:paraId="67AEF376" w14:textId="36350986" w:rsidR="000A7279" w:rsidRDefault="00B273BF" w:rsidP="00363717">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Section 3: </w:t>
      </w:r>
      <w:r w:rsidR="000A7279">
        <w:rPr>
          <w:rFonts w:ascii="Times New Roman" w:hAnsi="Times New Roman" w:cs="Times New Roman"/>
          <w:b/>
          <w:bCs/>
          <w:sz w:val="28"/>
          <w:szCs w:val="28"/>
          <w:u w:val="single"/>
        </w:rPr>
        <w:t>Data</w:t>
      </w:r>
    </w:p>
    <w:p w14:paraId="474F6A21" w14:textId="739D7886" w:rsidR="000A7279" w:rsidRDefault="000A7279" w:rsidP="00363717">
      <w:pPr>
        <w:rPr>
          <w:rFonts w:ascii="Times New Roman" w:hAnsi="Times New Roman" w:cs="Times New Roman"/>
          <w:sz w:val="24"/>
          <w:szCs w:val="24"/>
        </w:rPr>
      </w:pPr>
      <w:r>
        <w:rPr>
          <w:rFonts w:ascii="Times New Roman" w:hAnsi="Times New Roman" w:cs="Times New Roman"/>
          <w:sz w:val="28"/>
          <w:szCs w:val="28"/>
        </w:rPr>
        <w:tab/>
      </w:r>
      <w:r w:rsidR="0061309B">
        <w:rPr>
          <w:rFonts w:ascii="Times New Roman" w:hAnsi="Times New Roman" w:cs="Times New Roman"/>
          <w:sz w:val="24"/>
          <w:szCs w:val="24"/>
        </w:rPr>
        <w:t xml:space="preserve">The data analyzed in this research paper is that of the </w:t>
      </w:r>
      <w:r w:rsidR="002306A5">
        <w:rPr>
          <w:rFonts w:ascii="Times New Roman" w:hAnsi="Times New Roman" w:cs="Times New Roman"/>
          <w:sz w:val="24"/>
          <w:szCs w:val="24"/>
        </w:rPr>
        <w:t>BRFSS survey.</w:t>
      </w:r>
      <w:r w:rsidR="004006B1">
        <w:rPr>
          <w:rFonts w:ascii="Times New Roman" w:hAnsi="Times New Roman" w:cs="Times New Roman"/>
          <w:sz w:val="24"/>
          <w:szCs w:val="24"/>
        </w:rPr>
        <w:t xml:space="preserve"> One key feature of the BRFSS dataset which makes it enticing for </w:t>
      </w:r>
      <w:r w:rsidR="003552DD">
        <w:rPr>
          <w:rFonts w:ascii="Times New Roman" w:hAnsi="Times New Roman" w:cs="Times New Roman"/>
          <w:sz w:val="24"/>
          <w:szCs w:val="24"/>
        </w:rPr>
        <w:t xml:space="preserve">analysis of the impact of reinsurance on health outcomes is the fact that the </w:t>
      </w:r>
      <w:r w:rsidR="00EC57FA">
        <w:rPr>
          <w:rFonts w:ascii="Times New Roman" w:hAnsi="Times New Roman" w:cs="Times New Roman"/>
          <w:sz w:val="24"/>
          <w:szCs w:val="24"/>
        </w:rPr>
        <w:t xml:space="preserve">survey does not de-identify respondents at the state-level </w:t>
      </w:r>
      <w:r w:rsidR="00E90590">
        <w:rPr>
          <w:rFonts w:ascii="Times New Roman" w:hAnsi="Times New Roman" w:cs="Times New Roman"/>
          <w:sz w:val="24"/>
          <w:szCs w:val="24"/>
        </w:rPr>
        <w:t>[</w:t>
      </w:r>
      <w:r w:rsidR="00EC57FA">
        <w:rPr>
          <w:rFonts w:ascii="Times New Roman" w:hAnsi="Times New Roman" w:cs="Times New Roman"/>
          <w:sz w:val="24"/>
          <w:szCs w:val="24"/>
        </w:rPr>
        <w:t>as opposed to</w:t>
      </w:r>
      <w:r w:rsidR="001C1779">
        <w:rPr>
          <w:rFonts w:ascii="Times New Roman" w:hAnsi="Times New Roman" w:cs="Times New Roman"/>
          <w:sz w:val="24"/>
          <w:szCs w:val="24"/>
        </w:rPr>
        <w:t xml:space="preserve"> other health-outcomes focused dataset</w:t>
      </w:r>
      <w:r w:rsidR="003D75F2">
        <w:rPr>
          <w:rFonts w:ascii="Times New Roman" w:hAnsi="Times New Roman" w:cs="Times New Roman"/>
          <w:sz w:val="24"/>
          <w:szCs w:val="24"/>
        </w:rPr>
        <w:t>s</w:t>
      </w:r>
      <w:r w:rsidR="001C1779">
        <w:rPr>
          <w:rFonts w:ascii="Times New Roman" w:hAnsi="Times New Roman" w:cs="Times New Roman"/>
          <w:sz w:val="24"/>
          <w:szCs w:val="24"/>
        </w:rPr>
        <w:t xml:space="preserve"> like the Michigan Retirement Survey</w:t>
      </w:r>
      <w:r w:rsidR="00B4765F">
        <w:rPr>
          <w:rFonts w:ascii="Times New Roman" w:hAnsi="Times New Roman" w:cs="Times New Roman"/>
          <w:sz w:val="24"/>
          <w:szCs w:val="24"/>
        </w:rPr>
        <w:t xml:space="preserve"> or the National Health Interview Survey</w:t>
      </w:r>
      <w:r w:rsidR="001C1779">
        <w:rPr>
          <w:rFonts w:ascii="Times New Roman" w:hAnsi="Times New Roman" w:cs="Times New Roman"/>
          <w:sz w:val="24"/>
          <w:szCs w:val="24"/>
        </w:rPr>
        <w:t>, which limit geographical identification to broad</w:t>
      </w:r>
      <w:r w:rsidR="00C721B7">
        <w:rPr>
          <w:rFonts w:ascii="Times New Roman" w:hAnsi="Times New Roman" w:cs="Times New Roman"/>
          <w:sz w:val="24"/>
          <w:szCs w:val="24"/>
        </w:rPr>
        <w:t>er</w:t>
      </w:r>
      <w:r w:rsidR="001C1779">
        <w:rPr>
          <w:rFonts w:ascii="Times New Roman" w:hAnsi="Times New Roman" w:cs="Times New Roman"/>
          <w:sz w:val="24"/>
          <w:szCs w:val="24"/>
        </w:rPr>
        <w:t xml:space="preserve"> </w:t>
      </w:r>
      <w:r w:rsidR="00C721B7">
        <w:rPr>
          <w:rFonts w:ascii="Times New Roman" w:hAnsi="Times New Roman" w:cs="Times New Roman"/>
          <w:sz w:val="24"/>
          <w:szCs w:val="24"/>
        </w:rPr>
        <w:t xml:space="preserve">census </w:t>
      </w:r>
      <w:r w:rsidR="001C1779">
        <w:rPr>
          <w:rFonts w:ascii="Times New Roman" w:hAnsi="Times New Roman" w:cs="Times New Roman"/>
          <w:sz w:val="24"/>
          <w:szCs w:val="24"/>
        </w:rPr>
        <w:t>regions of the United States</w:t>
      </w:r>
      <w:r w:rsidR="00E90590">
        <w:rPr>
          <w:rFonts w:ascii="Times New Roman" w:hAnsi="Times New Roman" w:cs="Times New Roman"/>
          <w:sz w:val="24"/>
          <w:szCs w:val="24"/>
        </w:rPr>
        <w:t>]</w:t>
      </w:r>
      <w:r w:rsidR="001C1779">
        <w:rPr>
          <w:rFonts w:ascii="Times New Roman" w:hAnsi="Times New Roman" w:cs="Times New Roman"/>
          <w:sz w:val="24"/>
          <w:szCs w:val="24"/>
        </w:rPr>
        <w:t xml:space="preserve">. </w:t>
      </w:r>
      <w:r w:rsidR="001F02D2">
        <w:rPr>
          <w:rFonts w:ascii="Times New Roman" w:hAnsi="Times New Roman" w:cs="Times New Roman"/>
          <w:sz w:val="24"/>
          <w:szCs w:val="24"/>
        </w:rPr>
        <w:t xml:space="preserve">Thus, the BRFSS represents a rich data source spanning multiple years </w:t>
      </w:r>
      <w:r w:rsidR="00424F00">
        <w:rPr>
          <w:rFonts w:ascii="Times New Roman" w:hAnsi="Times New Roman" w:cs="Times New Roman"/>
          <w:sz w:val="24"/>
          <w:szCs w:val="24"/>
        </w:rPr>
        <w:t>that could be utilized to compare health outcomes at the state-level.</w:t>
      </w:r>
    </w:p>
    <w:p w14:paraId="5E46D205" w14:textId="6D4D8D9A" w:rsidR="00A445CC" w:rsidRDefault="00A445CC" w:rsidP="00A445CC">
      <w:pPr>
        <w:ind w:firstLine="720"/>
        <w:rPr>
          <w:rFonts w:ascii="Times New Roman" w:hAnsi="Times New Roman" w:cs="Times New Roman"/>
          <w:sz w:val="24"/>
          <w:szCs w:val="24"/>
        </w:rPr>
      </w:pPr>
      <w:r>
        <w:rPr>
          <w:rFonts w:ascii="Times New Roman" w:hAnsi="Times New Roman" w:cs="Times New Roman"/>
          <w:sz w:val="24"/>
          <w:szCs w:val="24"/>
        </w:rPr>
        <w:t xml:space="preserve">Having clear access to state-level data easily permits splitting the data up into states that instituted reinsurance programs, and those that did not. The actual number of responses per state and per year does vary, but it tends to range anywhere from </w:t>
      </w:r>
      <w:r w:rsidR="009D7F2E">
        <w:rPr>
          <w:rFonts w:ascii="Times New Roman" w:hAnsi="Times New Roman" w:cs="Times New Roman"/>
          <w:sz w:val="24"/>
          <w:szCs w:val="24"/>
        </w:rPr>
        <w:t>a minimum of approximately</w:t>
      </w:r>
      <w:r>
        <w:rPr>
          <w:rFonts w:ascii="Times New Roman" w:hAnsi="Times New Roman" w:cs="Times New Roman"/>
          <w:sz w:val="24"/>
          <w:szCs w:val="24"/>
        </w:rPr>
        <w:t xml:space="preserve"> </w:t>
      </w:r>
      <w:r w:rsidR="008B6D51">
        <w:rPr>
          <w:rFonts w:ascii="Times New Roman" w:hAnsi="Times New Roman" w:cs="Times New Roman"/>
          <w:sz w:val="24"/>
          <w:szCs w:val="24"/>
        </w:rPr>
        <w:t>500</w:t>
      </w:r>
      <w:r>
        <w:rPr>
          <w:rFonts w:ascii="Times New Roman" w:hAnsi="Times New Roman" w:cs="Times New Roman"/>
          <w:sz w:val="24"/>
          <w:szCs w:val="24"/>
        </w:rPr>
        <w:t xml:space="preserve"> to</w:t>
      </w:r>
      <w:r w:rsidR="00002AA4">
        <w:rPr>
          <w:rFonts w:ascii="Times New Roman" w:hAnsi="Times New Roman" w:cs="Times New Roman"/>
          <w:sz w:val="24"/>
          <w:szCs w:val="24"/>
        </w:rPr>
        <w:t xml:space="preserve"> a maximum of</w:t>
      </w:r>
      <w:r>
        <w:rPr>
          <w:rFonts w:ascii="Times New Roman" w:hAnsi="Times New Roman" w:cs="Times New Roman"/>
          <w:sz w:val="24"/>
          <w:szCs w:val="24"/>
        </w:rPr>
        <w:t xml:space="preserve"> </w:t>
      </w:r>
      <w:r w:rsidR="00002AA4">
        <w:rPr>
          <w:rFonts w:ascii="Times New Roman" w:hAnsi="Times New Roman" w:cs="Times New Roman"/>
          <w:sz w:val="24"/>
          <w:szCs w:val="24"/>
        </w:rPr>
        <w:t>6</w:t>
      </w:r>
      <w:r>
        <w:rPr>
          <w:rFonts w:ascii="Times New Roman" w:hAnsi="Times New Roman" w:cs="Times New Roman"/>
          <w:sz w:val="24"/>
          <w:szCs w:val="24"/>
        </w:rPr>
        <w:t>,000 respondents</w:t>
      </w:r>
      <w:r w:rsidR="00002AA4">
        <w:rPr>
          <w:rFonts w:ascii="Times New Roman" w:hAnsi="Times New Roman" w:cs="Times New Roman"/>
          <w:sz w:val="24"/>
          <w:szCs w:val="24"/>
        </w:rPr>
        <w:t xml:space="preserve"> annually</w:t>
      </w:r>
      <w:r>
        <w:rPr>
          <w:rFonts w:ascii="Times New Roman" w:hAnsi="Times New Roman" w:cs="Times New Roman"/>
          <w:sz w:val="24"/>
          <w:szCs w:val="24"/>
        </w:rPr>
        <w:t>. It should be noted that the format of the BRFSS was</w:t>
      </w:r>
      <w:r w:rsidR="00E95C6E">
        <w:rPr>
          <w:rFonts w:ascii="Times New Roman" w:hAnsi="Times New Roman" w:cs="Times New Roman"/>
          <w:sz w:val="24"/>
          <w:szCs w:val="24"/>
        </w:rPr>
        <w:t xml:space="preserve"> permanently</w:t>
      </w:r>
      <w:r>
        <w:rPr>
          <w:rFonts w:ascii="Times New Roman" w:hAnsi="Times New Roman" w:cs="Times New Roman"/>
          <w:sz w:val="24"/>
          <w:szCs w:val="24"/>
        </w:rPr>
        <w:t xml:space="preserve"> altered </w:t>
      </w:r>
      <w:r w:rsidR="00E95C6E">
        <w:rPr>
          <w:rFonts w:ascii="Times New Roman" w:hAnsi="Times New Roman" w:cs="Times New Roman"/>
          <w:sz w:val="24"/>
          <w:szCs w:val="24"/>
        </w:rPr>
        <w:t>beginning with</w:t>
      </w:r>
      <w:r>
        <w:rPr>
          <w:rFonts w:ascii="Times New Roman" w:hAnsi="Times New Roman" w:cs="Times New Roman"/>
          <w:sz w:val="24"/>
          <w:szCs w:val="24"/>
        </w:rPr>
        <w:t xml:space="preserve"> the 201</w:t>
      </w:r>
      <w:r w:rsidR="0079553B">
        <w:rPr>
          <w:rFonts w:ascii="Times New Roman" w:hAnsi="Times New Roman" w:cs="Times New Roman"/>
          <w:sz w:val="24"/>
          <w:szCs w:val="24"/>
        </w:rPr>
        <w:t>2</w:t>
      </w:r>
      <w:r>
        <w:rPr>
          <w:rFonts w:ascii="Times New Roman" w:hAnsi="Times New Roman" w:cs="Times New Roman"/>
          <w:sz w:val="24"/>
          <w:szCs w:val="24"/>
        </w:rPr>
        <w:t xml:space="preserve"> survey</w:t>
      </w:r>
      <w:r w:rsidR="006042F5">
        <w:rPr>
          <w:rFonts w:ascii="Times New Roman" w:hAnsi="Times New Roman" w:cs="Times New Roman"/>
          <w:sz w:val="24"/>
          <w:szCs w:val="24"/>
        </w:rPr>
        <w:t xml:space="preserve">, </w:t>
      </w:r>
      <w:r w:rsidR="007E2FFD">
        <w:rPr>
          <w:rFonts w:ascii="Times New Roman" w:hAnsi="Times New Roman" w:cs="Times New Roman"/>
          <w:sz w:val="24"/>
          <w:szCs w:val="24"/>
        </w:rPr>
        <w:t xml:space="preserve">meaning that </w:t>
      </w:r>
      <w:r w:rsidR="00853185">
        <w:rPr>
          <w:rFonts w:ascii="Times New Roman" w:hAnsi="Times New Roman" w:cs="Times New Roman"/>
          <w:sz w:val="24"/>
          <w:szCs w:val="24"/>
        </w:rPr>
        <w:t>data from prior to 201</w:t>
      </w:r>
      <w:r w:rsidR="0079553B">
        <w:rPr>
          <w:rFonts w:ascii="Times New Roman" w:hAnsi="Times New Roman" w:cs="Times New Roman"/>
          <w:sz w:val="24"/>
          <w:szCs w:val="24"/>
        </w:rPr>
        <w:t>2</w:t>
      </w:r>
      <w:r w:rsidR="00853185">
        <w:rPr>
          <w:rFonts w:ascii="Times New Roman" w:hAnsi="Times New Roman" w:cs="Times New Roman"/>
          <w:sz w:val="24"/>
          <w:szCs w:val="24"/>
        </w:rPr>
        <w:t xml:space="preserve"> </w:t>
      </w:r>
      <w:r w:rsidR="00CA0181">
        <w:rPr>
          <w:rFonts w:ascii="Times New Roman" w:hAnsi="Times New Roman" w:cs="Times New Roman"/>
          <w:sz w:val="24"/>
          <w:szCs w:val="24"/>
        </w:rPr>
        <w:t xml:space="preserve">does not include the survey items consistently found in each year henceforth. Survey data for 2020 was not publicly available at the time of this research, </w:t>
      </w:r>
      <w:r w:rsidR="00694879">
        <w:rPr>
          <w:rFonts w:ascii="Times New Roman" w:hAnsi="Times New Roman" w:cs="Times New Roman"/>
          <w:sz w:val="24"/>
          <w:szCs w:val="24"/>
        </w:rPr>
        <w:t xml:space="preserve">so the data collected </w:t>
      </w:r>
      <w:r w:rsidR="00523FB2">
        <w:rPr>
          <w:rFonts w:ascii="Times New Roman" w:hAnsi="Times New Roman" w:cs="Times New Roman"/>
          <w:sz w:val="24"/>
          <w:szCs w:val="24"/>
        </w:rPr>
        <w:t>and reported on in this paper exists from between 201</w:t>
      </w:r>
      <w:r w:rsidR="0079553B">
        <w:rPr>
          <w:rFonts w:ascii="Times New Roman" w:hAnsi="Times New Roman" w:cs="Times New Roman"/>
          <w:sz w:val="24"/>
          <w:szCs w:val="24"/>
        </w:rPr>
        <w:t>2</w:t>
      </w:r>
      <w:r w:rsidR="00523FB2">
        <w:rPr>
          <w:rFonts w:ascii="Times New Roman" w:hAnsi="Times New Roman" w:cs="Times New Roman"/>
          <w:sz w:val="24"/>
          <w:szCs w:val="24"/>
        </w:rPr>
        <w:t xml:space="preserve"> to 2019. Additionally, New Jersey did not </w:t>
      </w:r>
      <w:r w:rsidR="00E00CA9">
        <w:rPr>
          <w:rFonts w:ascii="Times New Roman" w:hAnsi="Times New Roman" w:cs="Times New Roman"/>
          <w:sz w:val="24"/>
          <w:szCs w:val="24"/>
        </w:rPr>
        <w:t xml:space="preserve">participate in the national BRFSS during 2019, </w:t>
      </w:r>
      <w:r w:rsidR="001A4E27">
        <w:rPr>
          <w:rFonts w:ascii="Times New Roman" w:hAnsi="Times New Roman" w:cs="Times New Roman"/>
          <w:sz w:val="24"/>
          <w:szCs w:val="24"/>
        </w:rPr>
        <w:t xml:space="preserve">the only year within our available data in which New Jersey’s 1332 waiver was in effect—this renders analysis of New Jersey for this </w:t>
      </w:r>
      <w:r w:rsidR="00773E3A">
        <w:rPr>
          <w:rFonts w:ascii="Times New Roman" w:hAnsi="Times New Roman" w:cs="Times New Roman"/>
          <w:sz w:val="24"/>
          <w:szCs w:val="24"/>
        </w:rPr>
        <w:t xml:space="preserve">paper impossible as currently constructed, and </w:t>
      </w:r>
      <w:r w:rsidR="00C318ED">
        <w:rPr>
          <w:rFonts w:ascii="Times New Roman" w:hAnsi="Times New Roman" w:cs="Times New Roman"/>
          <w:sz w:val="24"/>
          <w:szCs w:val="24"/>
        </w:rPr>
        <w:t>all further analysis focuses only on Alaska, Minnesota, Oregon, Maine</w:t>
      </w:r>
      <w:r w:rsidR="00353316">
        <w:rPr>
          <w:rFonts w:ascii="Times New Roman" w:hAnsi="Times New Roman" w:cs="Times New Roman"/>
          <w:sz w:val="24"/>
          <w:szCs w:val="24"/>
        </w:rPr>
        <w:t xml:space="preserve">, Maryland, and Wisconsin </w:t>
      </w:r>
      <w:r w:rsidR="0023620E">
        <w:rPr>
          <w:rFonts w:ascii="Times New Roman" w:hAnsi="Times New Roman" w:cs="Times New Roman"/>
          <w:sz w:val="24"/>
          <w:szCs w:val="24"/>
        </w:rPr>
        <w:t xml:space="preserve">as </w:t>
      </w:r>
      <w:r w:rsidR="00E07D64">
        <w:rPr>
          <w:rFonts w:ascii="Times New Roman" w:hAnsi="Times New Roman" w:cs="Times New Roman"/>
          <w:sz w:val="24"/>
          <w:szCs w:val="24"/>
        </w:rPr>
        <w:t>states which have implemented reinsurance.</w:t>
      </w:r>
    </w:p>
    <w:p w14:paraId="19B54C02" w14:textId="40A59E91" w:rsidR="00C557C5" w:rsidRDefault="00C557C5" w:rsidP="00363717">
      <w:pPr>
        <w:rPr>
          <w:rFonts w:ascii="Times New Roman" w:hAnsi="Times New Roman" w:cs="Times New Roman"/>
          <w:sz w:val="24"/>
          <w:szCs w:val="24"/>
        </w:rPr>
      </w:pPr>
      <w:r>
        <w:rPr>
          <w:rFonts w:ascii="Times New Roman" w:hAnsi="Times New Roman" w:cs="Times New Roman"/>
          <w:sz w:val="24"/>
          <w:szCs w:val="24"/>
        </w:rPr>
        <w:tab/>
      </w:r>
      <w:r w:rsidR="009F6540">
        <w:rPr>
          <w:rFonts w:ascii="Times New Roman" w:hAnsi="Times New Roman" w:cs="Times New Roman"/>
          <w:sz w:val="24"/>
          <w:szCs w:val="24"/>
        </w:rPr>
        <w:t xml:space="preserve">The following </w:t>
      </w:r>
      <w:r w:rsidR="0067714C">
        <w:rPr>
          <w:rFonts w:ascii="Times New Roman" w:hAnsi="Times New Roman" w:cs="Times New Roman"/>
          <w:sz w:val="24"/>
          <w:szCs w:val="24"/>
        </w:rPr>
        <w:t xml:space="preserve">gives basic </w:t>
      </w:r>
      <w:r w:rsidR="00B20FCB">
        <w:rPr>
          <w:rFonts w:ascii="Times New Roman" w:hAnsi="Times New Roman" w:cs="Times New Roman"/>
          <w:sz w:val="24"/>
          <w:szCs w:val="24"/>
        </w:rPr>
        <w:t xml:space="preserve">observational counts for each </w:t>
      </w:r>
      <w:r w:rsidR="0004426A">
        <w:rPr>
          <w:rFonts w:ascii="Times New Roman" w:hAnsi="Times New Roman" w:cs="Times New Roman"/>
          <w:sz w:val="24"/>
          <w:szCs w:val="24"/>
        </w:rPr>
        <w:t>state included in this study;</w:t>
      </w:r>
      <w:r w:rsidR="006B442D">
        <w:rPr>
          <w:rFonts w:ascii="Times New Roman" w:hAnsi="Times New Roman" w:cs="Times New Roman"/>
          <w:sz w:val="24"/>
          <w:szCs w:val="24"/>
        </w:rPr>
        <w:t xml:space="preserve"> this indicates </w:t>
      </w:r>
      <w:r w:rsidR="00A17DB7">
        <w:rPr>
          <w:rFonts w:ascii="Times New Roman" w:hAnsi="Times New Roman" w:cs="Times New Roman"/>
          <w:sz w:val="24"/>
          <w:szCs w:val="24"/>
        </w:rPr>
        <w:t xml:space="preserve">counts after omission of observations which contained missing records for </w:t>
      </w:r>
      <w:r w:rsidR="000748FB">
        <w:rPr>
          <w:rFonts w:ascii="Times New Roman" w:hAnsi="Times New Roman" w:cs="Times New Roman"/>
          <w:sz w:val="24"/>
          <w:szCs w:val="24"/>
        </w:rPr>
        <w:t>necessary variables of interest.</w:t>
      </w:r>
      <w:r w:rsidR="0004426A">
        <w:rPr>
          <w:rFonts w:ascii="Times New Roman" w:hAnsi="Times New Roman" w:cs="Times New Roman"/>
          <w:sz w:val="24"/>
          <w:szCs w:val="24"/>
        </w:rPr>
        <w:t xml:space="preserve"> </w:t>
      </w:r>
      <w:r w:rsidR="000748FB">
        <w:rPr>
          <w:rFonts w:ascii="Times New Roman" w:hAnsi="Times New Roman" w:cs="Times New Roman"/>
          <w:sz w:val="24"/>
          <w:szCs w:val="24"/>
        </w:rPr>
        <w:t>A</w:t>
      </w:r>
      <w:r w:rsidR="0004426A">
        <w:rPr>
          <w:rFonts w:ascii="Times New Roman" w:hAnsi="Times New Roman" w:cs="Times New Roman"/>
          <w:sz w:val="24"/>
          <w:szCs w:val="24"/>
        </w:rPr>
        <w:t>ll states which implemented reinsurance are present, as well as additional control states, to be explained more thoroughly</w:t>
      </w:r>
      <w:r w:rsidR="005906C3">
        <w:rPr>
          <w:rFonts w:ascii="Times New Roman" w:hAnsi="Times New Roman" w:cs="Times New Roman"/>
          <w:sz w:val="24"/>
          <w:szCs w:val="24"/>
        </w:rPr>
        <w:t xml:space="preserve"> and conceptually</w:t>
      </w:r>
      <w:r w:rsidR="0004426A">
        <w:rPr>
          <w:rFonts w:ascii="Times New Roman" w:hAnsi="Times New Roman" w:cs="Times New Roman"/>
          <w:sz w:val="24"/>
          <w:szCs w:val="24"/>
        </w:rPr>
        <w:t xml:space="preserve"> in section</w:t>
      </w:r>
      <w:r w:rsidR="00FE6D47">
        <w:rPr>
          <w:rFonts w:ascii="Times New Roman" w:hAnsi="Times New Roman" w:cs="Times New Roman"/>
          <w:sz w:val="24"/>
          <w:szCs w:val="24"/>
        </w:rPr>
        <w:t xml:space="preserve"> 4</w:t>
      </w:r>
      <w:r w:rsidR="0004426A">
        <w:rPr>
          <w:rFonts w:ascii="Times New Roman" w:hAnsi="Times New Roman" w:cs="Times New Roman"/>
          <w:sz w:val="24"/>
          <w:szCs w:val="24"/>
        </w:rPr>
        <w:t>:</w:t>
      </w:r>
    </w:p>
    <w:tbl>
      <w:tblPr>
        <w:tblStyle w:val="TableGridLight"/>
        <w:tblW w:w="9432" w:type="dxa"/>
        <w:tblLook w:val="04A0" w:firstRow="1" w:lastRow="0" w:firstColumn="1" w:lastColumn="0" w:noHBand="0" w:noVBand="1"/>
      </w:tblPr>
      <w:tblGrid>
        <w:gridCol w:w="1496"/>
        <w:gridCol w:w="876"/>
        <w:gridCol w:w="876"/>
        <w:gridCol w:w="876"/>
        <w:gridCol w:w="876"/>
        <w:gridCol w:w="876"/>
        <w:gridCol w:w="876"/>
        <w:gridCol w:w="876"/>
        <w:gridCol w:w="876"/>
        <w:gridCol w:w="996"/>
      </w:tblGrid>
      <w:tr w:rsidR="0044495E" w14:paraId="06231DF5" w14:textId="77777777" w:rsidTr="005C61CB">
        <w:trPr>
          <w:trHeight w:val="276"/>
          <w:tblHeader/>
        </w:trPr>
        <w:tc>
          <w:tcPr>
            <w:tcW w:w="1499" w:type="dxa"/>
          </w:tcPr>
          <w:p w14:paraId="691B26EB" w14:textId="1A9F4C2C" w:rsidR="00F06324" w:rsidRPr="005C61CB" w:rsidRDefault="005C61CB" w:rsidP="00363717">
            <w:pPr>
              <w:rPr>
                <w:rFonts w:ascii="Times New Roman" w:hAnsi="Times New Roman" w:cs="Times New Roman"/>
                <w:b/>
                <w:bCs/>
                <w:sz w:val="24"/>
                <w:szCs w:val="24"/>
              </w:rPr>
            </w:pPr>
            <w:r w:rsidRPr="005C61CB">
              <w:rPr>
                <w:rFonts w:ascii="Times New Roman" w:hAnsi="Times New Roman" w:cs="Times New Roman"/>
                <w:b/>
                <w:bCs/>
                <w:sz w:val="24"/>
                <w:szCs w:val="24"/>
              </w:rPr>
              <w:t>State</w:t>
            </w:r>
          </w:p>
        </w:tc>
        <w:tc>
          <w:tcPr>
            <w:tcW w:w="878" w:type="dxa"/>
          </w:tcPr>
          <w:p w14:paraId="51B0EEF2" w14:textId="4FEE331E" w:rsidR="00F06324" w:rsidRPr="005C61CB" w:rsidRDefault="007C443B" w:rsidP="00363717">
            <w:pPr>
              <w:rPr>
                <w:rFonts w:ascii="Times New Roman" w:hAnsi="Times New Roman" w:cs="Times New Roman"/>
                <w:b/>
                <w:bCs/>
                <w:sz w:val="24"/>
                <w:szCs w:val="24"/>
              </w:rPr>
            </w:pPr>
            <w:r w:rsidRPr="005C61CB">
              <w:rPr>
                <w:rFonts w:ascii="Times New Roman" w:hAnsi="Times New Roman" w:cs="Times New Roman"/>
                <w:b/>
                <w:bCs/>
                <w:sz w:val="24"/>
                <w:szCs w:val="24"/>
              </w:rPr>
              <w:t>2012</w:t>
            </w:r>
          </w:p>
        </w:tc>
        <w:tc>
          <w:tcPr>
            <w:tcW w:w="877" w:type="dxa"/>
          </w:tcPr>
          <w:p w14:paraId="0BCB9122" w14:textId="29DDA1EC" w:rsidR="00F06324" w:rsidRPr="005C61CB" w:rsidRDefault="007C443B" w:rsidP="00363717">
            <w:pPr>
              <w:rPr>
                <w:rFonts w:ascii="Times New Roman" w:hAnsi="Times New Roman" w:cs="Times New Roman"/>
                <w:b/>
                <w:bCs/>
                <w:sz w:val="24"/>
                <w:szCs w:val="24"/>
              </w:rPr>
            </w:pPr>
            <w:r w:rsidRPr="005C61CB">
              <w:rPr>
                <w:rFonts w:ascii="Times New Roman" w:hAnsi="Times New Roman" w:cs="Times New Roman"/>
                <w:b/>
                <w:bCs/>
                <w:sz w:val="24"/>
                <w:szCs w:val="24"/>
              </w:rPr>
              <w:t>201</w:t>
            </w:r>
            <w:r w:rsidR="0079553B" w:rsidRPr="005C61CB">
              <w:rPr>
                <w:rFonts w:ascii="Times New Roman" w:hAnsi="Times New Roman" w:cs="Times New Roman"/>
                <w:b/>
                <w:bCs/>
                <w:sz w:val="24"/>
                <w:szCs w:val="24"/>
              </w:rPr>
              <w:t>3</w:t>
            </w:r>
          </w:p>
        </w:tc>
        <w:tc>
          <w:tcPr>
            <w:tcW w:w="877" w:type="dxa"/>
          </w:tcPr>
          <w:p w14:paraId="1B8B8950" w14:textId="495EB45A" w:rsidR="00F06324" w:rsidRPr="005C61CB" w:rsidRDefault="0079553B" w:rsidP="00363717">
            <w:pPr>
              <w:rPr>
                <w:rFonts w:ascii="Times New Roman" w:hAnsi="Times New Roman" w:cs="Times New Roman"/>
                <w:b/>
                <w:bCs/>
                <w:sz w:val="24"/>
                <w:szCs w:val="24"/>
              </w:rPr>
            </w:pPr>
            <w:r w:rsidRPr="005C61CB">
              <w:rPr>
                <w:rFonts w:ascii="Times New Roman" w:hAnsi="Times New Roman" w:cs="Times New Roman"/>
                <w:b/>
                <w:bCs/>
                <w:sz w:val="24"/>
                <w:szCs w:val="24"/>
              </w:rPr>
              <w:t>2014</w:t>
            </w:r>
          </w:p>
        </w:tc>
        <w:tc>
          <w:tcPr>
            <w:tcW w:w="876" w:type="dxa"/>
          </w:tcPr>
          <w:p w14:paraId="531F923C" w14:textId="78425CEB" w:rsidR="00F06324" w:rsidRPr="005C61CB" w:rsidRDefault="0079553B" w:rsidP="00363717">
            <w:pPr>
              <w:rPr>
                <w:rFonts w:ascii="Times New Roman" w:hAnsi="Times New Roman" w:cs="Times New Roman"/>
                <w:b/>
                <w:bCs/>
                <w:sz w:val="24"/>
                <w:szCs w:val="24"/>
              </w:rPr>
            </w:pPr>
            <w:r w:rsidRPr="005C61CB">
              <w:rPr>
                <w:rFonts w:ascii="Times New Roman" w:hAnsi="Times New Roman" w:cs="Times New Roman"/>
                <w:b/>
                <w:bCs/>
                <w:sz w:val="24"/>
                <w:szCs w:val="24"/>
              </w:rPr>
              <w:t>2015</w:t>
            </w:r>
          </w:p>
        </w:tc>
        <w:tc>
          <w:tcPr>
            <w:tcW w:w="876" w:type="dxa"/>
          </w:tcPr>
          <w:p w14:paraId="7D39EF45" w14:textId="0C9557D8" w:rsidR="00F06324" w:rsidRPr="005C61CB" w:rsidRDefault="0079553B" w:rsidP="00363717">
            <w:pPr>
              <w:rPr>
                <w:rFonts w:ascii="Times New Roman" w:hAnsi="Times New Roman" w:cs="Times New Roman"/>
                <w:b/>
                <w:bCs/>
                <w:sz w:val="24"/>
                <w:szCs w:val="24"/>
              </w:rPr>
            </w:pPr>
            <w:r w:rsidRPr="005C61CB">
              <w:rPr>
                <w:rFonts w:ascii="Times New Roman" w:hAnsi="Times New Roman" w:cs="Times New Roman"/>
                <w:b/>
                <w:bCs/>
                <w:sz w:val="24"/>
                <w:szCs w:val="24"/>
              </w:rPr>
              <w:t>2016</w:t>
            </w:r>
          </w:p>
        </w:tc>
        <w:tc>
          <w:tcPr>
            <w:tcW w:w="876" w:type="dxa"/>
          </w:tcPr>
          <w:p w14:paraId="329D245A" w14:textId="447179AD" w:rsidR="00F06324" w:rsidRPr="005C61CB" w:rsidRDefault="0079553B" w:rsidP="00363717">
            <w:pPr>
              <w:rPr>
                <w:rFonts w:ascii="Times New Roman" w:hAnsi="Times New Roman" w:cs="Times New Roman"/>
                <w:b/>
                <w:bCs/>
                <w:sz w:val="24"/>
                <w:szCs w:val="24"/>
              </w:rPr>
            </w:pPr>
            <w:r w:rsidRPr="005C61CB">
              <w:rPr>
                <w:rFonts w:ascii="Times New Roman" w:hAnsi="Times New Roman" w:cs="Times New Roman"/>
                <w:b/>
                <w:bCs/>
                <w:sz w:val="24"/>
                <w:szCs w:val="24"/>
              </w:rPr>
              <w:t>2017</w:t>
            </w:r>
          </w:p>
        </w:tc>
        <w:tc>
          <w:tcPr>
            <w:tcW w:w="876" w:type="dxa"/>
          </w:tcPr>
          <w:p w14:paraId="518854F4" w14:textId="3AC91C53" w:rsidR="00F06324" w:rsidRPr="005C61CB" w:rsidRDefault="0079553B" w:rsidP="00363717">
            <w:pPr>
              <w:rPr>
                <w:rFonts w:ascii="Times New Roman" w:hAnsi="Times New Roman" w:cs="Times New Roman"/>
                <w:b/>
                <w:bCs/>
                <w:sz w:val="24"/>
                <w:szCs w:val="24"/>
              </w:rPr>
            </w:pPr>
            <w:r w:rsidRPr="005C61CB">
              <w:rPr>
                <w:rFonts w:ascii="Times New Roman" w:hAnsi="Times New Roman" w:cs="Times New Roman"/>
                <w:b/>
                <w:bCs/>
                <w:sz w:val="24"/>
                <w:szCs w:val="24"/>
              </w:rPr>
              <w:t>2018</w:t>
            </w:r>
          </w:p>
        </w:tc>
        <w:tc>
          <w:tcPr>
            <w:tcW w:w="876" w:type="dxa"/>
          </w:tcPr>
          <w:p w14:paraId="763000AF" w14:textId="04C9D377" w:rsidR="00F06324" w:rsidRPr="005C61CB" w:rsidRDefault="0079553B" w:rsidP="00363717">
            <w:pPr>
              <w:rPr>
                <w:rFonts w:ascii="Times New Roman" w:hAnsi="Times New Roman" w:cs="Times New Roman"/>
                <w:b/>
                <w:bCs/>
                <w:sz w:val="24"/>
                <w:szCs w:val="24"/>
              </w:rPr>
            </w:pPr>
            <w:r w:rsidRPr="005C61CB">
              <w:rPr>
                <w:rFonts w:ascii="Times New Roman" w:hAnsi="Times New Roman" w:cs="Times New Roman"/>
                <w:b/>
                <w:bCs/>
                <w:sz w:val="24"/>
                <w:szCs w:val="24"/>
              </w:rPr>
              <w:t>2019</w:t>
            </w:r>
          </w:p>
        </w:tc>
        <w:tc>
          <w:tcPr>
            <w:tcW w:w="921" w:type="dxa"/>
          </w:tcPr>
          <w:p w14:paraId="2A9736EE" w14:textId="3ED656E3" w:rsidR="00F06324" w:rsidRPr="005C61CB" w:rsidRDefault="0079553B" w:rsidP="00363717">
            <w:pPr>
              <w:rPr>
                <w:rFonts w:ascii="Times New Roman" w:hAnsi="Times New Roman" w:cs="Times New Roman"/>
                <w:b/>
                <w:bCs/>
                <w:sz w:val="24"/>
                <w:szCs w:val="24"/>
              </w:rPr>
            </w:pPr>
            <w:r w:rsidRPr="005C61CB">
              <w:rPr>
                <w:rFonts w:ascii="Times New Roman" w:hAnsi="Times New Roman" w:cs="Times New Roman"/>
                <w:b/>
                <w:bCs/>
                <w:sz w:val="24"/>
                <w:szCs w:val="24"/>
              </w:rPr>
              <w:t>Total</w:t>
            </w:r>
          </w:p>
        </w:tc>
      </w:tr>
      <w:tr w:rsidR="0044495E" w14:paraId="494CC314" w14:textId="77777777" w:rsidTr="0044495E">
        <w:trPr>
          <w:trHeight w:val="266"/>
        </w:trPr>
        <w:tc>
          <w:tcPr>
            <w:tcW w:w="1499" w:type="dxa"/>
          </w:tcPr>
          <w:p w14:paraId="0C40FD26" w14:textId="315A66C8" w:rsidR="007C443B" w:rsidRDefault="007C443B" w:rsidP="00363717">
            <w:pPr>
              <w:rPr>
                <w:rFonts w:ascii="Times New Roman" w:hAnsi="Times New Roman" w:cs="Times New Roman"/>
                <w:sz w:val="24"/>
                <w:szCs w:val="24"/>
              </w:rPr>
            </w:pPr>
            <w:r>
              <w:rPr>
                <w:rFonts w:ascii="Times New Roman" w:hAnsi="Times New Roman" w:cs="Times New Roman"/>
                <w:sz w:val="24"/>
                <w:szCs w:val="24"/>
              </w:rPr>
              <w:t>Alaska</w:t>
            </w:r>
          </w:p>
        </w:tc>
        <w:tc>
          <w:tcPr>
            <w:tcW w:w="878" w:type="dxa"/>
          </w:tcPr>
          <w:p w14:paraId="343C56AC" w14:textId="0A3E9448" w:rsidR="00F06324" w:rsidRDefault="007C0490" w:rsidP="00363717">
            <w:pPr>
              <w:rPr>
                <w:rFonts w:ascii="Times New Roman" w:hAnsi="Times New Roman" w:cs="Times New Roman"/>
                <w:sz w:val="24"/>
                <w:szCs w:val="24"/>
              </w:rPr>
            </w:pPr>
            <w:r>
              <w:rPr>
                <w:rFonts w:ascii="Times New Roman" w:hAnsi="Times New Roman" w:cs="Times New Roman"/>
                <w:sz w:val="24"/>
                <w:szCs w:val="24"/>
              </w:rPr>
              <w:t>1,185</w:t>
            </w:r>
          </w:p>
        </w:tc>
        <w:tc>
          <w:tcPr>
            <w:tcW w:w="877" w:type="dxa"/>
          </w:tcPr>
          <w:p w14:paraId="09D5E359" w14:textId="61F96967" w:rsidR="00F06324" w:rsidRDefault="006B442D" w:rsidP="00363717">
            <w:pPr>
              <w:rPr>
                <w:rFonts w:ascii="Times New Roman" w:hAnsi="Times New Roman" w:cs="Times New Roman"/>
                <w:sz w:val="24"/>
                <w:szCs w:val="24"/>
              </w:rPr>
            </w:pPr>
            <w:r>
              <w:rPr>
                <w:rFonts w:ascii="Times New Roman" w:hAnsi="Times New Roman" w:cs="Times New Roman"/>
                <w:sz w:val="24"/>
                <w:szCs w:val="24"/>
              </w:rPr>
              <w:t>1,345</w:t>
            </w:r>
          </w:p>
        </w:tc>
        <w:tc>
          <w:tcPr>
            <w:tcW w:w="877" w:type="dxa"/>
          </w:tcPr>
          <w:p w14:paraId="6D7F7F28" w14:textId="25551EA4" w:rsidR="00F06324" w:rsidRDefault="006B442D" w:rsidP="00363717">
            <w:pPr>
              <w:rPr>
                <w:rFonts w:ascii="Times New Roman" w:hAnsi="Times New Roman" w:cs="Times New Roman"/>
                <w:sz w:val="24"/>
                <w:szCs w:val="24"/>
              </w:rPr>
            </w:pPr>
            <w:r>
              <w:rPr>
                <w:rFonts w:ascii="Times New Roman" w:hAnsi="Times New Roman" w:cs="Times New Roman"/>
                <w:sz w:val="24"/>
                <w:szCs w:val="24"/>
              </w:rPr>
              <w:t>1,154</w:t>
            </w:r>
          </w:p>
        </w:tc>
        <w:tc>
          <w:tcPr>
            <w:tcW w:w="876" w:type="dxa"/>
          </w:tcPr>
          <w:p w14:paraId="4F3E19B7" w14:textId="3F951323" w:rsidR="00F06324" w:rsidRDefault="006B442D" w:rsidP="00363717">
            <w:pPr>
              <w:rPr>
                <w:rFonts w:ascii="Times New Roman" w:hAnsi="Times New Roman" w:cs="Times New Roman"/>
                <w:sz w:val="24"/>
                <w:szCs w:val="24"/>
              </w:rPr>
            </w:pPr>
            <w:r>
              <w:rPr>
                <w:rFonts w:ascii="Times New Roman" w:hAnsi="Times New Roman" w:cs="Times New Roman"/>
                <w:sz w:val="24"/>
                <w:szCs w:val="24"/>
              </w:rPr>
              <w:t>946</w:t>
            </w:r>
          </w:p>
        </w:tc>
        <w:tc>
          <w:tcPr>
            <w:tcW w:w="876" w:type="dxa"/>
          </w:tcPr>
          <w:p w14:paraId="1C6D68CF" w14:textId="47CE35A3" w:rsidR="00F06324" w:rsidRDefault="006B442D" w:rsidP="00363717">
            <w:pPr>
              <w:rPr>
                <w:rFonts w:ascii="Times New Roman" w:hAnsi="Times New Roman" w:cs="Times New Roman"/>
                <w:sz w:val="24"/>
                <w:szCs w:val="24"/>
              </w:rPr>
            </w:pPr>
            <w:r>
              <w:rPr>
                <w:rFonts w:ascii="Times New Roman" w:hAnsi="Times New Roman" w:cs="Times New Roman"/>
                <w:sz w:val="24"/>
                <w:szCs w:val="24"/>
              </w:rPr>
              <w:t>756</w:t>
            </w:r>
          </w:p>
        </w:tc>
        <w:tc>
          <w:tcPr>
            <w:tcW w:w="876" w:type="dxa"/>
          </w:tcPr>
          <w:p w14:paraId="2C5A932F" w14:textId="60F9CE3C" w:rsidR="00F06324" w:rsidRDefault="006B442D" w:rsidP="00363717">
            <w:pPr>
              <w:rPr>
                <w:rFonts w:ascii="Times New Roman" w:hAnsi="Times New Roman" w:cs="Times New Roman"/>
                <w:sz w:val="24"/>
                <w:szCs w:val="24"/>
              </w:rPr>
            </w:pPr>
            <w:r>
              <w:rPr>
                <w:rFonts w:ascii="Times New Roman" w:hAnsi="Times New Roman" w:cs="Times New Roman"/>
                <w:sz w:val="24"/>
                <w:szCs w:val="24"/>
              </w:rPr>
              <w:t>787</w:t>
            </w:r>
          </w:p>
        </w:tc>
        <w:tc>
          <w:tcPr>
            <w:tcW w:w="876" w:type="dxa"/>
          </w:tcPr>
          <w:p w14:paraId="29CD3E94" w14:textId="7405059C" w:rsidR="00F06324" w:rsidRDefault="006B442D" w:rsidP="00363717">
            <w:pPr>
              <w:rPr>
                <w:rFonts w:ascii="Times New Roman" w:hAnsi="Times New Roman" w:cs="Times New Roman"/>
                <w:sz w:val="24"/>
                <w:szCs w:val="24"/>
              </w:rPr>
            </w:pPr>
            <w:r>
              <w:rPr>
                <w:rFonts w:ascii="Times New Roman" w:hAnsi="Times New Roman" w:cs="Times New Roman"/>
                <w:sz w:val="24"/>
                <w:szCs w:val="24"/>
              </w:rPr>
              <w:t>471</w:t>
            </w:r>
          </w:p>
        </w:tc>
        <w:tc>
          <w:tcPr>
            <w:tcW w:w="876" w:type="dxa"/>
          </w:tcPr>
          <w:p w14:paraId="41E678B3" w14:textId="1916B248" w:rsidR="00F06324" w:rsidRDefault="006B442D" w:rsidP="00363717">
            <w:pPr>
              <w:rPr>
                <w:rFonts w:ascii="Times New Roman" w:hAnsi="Times New Roman" w:cs="Times New Roman"/>
                <w:sz w:val="24"/>
                <w:szCs w:val="24"/>
              </w:rPr>
            </w:pPr>
            <w:r>
              <w:rPr>
                <w:rFonts w:ascii="Times New Roman" w:hAnsi="Times New Roman" w:cs="Times New Roman"/>
                <w:sz w:val="24"/>
                <w:szCs w:val="24"/>
              </w:rPr>
              <w:t>505</w:t>
            </w:r>
          </w:p>
        </w:tc>
        <w:tc>
          <w:tcPr>
            <w:tcW w:w="921" w:type="dxa"/>
          </w:tcPr>
          <w:p w14:paraId="41B14910" w14:textId="1DCB4EBF" w:rsidR="00F06324" w:rsidRDefault="00E51CC3" w:rsidP="00363717">
            <w:pPr>
              <w:rPr>
                <w:rFonts w:ascii="Times New Roman" w:hAnsi="Times New Roman" w:cs="Times New Roman"/>
                <w:sz w:val="24"/>
                <w:szCs w:val="24"/>
              </w:rPr>
            </w:pPr>
            <w:r>
              <w:rPr>
                <w:rFonts w:ascii="Times New Roman" w:hAnsi="Times New Roman" w:cs="Times New Roman"/>
                <w:sz w:val="24"/>
                <w:szCs w:val="24"/>
              </w:rPr>
              <w:t>7</w:t>
            </w:r>
            <w:r w:rsidR="007C0490">
              <w:rPr>
                <w:rFonts w:ascii="Times New Roman" w:hAnsi="Times New Roman" w:cs="Times New Roman"/>
                <w:sz w:val="24"/>
                <w:szCs w:val="24"/>
              </w:rPr>
              <w:t>,</w:t>
            </w:r>
            <w:r>
              <w:rPr>
                <w:rFonts w:ascii="Times New Roman" w:hAnsi="Times New Roman" w:cs="Times New Roman"/>
                <w:sz w:val="24"/>
                <w:szCs w:val="24"/>
              </w:rPr>
              <w:t>149</w:t>
            </w:r>
          </w:p>
        </w:tc>
      </w:tr>
      <w:tr w:rsidR="0044495E" w14:paraId="7562667A" w14:textId="77777777" w:rsidTr="0044495E">
        <w:trPr>
          <w:trHeight w:val="544"/>
        </w:trPr>
        <w:tc>
          <w:tcPr>
            <w:tcW w:w="1499" w:type="dxa"/>
          </w:tcPr>
          <w:p w14:paraId="20E4AF0F" w14:textId="306377E0" w:rsidR="00F06324" w:rsidRDefault="007C443B" w:rsidP="00363717">
            <w:pPr>
              <w:rPr>
                <w:rFonts w:ascii="Times New Roman" w:hAnsi="Times New Roman" w:cs="Times New Roman"/>
                <w:sz w:val="24"/>
                <w:szCs w:val="24"/>
              </w:rPr>
            </w:pPr>
            <w:r>
              <w:rPr>
                <w:rFonts w:ascii="Times New Roman" w:hAnsi="Times New Roman" w:cs="Times New Roman"/>
                <w:sz w:val="24"/>
                <w:szCs w:val="24"/>
              </w:rPr>
              <w:t>Minnesota</w:t>
            </w:r>
          </w:p>
        </w:tc>
        <w:tc>
          <w:tcPr>
            <w:tcW w:w="878" w:type="dxa"/>
          </w:tcPr>
          <w:p w14:paraId="001C8F4C" w14:textId="61E37D87" w:rsidR="00F06324" w:rsidRDefault="001B2394" w:rsidP="00363717">
            <w:pPr>
              <w:rPr>
                <w:rFonts w:ascii="Times New Roman" w:hAnsi="Times New Roman" w:cs="Times New Roman"/>
                <w:sz w:val="24"/>
                <w:szCs w:val="24"/>
              </w:rPr>
            </w:pPr>
            <w:r>
              <w:rPr>
                <w:rFonts w:ascii="Times New Roman" w:hAnsi="Times New Roman" w:cs="Times New Roman"/>
                <w:sz w:val="24"/>
                <w:szCs w:val="24"/>
              </w:rPr>
              <w:t>3,317</w:t>
            </w:r>
          </w:p>
        </w:tc>
        <w:tc>
          <w:tcPr>
            <w:tcW w:w="877" w:type="dxa"/>
          </w:tcPr>
          <w:p w14:paraId="62B1F69A" w14:textId="0F77E402" w:rsidR="00F06324" w:rsidRDefault="001B2394" w:rsidP="00363717">
            <w:pPr>
              <w:rPr>
                <w:rFonts w:ascii="Times New Roman" w:hAnsi="Times New Roman" w:cs="Times New Roman"/>
                <w:sz w:val="24"/>
                <w:szCs w:val="24"/>
              </w:rPr>
            </w:pPr>
            <w:r>
              <w:rPr>
                <w:rFonts w:ascii="Times New Roman" w:hAnsi="Times New Roman" w:cs="Times New Roman"/>
                <w:sz w:val="24"/>
                <w:szCs w:val="24"/>
              </w:rPr>
              <w:t>3,677</w:t>
            </w:r>
          </w:p>
        </w:tc>
        <w:tc>
          <w:tcPr>
            <w:tcW w:w="877" w:type="dxa"/>
          </w:tcPr>
          <w:p w14:paraId="604E614A" w14:textId="6608AA01" w:rsidR="00F06324" w:rsidRDefault="001B2394" w:rsidP="00363717">
            <w:pPr>
              <w:rPr>
                <w:rFonts w:ascii="Times New Roman" w:hAnsi="Times New Roman" w:cs="Times New Roman"/>
                <w:sz w:val="24"/>
                <w:szCs w:val="24"/>
              </w:rPr>
            </w:pPr>
            <w:r>
              <w:rPr>
                <w:rFonts w:ascii="Times New Roman" w:hAnsi="Times New Roman" w:cs="Times New Roman"/>
                <w:sz w:val="24"/>
                <w:szCs w:val="24"/>
              </w:rPr>
              <w:t>2,632</w:t>
            </w:r>
          </w:p>
        </w:tc>
        <w:tc>
          <w:tcPr>
            <w:tcW w:w="876" w:type="dxa"/>
          </w:tcPr>
          <w:p w14:paraId="39F738F6" w14:textId="294C675E" w:rsidR="00F06324" w:rsidRDefault="001B2394" w:rsidP="00363717">
            <w:pPr>
              <w:rPr>
                <w:rFonts w:ascii="Times New Roman" w:hAnsi="Times New Roman" w:cs="Times New Roman"/>
                <w:sz w:val="24"/>
                <w:szCs w:val="24"/>
              </w:rPr>
            </w:pPr>
            <w:r>
              <w:rPr>
                <w:rFonts w:ascii="Times New Roman" w:hAnsi="Times New Roman" w:cs="Times New Roman"/>
                <w:sz w:val="24"/>
                <w:szCs w:val="24"/>
              </w:rPr>
              <w:t>2,541</w:t>
            </w:r>
          </w:p>
        </w:tc>
        <w:tc>
          <w:tcPr>
            <w:tcW w:w="876" w:type="dxa"/>
          </w:tcPr>
          <w:p w14:paraId="5C51107B" w14:textId="3AEB08F7" w:rsidR="00F06324" w:rsidRDefault="001B2394" w:rsidP="00363717">
            <w:pPr>
              <w:rPr>
                <w:rFonts w:ascii="Times New Roman" w:hAnsi="Times New Roman" w:cs="Times New Roman"/>
                <w:sz w:val="24"/>
                <w:szCs w:val="24"/>
              </w:rPr>
            </w:pPr>
            <w:r>
              <w:rPr>
                <w:rFonts w:ascii="Times New Roman" w:hAnsi="Times New Roman" w:cs="Times New Roman"/>
                <w:sz w:val="24"/>
                <w:szCs w:val="24"/>
              </w:rPr>
              <w:t>2,062</w:t>
            </w:r>
          </w:p>
        </w:tc>
        <w:tc>
          <w:tcPr>
            <w:tcW w:w="876" w:type="dxa"/>
          </w:tcPr>
          <w:p w14:paraId="2CF213BB" w14:textId="7CF49B19" w:rsidR="00F06324" w:rsidRDefault="00EB6AA1" w:rsidP="00363717">
            <w:pPr>
              <w:rPr>
                <w:rFonts w:ascii="Times New Roman" w:hAnsi="Times New Roman" w:cs="Times New Roman"/>
                <w:sz w:val="24"/>
                <w:szCs w:val="24"/>
              </w:rPr>
            </w:pPr>
            <w:r>
              <w:rPr>
                <w:rFonts w:ascii="Times New Roman" w:hAnsi="Times New Roman" w:cs="Times New Roman"/>
                <w:sz w:val="24"/>
                <w:szCs w:val="24"/>
              </w:rPr>
              <w:t>1,847</w:t>
            </w:r>
          </w:p>
        </w:tc>
        <w:tc>
          <w:tcPr>
            <w:tcW w:w="876" w:type="dxa"/>
          </w:tcPr>
          <w:p w14:paraId="5DEBA6A0" w14:textId="4458F774" w:rsidR="00F06324" w:rsidRDefault="00EB6AA1" w:rsidP="00363717">
            <w:pPr>
              <w:rPr>
                <w:rFonts w:ascii="Times New Roman" w:hAnsi="Times New Roman" w:cs="Times New Roman"/>
                <w:sz w:val="24"/>
                <w:szCs w:val="24"/>
              </w:rPr>
            </w:pPr>
            <w:r>
              <w:rPr>
                <w:rFonts w:ascii="Times New Roman" w:hAnsi="Times New Roman" w:cs="Times New Roman"/>
                <w:sz w:val="24"/>
                <w:szCs w:val="24"/>
              </w:rPr>
              <w:t>1,550</w:t>
            </w:r>
          </w:p>
        </w:tc>
        <w:tc>
          <w:tcPr>
            <w:tcW w:w="876" w:type="dxa"/>
          </w:tcPr>
          <w:p w14:paraId="34644315" w14:textId="5EA6961D" w:rsidR="00F06324" w:rsidRDefault="00EB6AA1" w:rsidP="00363717">
            <w:pPr>
              <w:rPr>
                <w:rFonts w:ascii="Times New Roman" w:hAnsi="Times New Roman" w:cs="Times New Roman"/>
                <w:sz w:val="24"/>
                <w:szCs w:val="24"/>
              </w:rPr>
            </w:pPr>
            <w:r>
              <w:rPr>
                <w:rFonts w:ascii="Times New Roman" w:hAnsi="Times New Roman" w:cs="Times New Roman"/>
                <w:sz w:val="24"/>
                <w:szCs w:val="24"/>
              </w:rPr>
              <w:t>910</w:t>
            </w:r>
          </w:p>
        </w:tc>
        <w:tc>
          <w:tcPr>
            <w:tcW w:w="921" w:type="dxa"/>
          </w:tcPr>
          <w:p w14:paraId="056E593F" w14:textId="396AA71F" w:rsidR="00F06324" w:rsidRDefault="00A74054" w:rsidP="00363717">
            <w:pPr>
              <w:rPr>
                <w:rFonts w:ascii="Times New Roman" w:hAnsi="Times New Roman" w:cs="Times New Roman"/>
                <w:sz w:val="24"/>
                <w:szCs w:val="24"/>
              </w:rPr>
            </w:pPr>
            <w:r>
              <w:rPr>
                <w:rFonts w:ascii="Times New Roman" w:hAnsi="Times New Roman" w:cs="Times New Roman"/>
                <w:sz w:val="24"/>
                <w:szCs w:val="24"/>
              </w:rPr>
              <w:t>18,536</w:t>
            </w:r>
          </w:p>
        </w:tc>
      </w:tr>
      <w:tr w:rsidR="0044495E" w14:paraId="6C6901CA" w14:textId="77777777" w:rsidTr="0044495E">
        <w:trPr>
          <w:trHeight w:val="276"/>
        </w:trPr>
        <w:tc>
          <w:tcPr>
            <w:tcW w:w="1499" w:type="dxa"/>
          </w:tcPr>
          <w:p w14:paraId="5B02570C" w14:textId="714D0407" w:rsidR="00F06324" w:rsidRDefault="00E42652" w:rsidP="00363717">
            <w:pPr>
              <w:rPr>
                <w:rFonts w:ascii="Times New Roman" w:hAnsi="Times New Roman" w:cs="Times New Roman"/>
                <w:sz w:val="24"/>
                <w:szCs w:val="24"/>
              </w:rPr>
            </w:pPr>
            <w:r>
              <w:rPr>
                <w:rFonts w:ascii="Times New Roman" w:hAnsi="Times New Roman" w:cs="Times New Roman"/>
                <w:sz w:val="24"/>
                <w:szCs w:val="24"/>
              </w:rPr>
              <w:t>Oregon</w:t>
            </w:r>
          </w:p>
        </w:tc>
        <w:tc>
          <w:tcPr>
            <w:tcW w:w="878" w:type="dxa"/>
          </w:tcPr>
          <w:p w14:paraId="03D2439A" w14:textId="6F373355" w:rsidR="00F06324" w:rsidRDefault="004956E1" w:rsidP="00363717">
            <w:pPr>
              <w:rPr>
                <w:rFonts w:ascii="Times New Roman" w:hAnsi="Times New Roman" w:cs="Times New Roman"/>
                <w:sz w:val="24"/>
                <w:szCs w:val="24"/>
              </w:rPr>
            </w:pPr>
            <w:r>
              <w:rPr>
                <w:rFonts w:ascii="Times New Roman" w:hAnsi="Times New Roman" w:cs="Times New Roman"/>
                <w:sz w:val="24"/>
                <w:szCs w:val="24"/>
              </w:rPr>
              <w:t>1,564</w:t>
            </w:r>
          </w:p>
        </w:tc>
        <w:tc>
          <w:tcPr>
            <w:tcW w:w="877" w:type="dxa"/>
          </w:tcPr>
          <w:p w14:paraId="34780F10" w14:textId="2C9880ED" w:rsidR="00F06324" w:rsidRDefault="004956E1" w:rsidP="00363717">
            <w:pPr>
              <w:rPr>
                <w:rFonts w:ascii="Times New Roman" w:hAnsi="Times New Roman" w:cs="Times New Roman"/>
                <w:sz w:val="24"/>
                <w:szCs w:val="24"/>
              </w:rPr>
            </w:pPr>
            <w:r>
              <w:rPr>
                <w:rFonts w:ascii="Times New Roman" w:hAnsi="Times New Roman" w:cs="Times New Roman"/>
                <w:sz w:val="24"/>
                <w:szCs w:val="24"/>
              </w:rPr>
              <w:t>1,572</w:t>
            </w:r>
          </w:p>
        </w:tc>
        <w:tc>
          <w:tcPr>
            <w:tcW w:w="877" w:type="dxa"/>
          </w:tcPr>
          <w:p w14:paraId="7CE6A16A" w14:textId="16917840" w:rsidR="00F06324" w:rsidRDefault="004956E1" w:rsidP="00363717">
            <w:pPr>
              <w:rPr>
                <w:rFonts w:ascii="Times New Roman" w:hAnsi="Times New Roman" w:cs="Times New Roman"/>
                <w:sz w:val="24"/>
                <w:szCs w:val="24"/>
              </w:rPr>
            </w:pPr>
            <w:r>
              <w:rPr>
                <w:rFonts w:ascii="Times New Roman" w:hAnsi="Times New Roman" w:cs="Times New Roman"/>
                <w:sz w:val="24"/>
                <w:szCs w:val="24"/>
              </w:rPr>
              <w:t>1,108</w:t>
            </w:r>
          </w:p>
        </w:tc>
        <w:tc>
          <w:tcPr>
            <w:tcW w:w="876" w:type="dxa"/>
          </w:tcPr>
          <w:p w14:paraId="36CB6016" w14:textId="6ED7E1BD" w:rsidR="00F06324" w:rsidRDefault="004956E1" w:rsidP="00363717">
            <w:pPr>
              <w:rPr>
                <w:rFonts w:ascii="Times New Roman" w:hAnsi="Times New Roman" w:cs="Times New Roman"/>
                <w:sz w:val="24"/>
                <w:szCs w:val="24"/>
              </w:rPr>
            </w:pPr>
            <w:r>
              <w:rPr>
                <w:rFonts w:ascii="Times New Roman" w:hAnsi="Times New Roman" w:cs="Times New Roman"/>
                <w:sz w:val="24"/>
                <w:szCs w:val="24"/>
              </w:rPr>
              <w:t>902</w:t>
            </w:r>
          </w:p>
        </w:tc>
        <w:tc>
          <w:tcPr>
            <w:tcW w:w="876" w:type="dxa"/>
          </w:tcPr>
          <w:p w14:paraId="3331FA25" w14:textId="4598E76F" w:rsidR="00F06324" w:rsidRDefault="004956E1" w:rsidP="00363717">
            <w:pPr>
              <w:rPr>
                <w:rFonts w:ascii="Times New Roman" w:hAnsi="Times New Roman" w:cs="Times New Roman"/>
                <w:sz w:val="24"/>
                <w:szCs w:val="24"/>
              </w:rPr>
            </w:pPr>
            <w:r>
              <w:rPr>
                <w:rFonts w:ascii="Times New Roman" w:hAnsi="Times New Roman" w:cs="Times New Roman"/>
                <w:sz w:val="24"/>
                <w:szCs w:val="24"/>
              </w:rPr>
              <w:t>625</w:t>
            </w:r>
          </w:p>
        </w:tc>
        <w:tc>
          <w:tcPr>
            <w:tcW w:w="876" w:type="dxa"/>
          </w:tcPr>
          <w:p w14:paraId="1F56223A" w14:textId="1F817B1D" w:rsidR="00F06324" w:rsidRDefault="004956E1" w:rsidP="00363717">
            <w:pPr>
              <w:rPr>
                <w:rFonts w:ascii="Times New Roman" w:hAnsi="Times New Roman" w:cs="Times New Roman"/>
                <w:sz w:val="24"/>
                <w:szCs w:val="24"/>
              </w:rPr>
            </w:pPr>
            <w:r>
              <w:rPr>
                <w:rFonts w:ascii="Times New Roman" w:hAnsi="Times New Roman" w:cs="Times New Roman"/>
                <w:sz w:val="24"/>
                <w:szCs w:val="24"/>
              </w:rPr>
              <w:t>529</w:t>
            </w:r>
          </w:p>
        </w:tc>
        <w:tc>
          <w:tcPr>
            <w:tcW w:w="876" w:type="dxa"/>
          </w:tcPr>
          <w:p w14:paraId="466BDB2B" w14:textId="7D4BA982" w:rsidR="00F06324" w:rsidRDefault="004956E1" w:rsidP="00363717">
            <w:pPr>
              <w:rPr>
                <w:rFonts w:ascii="Times New Roman" w:hAnsi="Times New Roman" w:cs="Times New Roman"/>
                <w:sz w:val="24"/>
                <w:szCs w:val="24"/>
              </w:rPr>
            </w:pPr>
            <w:r>
              <w:rPr>
                <w:rFonts w:ascii="Times New Roman" w:hAnsi="Times New Roman" w:cs="Times New Roman"/>
                <w:sz w:val="24"/>
                <w:szCs w:val="24"/>
              </w:rPr>
              <w:t>346</w:t>
            </w:r>
          </w:p>
        </w:tc>
        <w:tc>
          <w:tcPr>
            <w:tcW w:w="876" w:type="dxa"/>
          </w:tcPr>
          <w:p w14:paraId="32C3E121" w14:textId="2A2FED58" w:rsidR="00F06324" w:rsidRDefault="004956E1" w:rsidP="00363717">
            <w:pPr>
              <w:rPr>
                <w:rFonts w:ascii="Times New Roman" w:hAnsi="Times New Roman" w:cs="Times New Roman"/>
                <w:sz w:val="24"/>
                <w:szCs w:val="24"/>
              </w:rPr>
            </w:pPr>
            <w:r>
              <w:rPr>
                <w:rFonts w:ascii="Times New Roman" w:hAnsi="Times New Roman" w:cs="Times New Roman"/>
                <w:sz w:val="24"/>
                <w:szCs w:val="24"/>
              </w:rPr>
              <w:t>333</w:t>
            </w:r>
          </w:p>
        </w:tc>
        <w:tc>
          <w:tcPr>
            <w:tcW w:w="921" w:type="dxa"/>
          </w:tcPr>
          <w:p w14:paraId="1FA08708" w14:textId="775AC806" w:rsidR="00F06324" w:rsidRDefault="009C2899" w:rsidP="00363717">
            <w:pPr>
              <w:rPr>
                <w:rFonts w:ascii="Times New Roman" w:hAnsi="Times New Roman" w:cs="Times New Roman"/>
                <w:sz w:val="24"/>
                <w:szCs w:val="24"/>
              </w:rPr>
            </w:pPr>
            <w:r>
              <w:rPr>
                <w:rFonts w:ascii="Times New Roman" w:hAnsi="Times New Roman" w:cs="Times New Roman"/>
                <w:sz w:val="24"/>
                <w:szCs w:val="24"/>
              </w:rPr>
              <w:t>6,979</w:t>
            </w:r>
          </w:p>
        </w:tc>
      </w:tr>
      <w:tr w:rsidR="0044495E" w14:paraId="5359B80D" w14:textId="77777777" w:rsidTr="0044495E">
        <w:trPr>
          <w:trHeight w:val="544"/>
        </w:trPr>
        <w:tc>
          <w:tcPr>
            <w:tcW w:w="1499" w:type="dxa"/>
          </w:tcPr>
          <w:p w14:paraId="137691F4" w14:textId="70D832B0" w:rsidR="00F06324" w:rsidRDefault="00E42652" w:rsidP="00363717">
            <w:pPr>
              <w:rPr>
                <w:rFonts w:ascii="Times New Roman" w:hAnsi="Times New Roman" w:cs="Times New Roman"/>
                <w:sz w:val="24"/>
                <w:szCs w:val="24"/>
              </w:rPr>
            </w:pPr>
            <w:r>
              <w:rPr>
                <w:rFonts w:ascii="Times New Roman" w:hAnsi="Times New Roman" w:cs="Times New Roman"/>
                <w:sz w:val="24"/>
                <w:szCs w:val="24"/>
              </w:rPr>
              <w:t>Maine</w:t>
            </w:r>
          </w:p>
        </w:tc>
        <w:tc>
          <w:tcPr>
            <w:tcW w:w="878" w:type="dxa"/>
          </w:tcPr>
          <w:p w14:paraId="46CA02F3" w14:textId="3C2091F1" w:rsidR="00F06324" w:rsidRDefault="00F841F8" w:rsidP="00363717">
            <w:pPr>
              <w:rPr>
                <w:rFonts w:ascii="Times New Roman" w:hAnsi="Times New Roman" w:cs="Times New Roman"/>
                <w:sz w:val="24"/>
                <w:szCs w:val="24"/>
              </w:rPr>
            </w:pPr>
            <w:r>
              <w:rPr>
                <w:rFonts w:ascii="Times New Roman" w:hAnsi="Times New Roman" w:cs="Times New Roman"/>
                <w:sz w:val="24"/>
                <w:szCs w:val="24"/>
              </w:rPr>
              <w:t>3,259</w:t>
            </w:r>
          </w:p>
        </w:tc>
        <w:tc>
          <w:tcPr>
            <w:tcW w:w="877" w:type="dxa"/>
          </w:tcPr>
          <w:p w14:paraId="4EDFFECA" w14:textId="622FE8FA" w:rsidR="00F06324" w:rsidRDefault="00CB0586" w:rsidP="00363717">
            <w:pPr>
              <w:rPr>
                <w:rFonts w:ascii="Times New Roman" w:hAnsi="Times New Roman" w:cs="Times New Roman"/>
                <w:sz w:val="24"/>
                <w:szCs w:val="24"/>
              </w:rPr>
            </w:pPr>
            <w:r>
              <w:rPr>
                <w:rFonts w:ascii="Times New Roman" w:hAnsi="Times New Roman" w:cs="Times New Roman"/>
                <w:sz w:val="24"/>
                <w:szCs w:val="24"/>
              </w:rPr>
              <w:t>2,504</w:t>
            </w:r>
          </w:p>
        </w:tc>
        <w:tc>
          <w:tcPr>
            <w:tcW w:w="877" w:type="dxa"/>
          </w:tcPr>
          <w:p w14:paraId="023E7569" w14:textId="430B16E0" w:rsidR="00F06324" w:rsidRDefault="00CB0586" w:rsidP="00363717">
            <w:pPr>
              <w:rPr>
                <w:rFonts w:ascii="Times New Roman" w:hAnsi="Times New Roman" w:cs="Times New Roman"/>
                <w:sz w:val="24"/>
                <w:szCs w:val="24"/>
              </w:rPr>
            </w:pPr>
            <w:r>
              <w:rPr>
                <w:rFonts w:ascii="Times New Roman" w:hAnsi="Times New Roman" w:cs="Times New Roman"/>
                <w:sz w:val="24"/>
                <w:szCs w:val="24"/>
              </w:rPr>
              <w:t>2,518</w:t>
            </w:r>
          </w:p>
        </w:tc>
        <w:tc>
          <w:tcPr>
            <w:tcW w:w="876" w:type="dxa"/>
          </w:tcPr>
          <w:p w14:paraId="312AF172" w14:textId="6BEE115D" w:rsidR="00F06324" w:rsidRDefault="00CB0586" w:rsidP="00363717">
            <w:pPr>
              <w:rPr>
                <w:rFonts w:ascii="Times New Roman" w:hAnsi="Times New Roman" w:cs="Times New Roman"/>
                <w:sz w:val="24"/>
                <w:szCs w:val="24"/>
              </w:rPr>
            </w:pPr>
            <w:r>
              <w:rPr>
                <w:rFonts w:ascii="Times New Roman" w:hAnsi="Times New Roman" w:cs="Times New Roman"/>
                <w:sz w:val="24"/>
                <w:szCs w:val="24"/>
              </w:rPr>
              <w:t>2,557</w:t>
            </w:r>
          </w:p>
        </w:tc>
        <w:tc>
          <w:tcPr>
            <w:tcW w:w="876" w:type="dxa"/>
          </w:tcPr>
          <w:p w14:paraId="577D7403" w14:textId="630DC138" w:rsidR="00F06324" w:rsidRDefault="004C792B" w:rsidP="00363717">
            <w:pPr>
              <w:rPr>
                <w:rFonts w:ascii="Times New Roman" w:hAnsi="Times New Roman" w:cs="Times New Roman"/>
                <w:sz w:val="24"/>
                <w:szCs w:val="24"/>
              </w:rPr>
            </w:pPr>
            <w:r>
              <w:rPr>
                <w:rFonts w:ascii="Times New Roman" w:hAnsi="Times New Roman" w:cs="Times New Roman"/>
                <w:sz w:val="24"/>
                <w:szCs w:val="24"/>
              </w:rPr>
              <w:t>2,430</w:t>
            </w:r>
          </w:p>
        </w:tc>
        <w:tc>
          <w:tcPr>
            <w:tcW w:w="876" w:type="dxa"/>
          </w:tcPr>
          <w:p w14:paraId="02D88085" w14:textId="61C39CDA" w:rsidR="00F06324" w:rsidRDefault="004C792B" w:rsidP="00363717">
            <w:pPr>
              <w:rPr>
                <w:rFonts w:ascii="Times New Roman" w:hAnsi="Times New Roman" w:cs="Times New Roman"/>
                <w:sz w:val="24"/>
                <w:szCs w:val="24"/>
              </w:rPr>
            </w:pPr>
            <w:r>
              <w:rPr>
                <w:rFonts w:ascii="Times New Roman" w:hAnsi="Times New Roman" w:cs="Times New Roman"/>
                <w:sz w:val="24"/>
                <w:szCs w:val="24"/>
              </w:rPr>
              <w:t>2,507</w:t>
            </w:r>
          </w:p>
        </w:tc>
        <w:tc>
          <w:tcPr>
            <w:tcW w:w="876" w:type="dxa"/>
          </w:tcPr>
          <w:p w14:paraId="46C7113C" w14:textId="3A5EF7D9" w:rsidR="00F06324" w:rsidRDefault="004C792B" w:rsidP="00363717">
            <w:pPr>
              <w:rPr>
                <w:rFonts w:ascii="Times New Roman" w:hAnsi="Times New Roman" w:cs="Times New Roman"/>
                <w:sz w:val="24"/>
                <w:szCs w:val="24"/>
              </w:rPr>
            </w:pPr>
            <w:r>
              <w:rPr>
                <w:rFonts w:ascii="Times New Roman" w:hAnsi="Times New Roman" w:cs="Times New Roman"/>
                <w:sz w:val="24"/>
                <w:szCs w:val="24"/>
              </w:rPr>
              <w:t>2,085</w:t>
            </w:r>
          </w:p>
        </w:tc>
        <w:tc>
          <w:tcPr>
            <w:tcW w:w="876" w:type="dxa"/>
          </w:tcPr>
          <w:p w14:paraId="5DECF700" w14:textId="6DD6DE5F" w:rsidR="00F06324" w:rsidRDefault="004C792B" w:rsidP="00363717">
            <w:pPr>
              <w:rPr>
                <w:rFonts w:ascii="Times New Roman" w:hAnsi="Times New Roman" w:cs="Times New Roman"/>
                <w:sz w:val="24"/>
                <w:szCs w:val="24"/>
              </w:rPr>
            </w:pPr>
            <w:r>
              <w:rPr>
                <w:rFonts w:ascii="Times New Roman" w:hAnsi="Times New Roman" w:cs="Times New Roman"/>
                <w:sz w:val="24"/>
                <w:szCs w:val="24"/>
              </w:rPr>
              <w:t>2,043</w:t>
            </w:r>
          </w:p>
        </w:tc>
        <w:tc>
          <w:tcPr>
            <w:tcW w:w="921" w:type="dxa"/>
          </w:tcPr>
          <w:p w14:paraId="66CCA16D" w14:textId="041028FA" w:rsidR="00F06324" w:rsidRDefault="00E00217" w:rsidP="00363717">
            <w:pPr>
              <w:rPr>
                <w:rFonts w:ascii="Times New Roman" w:hAnsi="Times New Roman" w:cs="Times New Roman"/>
                <w:sz w:val="24"/>
                <w:szCs w:val="24"/>
              </w:rPr>
            </w:pPr>
            <w:r>
              <w:rPr>
                <w:rFonts w:ascii="Times New Roman" w:hAnsi="Times New Roman" w:cs="Times New Roman"/>
                <w:sz w:val="24"/>
                <w:szCs w:val="24"/>
              </w:rPr>
              <w:t>19,903</w:t>
            </w:r>
          </w:p>
        </w:tc>
      </w:tr>
      <w:tr w:rsidR="0044495E" w14:paraId="3509DF80" w14:textId="77777777" w:rsidTr="0044495E">
        <w:trPr>
          <w:trHeight w:val="544"/>
        </w:trPr>
        <w:tc>
          <w:tcPr>
            <w:tcW w:w="1499" w:type="dxa"/>
          </w:tcPr>
          <w:p w14:paraId="33F6A251" w14:textId="35E37FAF" w:rsidR="00F06324" w:rsidRDefault="007823F5" w:rsidP="00363717">
            <w:pPr>
              <w:rPr>
                <w:rFonts w:ascii="Times New Roman" w:hAnsi="Times New Roman" w:cs="Times New Roman"/>
                <w:sz w:val="24"/>
                <w:szCs w:val="24"/>
              </w:rPr>
            </w:pPr>
            <w:r>
              <w:rPr>
                <w:rFonts w:ascii="Times New Roman" w:hAnsi="Times New Roman" w:cs="Times New Roman"/>
                <w:sz w:val="24"/>
                <w:szCs w:val="24"/>
              </w:rPr>
              <w:t>Maryland</w:t>
            </w:r>
          </w:p>
        </w:tc>
        <w:tc>
          <w:tcPr>
            <w:tcW w:w="878" w:type="dxa"/>
          </w:tcPr>
          <w:p w14:paraId="17BDBDDE" w14:textId="0C729FB4" w:rsidR="00F06324" w:rsidRDefault="002E2646" w:rsidP="00363717">
            <w:pPr>
              <w:rPr>
                <w:rFonts w:ascii="Times New Roman" w:hAnsi="Times New Roman" w:cs="Times New Roman"/>
                <w:sz w:val="24"/>
                <w:szCs w:val="24"/>
              </w:rPr>
            </w:pPr>
            <w:r>
              <w:rPr>
                <w:rFonts w:ascii="Times New Roman" w:hAnsi="Times New Roman" w:cs="Times New Roman"/>
                <w:sz w:val="24"/>
                <w:szCs w:val="24"/>
              </w:rPr>
              <w:t>4,147</w:t>
            </w:r>
          </w:p>
        </w:tc>
        <w:tc>
          <w:tcPr>
            <w:tcW w:w="877" w:type="dxa"/>
          </w:tcPr>
          <w:p w14:paraId="6529A937" w14:textId="160C1917" w:rsidR="00F06324" w:rsidRDefault="002E2646" w:rsidP="00363717">
            <w:pPr>
              <w:rPr>
                <w:rFonts w:ascii="Times New Roman" w:hAnsi="Times New Roman" w:cs="Times New Roman"/>
                <w:sz w:val="24"/>
                <w:szCs w:val="24"/>
              </w:rPr>
            </w:pPr>
            <w:r>
              <w:rPr>
                <w:rFonts w:ascii="Times New Roman" w:hAnsi="Times New Roman" w:cs="Times New Roman"/>
                <w:sz w:val="24"/>
                <w:szCs w:val="24"/>
              </w:rPr>
              <w:t>3,975</w:t>
            </w:r>
          </w:p>
        </w:tc>
        <w:tc>
          <w:tcPr>
            <w:tcW w:w="877" w:type="dxa"/>
          </w:tcPr>
          <w:p w14:paraId="0A4D8C55" w14:textId="306180CE" w:rsidR="00F06324" w:rsidRDefault="002E2646" w:rsidP="00363717">
            <w:pPr>
              <w:rPr>
                <w:rFonts w:ascii="Times New Roman" w:hAnsi="Times New Roman" w:cs="Times New Roman"/>
                <w:sz w:val="24"/>
                <w:szCs w:val="24"/>
              </w:rPr>
            </w:pPr>
            <w:r>
              <w:rPr>
                <w:rFonts w:ascii="Times New Roman" w:hAnsi="Times New Roman" w:cs="Times New Roman"/>
                <w:sz w:val="24"/>
                <w:szCs w:val="24"/>
              </w:rPr>
              <w:t>3,923</w:t>
            </w:r>
          </w:p>
        </w:tc>
        <w:tc>
          <w:tcPr>
            <w:tcW w:w="876" w:type="dxa"/>
          </w:tcPr>
          <w:p w14:paraId="5C0D5B30" w14:textId="580F6426" w:rsidR="00F06324" w:rsidRDefault="002E2646" w:rsidP="00363717">
            <w:pPr>
              <w:rPr>
                <w:rFonts w:ascii="Times New Roman" w:hAnsi="Times New Roman" w:cs="Times New Roman"/>
                <w:sz w:val="24"/>
                <w:szCs w:val="24"/>
              </w:rPr>
            </w:pPr>
            <w:r>
              <w:rPr>
                <w:rFonts w:ascii="Times New Roman" w:hAnsi="Times New Roman" w:cs="Times New Roman"/>
                <w:sz w:val="24"/>
                <w:szCs w:val="24"/>
              </w:rPr>
              <w:t>3,505</w:t>
            </w:r>
          </w:p>
        </w:tc>
        <w:tc>
          <w:tcPr>
            <w:tcW w:w="876" w:type="dxa"/>
          </w:tcPr>
          <w:p w14:paraId="07703721" w14:textId="5C0C21CB" w:rsidR="00F06324" w:rsidRDefault="00981AFF" w:rsidP="00363717">
            <w:pPr>
              <w:rPr>
                <w:rFonts w:ascii="Times New Roman" w:hAnsi="Times New Roman" w:cs="Times New Roman"/>
                <w:sz w:val="24"/>
                <w:szCs w:val="24"/>
              </w:rPr>
            </w:pPr>
            <w:r>
              <w:rPr>
                <w:rFonts w:ascii="Times New Roman" w:hAnsi="Times New Roman" w:cs="Times New Roman"/>
                <w:sz w:val="24"/>
                <w:szCs w:val="24"/>
              </w:rPr>
              <w:t>4,112</w:t>
            </w:r>
          </w:p>
        </w:tc>
        <w:tc>
          <w:tcPr>
            <w:tcW w:w="876" w:type="dxa"/>
          </w:tcPr>
          <w:p w14:paraId="76FF95AC" w14:textId="0587E5BE" w:rsidR="00F06324" w:rsidRDefault="00981AFF" w:rsidP="00363717">
            <w:pPr>
              <w:rPr>
                <w:rFonts w:ascii="Times New Roman" w:hAnsi="Times New Roman" w:cs="Times New Roman"/>
                <w:sz w:val="24"/>
                <w:szCs w:val="24"/>
              </w:rPr>
            </w:pPr>
            <w:r>
              <w:rPr>
                <w:rFonts w:ascii="Times New Roman" w:hAnsi="Times New Roman" w:cs="Times New Roman"/>
                <w:sz w:val="24"/>
                <w:szCs w:val="24"/>
              </w:rPr>
              <w:t>2,901</w:t>
            </w:r>
          </w:p>
        </w:tc>
        <w:tc>
          <w:tcPr>
            <w:tcW w:w="876" w:type="dxa"/>
          </w:tcPr>
          <w:p w14:paraId="461DD986" w14:textId="047EF416" w:rsidR="00F06324" w:rsidRDefault="00981AFF" w:rsidP="00363717">
            <w:pPr>
              <w:rPr>
                <w:rFonts w:ascii="Times New Roman" w:hAnsi="Times New Roman" w:cs="Times New Roman"/>
                <w:sz w:val="24"/>
                <w:szCs w:val="24"/>
              </w:rPr>
            </w:pPr>
            <w:r>
              <w:rPr>
                <w:rFonts w:ascii="Times New Roman" w:hAnsi="Times New Roman" w:cs="Times New Roman"/>
                <w:sz w:val="24"/>
                <w:szCs w:val="24"/>
              </w:rPr>
              <w:t>3,205</w:t>
            </w:r>
          </w:p>
        </w:tc>
        <w:tc>
          <w:tcPr>
            <w:tcW w:w="876" w:type="dxa"/>
          </w:tcPr>
          <w:p w14:paraId="022ED535" w14:textId="04EBC69F" w:rsidR="00F06324" w:rsidRDefault="00981AFF" w:rsidP="00363717">
            <w:pPr>
              <w:rPr>
                <w:rFonts w:ascii="Times New Roman" w:hAnsi="Times New Roman" w:cs="Times New Roman"/>
                <w:sz w:val="24"/>
                <w:szCs w:val="24"/>
              </w:rPr>
            </w:pPr>
            <w:r>
              <w:rPr>
                <w:rFonts w:ascii="Times New Roman" w:hAnsi="Times New Roman" w:cs="Times New Roman"/>
                <w:sz w:val="24"/>
                <w:szCs w:val="24"/>
              </w:rPr>
              <w:t>3,185</w:t>
            </w:r>
          </w:p>
        </w:tc>
        <w:tc>
          <w:tcPr>
            <w:tcW w:w="921" w:type="dxa"/>
          </w:tcPr>
          <w:p w14:paraId="59B5F877" w14:textId="56506FEC" w:rsidR="00F06324" w:rsidRDefault="006847F7" w:rsidP="00363717">
            <w:pPr>
              <w:rPr>
                <w:rFonts w:ascii="Times New Roman" w:hAnsi="Times New Roman" w:cs="Times New Roman"/>
                <w:sz w:val="24"/>
                <w:szCs w:val="24"/>
              </w:rPr>
            </w:pPr>
            <w:r>
              <w:rPr>
                <w:rFonts w:ascii="Times New Roman" w:hAnsi="Times New Roman" w:cs="Times New Roman"/>
                <w:sz w:val="24"/>
                <w:szCs w:val="24"/>
              </w:rPr>
              <w:t>28,953</w:t>
            </w:r>
          </w:p>
        </w:tc>
      </w:tr>
      <w:tr w:rsidR="0044495E" w14:paraId="227B7924" w14:textId="77777777" w:rsidTr="0044495E">
        <w:trPr>
          <w:trHeight w:val="276"/>
        </w:trPr>
        <w:tc>
          <w:tcPr>
            <w:tcW w:w="1499" w:type="dxa"/>
          </w:tcPr>
          <w:p w14:paraId="56CFFC0D" w14:textId="3ED14528" w:rsidR="00F06324" w:rsidRDefault="007823F5" w:rsidP="00363717">
            <w:pPr>
              <w:rPr>
                <w:rFonts w:ascii="Times New Roman" w:hAnsi="Times New Roman" w:cs="Times New Roman"/>
                <w:sz w:val="24"/>
                <w:szCs w:val="24"/>
              </w:rPr>
            </w:pPr>
            <w:r>
              <w:rPr>
                <w:rFonts w:ascii="Times New Roman" w:hAnsi="Times New Roman" w:cs="Times New Roman"/>
                <w:sz w:val="24"/>
                <w:szCs w:val="24"/>
              </w:rPr>
              <w:t>Wisconsin</w:t>
            </w:r>
          </w:p>
        </w:tc>
        <w:tc>
          <w:tcPr>
            <w:tcW w:w="878" w:type="dxa"/>
          </w:tcPr>
          <w:p w14:paraId="040574AA" w14:textId="1B49F987" w:rsidR="00F06324" w:rsidRDefault="00051E21" w:rsidP="00363717">
            <w:pPr>
              <w:rPr>
                <w:rFonts w:ascii="Times New Roman" w:hAnsi="Times New Roman" w:cs="Times New Roman"/>
                <w:sz w:val="24"/>
                <w:szCs w:val="24"/>
              </w:rPr>
            </w:pPr>
            <w:r>
              <w:rPr>
                <w:rFonts w:ascii="Times New Roman" w:hAnsi="Times New Roman" w:cs="Times New Roman"/>
                <w:sz w:val="24"/>
                <w:szCs w:val="24"/>
              </w:rPr>
              <w:t>1,454</w:t>
            </w:r>
          </w:p>
        </w:tc>
        <w:tc>
          <w:tcPr>
            <w:tcW w:w="877" w:type="dxa"/>
          </w:tcPr>
          <w:p w14:paraId="60594D7C" w14:textId="3BE9ED16" w:rsidR="00F06324" w:rsidRDefault="00051E21" w:rsidP="00363717">
            <w:pPr>
              <w:rPr>
                <w:rFonts w:ascii="Times New Roman" w:hAnsi="Times New Roman" w:cs="Times New Roman"/>
                <w:sz w:val="24"/>
                <w:szCs w:val="24"/>
              </w:rPr>
            </w:pPr>
            <w:r>
              <w:rPr>
                <w:rFonts w:ascii="Times New Roman" w:hAnsi="Times New Roman" w:cs="Times New Roman"/>
                <w:sz w:val="24"/>
                <w:szCs w:val="24"/>
              </w:rPr>
              <w:t>1,862</w:t>
            </w:r>
          </w:p>
        </w:tc>
        <w:tc>
          <w:tcPr>
            <w:tcW w:w="877" w:type="dxa"/>
          </w:tcPr>
          <w:p w14:paraId="5CFE82EF" w14:textId="2E178642" w:rsidR="00F06324" w:rsidRDefault="00051E21" w:rsidP="00363717">
            <w:pPr>
              <w:rPr>
                <w:rFonts w:ascii="Times New Roman" w:hAnsi="Times New Roman" w:cs="Times New Roman"/>
                <w:sz w:val="24"/>
                <w:szCs w:val="24"/>
              </w:rPr>
            </w:pPr>
            <w:r>
              <w:rPr>
                <w:rFonts w:ascii="Times New Roman" w:hAnsi="Times New Roman" w:cs="Times New Roman"/>
                <w:sz w:val="24"/>
                <w:szCs w:val="24"/>
              </w:rPr>
              <w:t>1,705</w:t>
            </w:r>
          </w:p>
        </w:tc>
        <w:tc>
          <w:tcPr>
            <w:tcW w:w="876" w:type="dxa"/>
          </w:tcPr>
          <w:p w14:paraId="2AF1F274" w14:textId="0448C886" w:rsidR="00F06324" w:rsidRDefault="00051E21" w:rsidP="00363717">
            <w:pPr>
              <w:rPr>
                <w:rFonts w:ascii="Times New Roman" w:hAnsi="Times New Roman" w:cs="Times New Roman"/>
                <w:sz w:val="24"/>
                <w:szCs w:val="24"/>
              </w:rPr>
            </w:pPr>
            <w:r>
              <w:rPr>
                <w:rFonts w:ascii="Times New Roman" w:hAnsi="Times New Roman" w:cs="Times New Roman"/>
                <w:sz w:val="24"/>
                <w:szCs w:val="24"/>
              </w:rPr>
              <w:t>1,242</w:t>
            </w:r>
          </w:p>
        </w:tc>
        <w:tc>
          <w:tcPr>
            <w:tcW w:w="876" w:type="dxa"/>
          </w:tcPr>
          <w:p w14:paraId="1EEF07A3" w14:textId="7773F7CC" w:rsidR="00F06324" w:rsidRDefault="00051E21" w:rsidP="00363717">
            <w:pPr>
              <w:rPr>
                <w:rFonts w:ascii="Times New Roman" w:hAnsi="Times New Roman" w:cs="Times New Roman"/>
                <w:sz w:val="24"/>
                <w:szCs w:val="24"/>
              </w:rPr>
            </w:pPr>
            <w:r>
              <w:rPr>
                <w:rFonts w:ascii="Times New Roman" w:hAnsi="Times New Roman" w:cs="Times New Roman"/>
                <w:sz w:val="24"/>
                <w:szCs w:val="24"/>
              </w:rPr>
              <w:t>1,017</w:t>
            </w:r>
          </w:p>
        </w:tc>
        <w:tc>
          <w:tcPr>
            <w:tcW w:w="876" w:type="dxa"/>
          </w:tcPr>
          <w:p w14:paraId="5304B43B" w14:textId="228FC885" w:rsidR="00F06324" w:rsidRDefault="00051E21" w:rsidP="00363717">
            <w:pPr>
              <w:rPr>
                <w:rFonts w:ascii="Times New Roman" w:hAnsi="Times New Roman" w:cs="Times New Roman"/>
                <w:sz w:val="24"/>
                <w:szCs w:val="24"/>
              </w:rPr>
            </w:pPr>
            <w:r>
              <w:rPr>
                <w:rFonts w:ascii="Times New Roman" w:hAnsi="Times New Roman" w:cs="Times New Roman"/>
                <w:sz w:val="24"/>
                <w:szCs w:val="24"/>
              </w:rPr>
              <w:t>840</w:t>
            </w:r>
          </w:p>
        </w:tc>
        <w:tc>
          <w:tcPr>
            <w:tcW w:w="876" w:type="dxa"/>
          </w:tcPr>
          <w:p w14:paraId="7683283A" w14:textId="49AE965E" w:rsidR="00F06324" w:rsidRDefault="00051E21" w:rsidP="00363717">
            <w:pPr>
              <w:rPr>
                <w:rFonts w:ascii="Times New Roman" w:hAnsi="Times New Roman" w:cs="Times New Roman"/>
                <w:sz w:val="24"/>
                <w:szCs w:val="24"/>
              </w:rPr>
            </w:pPr>
            <w:r>
              <w:rPr>
                <w:rFonts w:ascii="Times New Roman" w:hAnsi="Times New Roman" w:cs="Times New Roman"/>
                <w:sz w:val="24"/>
                <w:szCs w:val="24"/>
              </w:rPr>
              <w:t>708</w:t>
            </w:r>
          </w:p>
        </w:tc>
        <w:tc>
          <w:tcPr>
            <w:tcW w:w="876" w:type="dxa"/>
          </w:tcPr>
          <w:p w14:paraId="20AB2F62" w14:textId="22D1A835" w:rsidR="00F06324" w:rsidRDefault="00051E21" w:rsidP="00363717">
            <w:pPr>
              <w:rPr>
                <w:rFonts w:ascii="Times New Roman" w:hAnsi="Times New Roman" w:cs="Times New Roman"/>
                <w:sz w:val="24"/>
                <w:szCs w:val="24"/>
              </w:rPr>
            </w:pPr>
            <w:r>
              <w:rPr>
                <w:rFonts w:ascii="Times New Roman" w:hAnsi="Times New Roman" w:cs="Times New Roman"/>
                <w:sz w:val="24"/>
                <w:szCs w:val="24"/>
              </w:rPr>
              <w:t>837</w:t>
            </w:r>
          </w:p>
        </w:tc>
        <w:tc>
          <w:tcPr>
            <w:tcW w:w="921" w:type="dxa"/>
          </w:tcPr>
          <w:p w14:paraId="6245953F" w14:textId="65558803" w:rsidR="00F06324" w:rsidRDefault="00A22CCF" w:rsidP="00363717">
            <w:pPr>
              <w:rPr>
                <w:rFonts w:ascii="Times New Roman" w:hAnsi="Times New Roman" w:cs="Times New Roman"/>
                <w:sz w:val="24"/>
                <w:szCs w:val="24"/>
              </w:rPr>
            </w:pPr>
            <w:r>
              <w:rPr>
                <w:rFonts w:ascii="Times New Roman" w:hAnsi="Times New Roman" w:cs="Times New Roman"/>
                <w:sz w:val="24"/>
                <w:szCs w:val="24"/>
              </w:rPr>
              <w:t>9,665</w:t>
            </w:r>
          </w:p>
        </w:tc>
      </w:tr>
      <w:tr w:rsidR="0044495E" w14:paraId="5FD52F06" w14:textId="77777777" w:rsidTr="0044495E">
        <w:trPr>
          <w:trHeight w:val="544"/>
        </w:trPr>
        <w:tc>
          <w:tcPr>
            <w:tcW w:w="1499" w:type="dxa"/>
          </w:tcPr>
          <w:p w14:paraId="75E31917" w14:textId="6B2B74F9" w:rsidR="00F06324" w:rsidRDefault="003454E5" w:rsidP="00363717">
            <w:pPr>
              <w:rPr>
                <w:rFonts w:ascii="Times New Roman" w:hAnsi="Times New Roman" w:cs="Times New Roman"/>
                <w:sz w:val="24"/>
                <w:szCs w:val="24"/>
              </w:rPr>
            </w:pPr>
            <w:r>
              <w:rPr>
                <w:rFonts w:ascii="Times New Roman" w:hAnsi="Times New Roman" w:cs="Times New Roman"/>
                <w:sz w:val="24"/>
                <w:szCs w:val="24"/>
              </w:rPr>
              <w:t>Pennsylvania</w:t>
            </w:r>
          </w:p>
        </w:tc>
        <w:tc>
          <w:tcPr>
            <w:tcW w:w="878" w:type="dxa"/>
          </w:tcPr>
          <w:p w14:paraId="24467E58" w14:textId="084C77F2" w:rsidR="00F06324" w:rsidRDefault="005E5C61" w:rsidP="00363717">
            <w:pPr>
              <w:rPr>
                <w:rFonts w:ascii="Times New Roman" w:hAnsi="Times New Roman" w:cs="Times New Roman"/>
                <w:sz w:val="24"/>
                <w:szCs w:val="24"/>
              </w:rPr>
            </w:pPr>
            <w:r>
              <w:rPr>
                <w:rFonts w:ascii="Times New Roman" w:hAnsi="Times New Roman" w:cs="Times New Roman"/>
                <w:sz w:val="24"/>
                <w:szCs w:val="24"/>
              </w:rPr>
              <w:t>5,895</w:t>
            </w:r>
          </w:p>
        </w:tc>
        <w:tc>
          <w:tcPr>
            <w:tcW w:w="877" w:type="dxa"/>
          </w:tcPr>
          <w:p w14:paraId="3F69BA87" w14:textId="12E7FEE2" w:rsidR="00F06324" w:rsidRDefault="005E5C61" w:rsidP="00363717">
            <w:pPr>
              <w:rPr>
                <w:rFonts w:ascii="Times New Roman" w:hAnsi="Times New Roman" w:cs="Times New Roman"/>
                <w:sz w:val="24"/>
                <w:szCs w:val="24"/>
              </w:rPr>
            </w:pPr>
            <w:r>
              <w:rPr>
                <w:rFonts w:ascii="Times New Roman" w:hAnsi="Times New Roman" w:cs="Times New Roman"/>
                <w:sz w:val="24"/>
                <w:szCs w:val="24"/>
              </w:rPr>
              <w:t>3,162</w:t>
            </w:r>
          </w:p>
        </w:tc>
        <w:tc>
          <w:tcPr>
            <w:tcW w:w="877" w:type="dxa"/>
          </w:tcPr>
          <w:p w14:paraId="5625AE99" w14:textId="5ECCC2A6" w:rsidR="00F06324" w:rsidRDefault="005E5C61" w:rsidP="00363717">
            <w:pPr>
              <w:rPr>
                <w:rFonts w:ascii="Times New Roman" w:hAnsi="Times New Roman" w:cs="Times New Roman"/>
                <w:sz w:val="24"/>
                <w:szCs w:val="24"/>
              </w:rPr>
            </w:pPr>
            <w:r>
              <w:rPr>
                <w:rFonts w:ascii="Times New Roman" w:hAnsi="Times New Roman" w:cs="Times New Roman"/>
                <w:sz w:val="24"/>
                <w:szCs w:val="24"/>
              </w:rPr>
              <w:t>2,</w:t>
            </w:r>
            <w:r w:rsidR="00D04D98">
              <w:rPr>
                <w:rFonts w:ascii="Times New Roman" w:hAnsi="Times New Roman" w:cs="Times New Roman"/>
                <w:sz w:val="24"/>
                <w:szCs w:val="24"/>
              </w:rPr>
              <w:t>82</w:t>
            </w:r>
            <w:r>
              <w:rPr>
                <w:rFonts w:ascii="Times New Roman" w:hAnsi="Times New Roman" w:cs="Times New Roman"/>
                <w:sz w:val="24"/>
                <w:szCs w:val="24"/>
              </w:rPr>
              <w:t>0</w:t>
            </w:r>
          </w:p>
        </w:tc>
        <w:tc>
          <w:tcPr>
            <w:tcW w:w="876" w:type="dxa"/>
          </w:tcPr>
          <w:p w14:paraId="7EA81073" w14:textId="3D4436C6" w:rsidR="00F06324" w:rsidRDefault="005E5C61" w:rsidP="00363717">
            <w:pPr>
              <w:rPr>
                <w:rFonts w:ascii="Times New Roman" w:hAnsi="Times New Roman" w:cs="Times New Roman"/>
                <w:sz w:val="24"/>
                <w:szCs w:val="24"/>
              </w:rPr>
            </w:pPr>
            <w:r>
              <w:rPr>
                <w:rFonts w:ascii="Times New Roman" w:hAnsi="Times New Roman" w:cs="Times New Roman"/>
                <w:sz w:val="24"/>
                <w:szCs w:val="24"/>
              </w:rPr>
              <w:t>1,008</w:t>
            </w:r>
          </w:p>
        </w:tc>
        <w:tc>
          <w:tcPr>
            <w:tcW w:w="876" w:type="dxa"/>
          </w:tcPr>
          <w:p w14:paraId="108C0910" w14:textId="43B6D2CA" w:rsidR="00F06324" w:rsidRDefault="005E5C61" w:rsidP="00363717">
            <w:pPr>
              <w:rPr>
                <w:rFonts w:ascii="Times New Roman" w:hAnsi="Times New Roman" w:cs="Times New Roman"/>
                <w:sz w:val="24"/>
                <w:szCs w:val="24"/>
              </w:rPr>
            </w:pPr>
            <w:r>
              <w:rPr>
                <w:rFonts w:ascii="Times New Roman" w:hAnsi="Times New Roman" w:cs="Times New Roman"/>
                <w:sz w:val="24"/>
                <w:szCs w:val="24"/>
              </w:rPr>
              <w:t>1,018</w:t>
            </w:r>
          </w:p>
        </w:tc>
        <w:tc>
          <w:tcPr>
            <w:tcW w:w="876" w:type="dxa"/>
          </w:tcPr>
          <w:p w14:paraId="674452E6" w14:textId="6CEBB52B" w:rsidR="00F06324" w:rsidRDefault="005E5C61" w:rsidP="00363717">
            <w:pPr>
              <w:rPr>
                <w:rFonts w:ascii="Times New Roman" w:hAnsi="Times New Roman" w:cs="Times New Roman"/>
                <w:sz w:val="24"/>
                <w:szCs w:val="24"/>
              </w:rPr>
            </w:pPr>
            <w:r>
              <w:rPr>
                <w:rFonts w:ascii="Times New Roman" w:hAnsi="Times New Roman" w:cs="Times New Roman"/>
                <w:sz w:val="24"/>
                <w:szCs w:val="24"/>
              </w:rPr>
              <w:t>768</w:t>
            </w:r>
          </w:p>
        </w:tc>
        <w:tc>
          <w:tcPr>
            <w:tcW w:w="876" w:type="dxa"/>
          </w:tcPr>
          <w:p w14:paraId="432D2236" w14:textId="1EE1121A" w:rsidR="00F06324" w:rsidRDefault="005E5C61" w:rsidP="00363717">
            <w:pPr>
              <w:rPr>
                <w:rFonts w:ascii="Times New Roman" w:hAnsi="Times New Roman" w:cs="Times New Roman"/>
                <w:sz w:val="24"/>
                <w:szCs w:val="24"/>
              </w:rPr>
            </w:pPr>
            <w:r>
              <w:rPr>
                <w:rFonts w:ascii="Times New Roman" w:hAnsi="Times New Roman" w:cs="Times New Roman"/>
                <w:sz w:val="24"/>
                <w:szCs w:val="24"/>
              </w:rPr>
              <w:t>473</w:t>
            </w:r>
          </w:p>
        </w:tc>
        <w:tc>
          <w:tcPr>
            <w:tcW w:w="876" w:type="dxa"/>
          </w:tcPr>
          <w:p w14:paraId="35865798" w14:textId="40DDF097" w:rsidR="00F06324" w:rsidRDefault="005E5C61" w:rsidP="00363717">
            <w:pPr>
              <w:rPr>
                <w:rFonts w:ascii="Times New Roman" w:hAnsi="Times New Roman" w:cs="Times New Roman"/>
                <w:sz w:val="24"/>
                <w:szCs w:val="24"/>
              </w:rPr>
            </w:pPr>
            <w:r>
              <w:rPr>
                <w:rFonts w:ascii="Times New Roman" w:hAnsi="Times New Roman" w:cs="Times New Roman"/>
                <w:sz w:val="24"/>
                <w:szCs w:val="24"/>
              </w:rPr>
              <w:t>594</w:t>
            </w:r>
          </w:p>
        </w:tc>
        <w:tc>
          <w:tcPr>
            <w:tcW w:w="921" w:type="dxa"/>
          </w:tcPr>
          <w:p w14:paraId="7DDB4439" w14:textId="0BA90AFB" w:rsidR="00F06324" w:rsidRDefault="00E72F3B" w:rsidP="00363717">
            <w:pPr>
              <w:rPr>
                <w:rFonts w:ascii="Times New Roman" w:hAnsi="Times New Roman" w:cs="Times New Roman"/>
                <w:sz w:val="24"/>
                <w:szCs w:val="24"/>
              </w:rPr>
            </w:pPr>
            <w:r>
              <w:rPr>
                <w:rFonts w:ascii="Times New Roman" w:hAnsi="Times New Roman" w:cs="Times New Roman"/>
                <w:sz w:val="24"/>
                <w:szCs w:val="24"/>
              </w:rPr>
              <w:t>15,738</w:t>
            </w:r>
          </w:p>
        </w:tc>
      </w:tr>
      <w:tr w:rsidR="0044495E" w14:paraId="4BFC95EC" w14:textId="77777777" w:rsidTr="0044495E">
        <w:trPr>
          <w:trHeight w:val="544"/>
        </w:trPr>
        <w:tc>
          <w:tcPr>
            <w:tcW w:w="1499" w:type="dxa"/>
          </w:tcPr>
          <w:p w14:paraId="1079DDD0" w14:textId="00F4BA2F" w:rsidR="00F06324" w:rsidRDefault="003454E5" w:rsidP="00363717">
            <w:pPr>
              <w:rPr>
                <w:rFonts w:ascii="Times New Roman" w:hAnsi="Times New Roman" w:cs="Times New Roman"/>
                <w:sz w:val="24"/>
                <w:szCs w:val="24"/>
              </w:rPr>
            </w:pPr>
            <w:r>
              <w:rPr>
                <w:rFonts w:ascii="Times New Roman" w:hAnsi="Times New Roman" w:cs="Times New Roman"/>
                <w:sz w:val="24"/>
                <w:szCs w:val="24"/>
              </w:rPr>
              <w:t>Washington</w:t>
            </w:r>
          </w:p>
        </w:tc>
        <w:tc>
          <w:tcPr>
            <w:tcW w:w="878" w:type="dxa"/>
          </w:tcPr>
          <w:p w14:paraId="2E3F25DE" w14:textId="6AF035BD" w:rsidR="00F06324" w:rsidRDefault="00777195" w:rsidP="00363717">
            <w:pPr>
              <w:rPr>
                <w:rFonts w:ascii="Times New Roman" w:hAnsi="Times New Roman" w:cs="Times New Roman"/>
                <w:sz w:val="24"/>
                <w:szCs w:val="24"/>
              </w:rPr>
            </w:pPr>
            <w:r>
              <w:rPr>
                <w:rFonts w:ascii="Times New Roman" w:hAnsi="Times New Roman" w:cs="Times New Roman"/>
                <w:sz w:val="24"/>
                <w:szCs w:val="24"/>
              </w:rPr>
              <w:t>5,130</w:t>
            </w:r>
          </w:p>
        </w:tc>
        <w:tc>
          <w:tcPr>
            <w:tcW w:w="877" w:type="dxa"/>
          </w:tcPr>
          <w:p w14:paraId="479C7D0E" w14:textId="19BE8F67" w:rsidR="00F06324" w:rsidRDefault="00777195" w:rsidP="00363717">
            <w:pPr>
              <w:rPr>
                <w:rFonts w:ascii="Times New Roman" w:hAnsi="Times New Roman" w:cs="Times New Roman"/>
                <w:sz w:val="24"/>
                <w:szCs w:val="24"/>
              </w:rPr>
            </w:pPr>
            <w:r>
              <w:rPr>
                <w:rFonts w:ascii="Times New Roman" w:hAnsi="Times New Roman" w:cs="Times New Roman"/>
                <w:sz w:val="24"/>
                <w:szCs w:val="24"/>
              </w:rPr>
              <w:t>3,234</w:t>
            </w:r>
          </w:p>
        </w:tc>
        <w:tc>
          <w:tcPr>
            <w:tcW w:w="877" w:type="dxa"/>
          </w:tcPr>
          <w:p w14:paraId="59765FE5" w14:textId="36238301" w:rsidR="00F06324" w:rsidRDefault="00777195" w:rsidP="00363717">
            <w:pPr>
              <w:rPr>
                <w:rFonts w:ascii="Times New Roman" w:hAnsi="Times New Roman" w:cs="Times New Roman"/>
                <w:sz w:val="24"/>
                <w:szCs w:val="24"/>
              </w:rPr>
            </w:pPr>
            <w:r>
              <w:rPr>
                <w:rFonts w:ascii="Times New Roman" w:hAnsi="Times New Roman" w:cs="Times New Roman"/>
                <w:sz w:val="24"/>
                <w:szCs w:val="24"/>
              </w:rPr>
              <w:t>2,737</w:t>
            </w:r>
          </w:p>
        </w:tc>
        <w:tc>
          <w:tcPr>
            <w:tcW w:w="876" w:type="dxa"/>
          </w:tcPr>
          <w:p w14:paraId="2D49BDEB" w14:textId="23D9CCCE" w:rsidR="00F06324" w:rsidRDefault="00777195" w:rsidP="00363717">
            <w:pPr>
              <w:rPr>
                <w:rFonts w:ascii="Times New Roman" w:hAnsi="Times New Roman" w:cs="Times New Roman"/>
                <w:sz w:val="24"/>
                <w:szCs w:val="24"/>
              </w:rPr>
            </w:pPr>
            <w:r>
              <w:rPr>
                <w:rFonts w:ascii="Times New Roman" w:hAnsi="Times New Roman" w:cs="Times New Roman"/>
                <w:sz w:val="24"/>
                <w:szCs w:val="24"/>
              </w:rPr>
              <w:t>3,679</w:t>
            </w:r>
          </w:p>
        </w:tc>
        <w:tc>
          <w:tcPr>
            <w:tcW w:w="876" w:type="dxa"/>
          </w:tcPr>
          <w:p w14:paraId="01079F2A" w14:textId="160D6A71" w:rsidR="00F06324" w:rsidRDefault="00777195" w:rsidP="00363717">
            <w:pPr>
              <w:rPr>
                <w:rFonts w:ascii="Times New Roman" w:hAnsi="Times New Roman" w:cs="Times New Roman"/>
                <w:sz w:val="24"/>
                <w:szCs w:val="24"/>
              </w:rPr>
            </w:pPr>
            <w:r>
              <w:rPr>
                <w:rFonts w:ascii="Times New Roman" w:hAnsi="Times New Roman" w:cs="Times New Roman"/>
                <w:sz w:val="24"/>
                <w:szCs w:val="24"/>
              </w:rPr>
              <w:t>2,775</w:t>
            </w:r>
          </w:p>
        </w:tc>
        <w:tc>
          <w:tcPr>
            <w:tcW w:w="876" w:type="dxa"/>
          </w:tcPr>
          <w:p w14:paraId="1C71C9FA" w14:textId="2D144901" w:rsidR="00F06324" w:rsidRDefault="000E4949" w:rsidP="00363717">
            <w:pPr>
              <w:rPr>
                <w:rFonts w:ascii="Times New Roman" w:hAnsi="Times New Roman" w:cs="Times New Roman"/>
                <w:sz w:val="24"/>
                <w:szCs w:val="24"/>
              </w:rPr>
            </w:pPr>
            <w:r>
              <w:rPr>
                <w:rFonts w:ascii="Times New Roman" w:hAnsi="Times New Roman" w:cs="Times New Roman"/>
                <w:sz w:val="24"/>
                <w:szCs w:val="24"/>
              </w:rPr>
              <w:t>1,817</w:t>
            </w:r>
          </w:p>
        </w:tc>
        <w:tc>
          <w:tcPr>
            <w:tcW w:w="876" w:type="dxa"/>
          </w:tcPr>
          <w:p w14:paraId="545E4CBE" w14:textId="0EFD1A84" w:rsidR="00F06324" w:rsidRDefault="000E4949" w:rsidP="00363717">
            <w:pPr>
              <w:rPr>
                <w:rFonts w:ascii="Times New Roman" w:hAnsi="Times New Roman" w:cs="Times New Roman"/>
                <w:sz w:val="24"/>
                <w:szCs w:val="24"/>
              </w:rPr>
            </w:pPr>
            <w:r>
              <w:rPr>
                <w:rFonts w:ascii="Times New Roman" w:hAnsi="Times New Roman" w:cs="Times New Roman"/>
                <w:sz w:val="24"/>
                <w:szCs w:val="24"/>
              </w:rPr>
              <w:t>1,835</w:t>
            </w:r>
          </w:p>
        </w:tc>
        <w:tc>
          <w:tcPr>
            <w:tcW w:w="876" w:type="dxa"/>
          </w:tcPr>
          <w:p w14:paraId="40B300F5" w14:textId="631FB04B" w:rsidR="00F06324" w:rsidRDefault="000E4949" w:rsidP="00363717">
            <w:pPr>
              <w:rPr>
                <w:rFonts w:ascii="Times New Roman" w:hAnsi="Times New Roman" w:cs="Times New Roman"/>
                <w:sz w:val="24"/>
                <w:szCs w:val="24"/>
              </w:rPr>
            </w:pPr>
            <w:r>
              <w:rPr>
                <w:rFonts w:ascii="Times New Roman" w:hAnsi="Times New Roman" w:cs="Times New Roman"/>
                <w:sz w:val="24"/>
                <w:szCs w:val="24"/>
              </w:rPr>
              <w:t>1,414</w:t>
            </w:r>
          </w:p>
        </w:tc>
        <w:tc>
          <w:tcPr>
            <w:tcW w:w="921" w:type="dxa"/>
          </w:tcPr>
          <w:p w14:paraId="2E3896C4" w14:textId="50D0AFA6" w:rsidR="00F06324" w:rsidRDefault="003F7233" w:rsidP="00363717">
            <w:pPr>
              <w:rPr>
                <w:rFonts w:ascii="Times New Roman" w:hAnsi="Times New Roman" w:cs="Times New Roman"/>
                <w:sz w:val="24"/>
                <w:szCs w:val="24"/>
              </w:rPr>
            </w:pPr>
            <w:r>
              <w:rPr>
                <w:rFonts w:ascii="Times New Roman" w:hAnsi="Times New Roman" w:cs="Times New Roman"/>
                <w:sz w:val="24"/>
                <w:szCs w:val="24"/>
              </w:rPr>
              <w:t>22,621</w:t>
            </w:r>
          </w:p>
        </w:tc>
      </w:tr>
      <w:tr w:rsidR="0044495E" w14:paraId="56927EE3" w14:textId="77777777" w:rsidTr="0044495E">
        <w:trPr>
          <w:trHeight w:val="554"/>
        </w:trPr>
        <w:tc>
          <w:tcPr>
            <w:tcW w:w="1499" w:type="dxa"/>
          </w:tcPr>
          <w:p w14:paraId="34106BD5" w14:textId="4E45E8A7" w:rsidR="00F06324" w:rsidRDefault="003454E5" w:rsidP="00363717">
            <w:pPr>
              <w:rPr>
                <w:rFonts w:ascii="Times New Roman" w:hAnsi="Times New Roman" w:cs="Times New Roman"/>
                <w:sz w:val="24"/>
                <w:szCs w:val="24"/>
              </w:rPr>
            </w:pPr>
            <w:r>
              <w:rPr>
                <w:rFonts w:ascii="Times New Roman" w:hAnsi="Times New Roman" w:cs="Times New Roman"/>
                <w:sz w:val="24"/>
                <w:szCs w:val="24"/>
              </w:rPr>
              <w:t>Michigan</w:t>
            </w:r>
          </w:p>
        </w:tc>
        <w:tc>
          <w:tcPr>
            <w:tcW w:w="878" w:type="dxa"/>
          </w:tcPr>
          <w:p w14:paraId="75058FD6" w14:textId="5D45A317" w:rsidR="00F06324" w:rsidRDefault="006373E1" w:rsidP="00363717">
            <w:pPr>
              <w:rPr>
                <w:rFonts w:ascii="Times New Roman" w:hAnsi="Times New Roman" w:cs="Times New Roman"/>
                <w:sz w:val="24"/>
                <w:szCs w:val="24"/>
              </w:rPr>
            </w:pPr>
            <w:r>
              <w:rPr>
                <w:rFonts w:ascii="Times New Roman" w:hAnsi="Times New Roman" w:cs="Times New Roman"/>
                <w:sz w:val="24"/>
                <w:szCs w:val="24"/>
              </w:rPr>
              <w:t>3,319</w:t>
            </w:r>
          </w:p>
        </w:tc>
        <w:tc>
          <w:tcPr>
            <w:tcW w:w="877" w:type="dxa"/>
          </w:tcPr>
          <w:p w14:paraId="716BED31" w14:textId="00EAC182" w:rsidR="00F06324" w:rsidRDefault="006373E1" w:rsidP="00363717">
            <w:pPr>
              <w:rPr>
                <w:rFonts w:ascii="Times New Roman" w:hAnsi="Times New Roman" w:cs="Times New Roman"/>
                <w:sz w:val="24"/>
                <w:szCs w:val="24"/>
              </w:rPr>
            </w:pPr>
            <w:r>
              <w:rPr>
                <w:rFonts w:ascii="Times New Roman" w:hAnsi="Times New Roman" w:cs="Times New Roman"/>
                <w:sz w:val="24"/>
                <w:szCs w:val="24"/>
              </w:rPr>
              <w:t>3,377</w:t>
            </w:r>
          </w:p>
        </w:tc>
        <w:tc>
          <w:tcPr>
            <w:tcW w:w="877" w:type="dxa"/>
          </w:tcPr>
          <w:p w14:paraId="547752BB" w14:textId="461CB485" w:rsidR="00F06324" w:rsidRDefault="006373E1" w:rsidP="00363717">
            <w:pPr>
              <w:rPr>
                <w:rFonts w:ascii="Times New Roman" w:hAnsi="Times New Roman" w:cs="Times New Roman"/>
                <w:sz w:val="24"/>
                <w:szCs w:val="24"/>
              </w:rPr>
            </w:pPr>
            <w:r>
              <w:rPr>
                <w:rFonts w:ascii="Times New Roman" w:hAnsi="Times New Roman" w:cs="Times New Roman"/>
                <w:sz w:val="24"/>
                <w:szCs w:val="24"/>
              </w:rPr>
              <w:t>1,788</w:t>
            </w:r>
          </w:p>
        </w:tc>
        <w:tc>
          <w:tcPr>
            <w:tcW w:w="876" w:type="dxa"/>
          </w:tcPr>
          <w:p w14:paraId="00ADB95D" w14:textId="7DCBD452" w:rsidR="00F06324" w:rsidRDefault="006373E1" w:rsidP="00363717">
            <w:pPr>
              <w:rPr>
                <w:rFonts w:ascii="Times New Roman" w:hAnsi="Times New Roman" w:cs="Times New Roman"/>
                <w:sz w:val="24"/>
                <w:szCs w:val="24"/>
              </w:rPr>
            </w:pPr>
            <w:r>
              <w:rPr>
                <w:rFonts w:ascii="Times New Roman" w:hAnsi="Times New Roman" w:cs="Times New Roman"/>
                <w:sz w:val="24"/>
                <w:szCs w:val="24"/>
              </w:rPr>
              <w:t>1,587</w:t>
            </w:r>
          </w:p>
        </w:tc>
        <w:tc>
          <w:tcPr>
            <w:tcW w:w="876" w:type="dxa"/>
          </w:tcPr>
          <w:p w14:paraId="23ACC7B4" w14:textId="278E5561" w:rsidR="00F06324" w:rsidRDefault="006373E1" w:rsidP="00363717">
            <w:pPr>
              <w:rPr>
                <w:rFonts w:ascii="Times New Roman" w:hAnsi="Times New Roman" w:cs="Times New Roman"/>
                <w:sz w:val="24"/>
                <w:szCs w:val="24"/>
              </w:rPr>
            </w:pPr>
            <w:r>
              <w:rPr>
                <w:rFonts w:ascii="Times New Roman" w:hAnsi="Times New Roman" w:cs="Times New Roman"/>
                <w:sz w:val="24"/>
                <w:szCs w:val="24"/>
              </w:rPr>
              <w:t>1,631</w:t>
            </w:r>
          </w:p>
        </w:tc>
        <w:tc>
          <w:tcPr>
            <w:tcW w:w="876" w:type="dxa"/>
          </w:tcPr>
          <w:p w14:paraId="36761098" w14:textId="5024E1D3" w:rsidR="00F06324" w:rsidRDefault="006373E1" w:rsidP="00363717">
            <w:pPr>
              <w:rPr>
                <w:rFonts w:ascii="Times New Roman" w:hAnsi="Times New Roman" w:cs="Times New Roman"/>
                <w:sz w:val="24"/>
                <w:szCs w:val="24"/>
              </w:rPr>
            </w:pPr>
            <w:r>
              <w:rPr>
                <w:rFonts w:ascii="Times New Roman" w:hAnsi="Times New Roman" w:cs="Times New Roman"/>
                <w:sz w:val="24"/>
                <w:szCs w:val="24"/>
              </w:rPr>
              <w:t>1,617</w:t>
            </w:r>
          </w:p>
        </w:tc>
        <w:tc>
          <w:tcPr>
            <w:tcW w:w="876" w:type="dxa"/>
          </w:tcPr>
          <w:p w14:paraId="6A677224" w14:textId="2431A8E3" w:rsidR="00F06324" w:rsidRDefault="006373E1" w:rsidP="00363717">
            <w:pPr>
              <w:rPr>
                <w:rFonts w:ascii="Times New Roman" w:hAnsi="Times New Roman" w:cs="Times New Roman"/>
                <w:sz w:val="24"/>
                <w:szCs w:val="24"/>
              </w:rPr>
            </w:pPr>
            <w:r>
              <w:rPr>
                <w:rFonts w:ascii="Times New Roman" w:hAnsi="Times New Roman" w:cs="Times New Roman"/>
                <w:sz w:val="24"/>
                <w:szCs w:val="24"/>
              </w:rPr>
              <w:t>922</w:t>
            </w:r>
          </w:p>
        </w:tc>
        <w:tc>
          <w:tcPr>
            <w:tcW w:w="876" w:type="dxa"/>
          </w:tcPr>
          <w:p w14:paraId="1D92CC36" w14:textId="6E7B135C" w:rsidR="00F06324" w:rsidRDefault="006373E1" w:rsidP="00363717">
            <w:pPr>
              <w:rPr>
                <w:rFonts w:ascii="Times New Roman" w:hAnsi="Times New Roman" w:cs="Times New Roman"/>
                <w:sz w:val="24"/>
                <w:szCs w:val="24"/>
              </w:rPr>
            </w:pPr>
            <w:r>
              <w:rPr>
                <w:rFonts w:ascii="Times New Roman" w:hAnsi="Times New Roman" w:cs="Times New Roman"/>
                <w:sz w:val="24"/>
                <w:szCs w:val="24"/>
              </w:rPr>
              <w:t>1,104</w:t>
            </w:r>
          </w:p>
        </w:tc>
        <w:tc>
          <w:tcPr>
            <w:tcW w:w="921" w:type="dxa"/>
          </w:tcPr>
          <w:p w14:paraId="23B0F422" w14:textId="4C64ECBD" w:rsidR="00F06324" w:rsidRDefault="002C529F" w:rsidP="00363717">
            <w:pPr>
              <w:rPr>
                <w:rFonts w:ascii="Times New Roman" w:hAnsi="Times New Roman" w:cs="Times New Roman"/>
                <w:sz w:val="24"/>
                <w:szCs w:val="24"/>
              </w:rPr>
            </w:pPr>
            <w:r>
              <w:rPr>
                <w:rFonts w:ascii="Times New Roman" w:hAnsi="Times New Roman" w:cs="Times New Roman"/>
                <w:sz w:val="24"/>
                <w:szCs w:val="24"/>
              </w:rPr>
              <w:t>15,345</w:t>
            </w:r>
          </w:p>
        </w:tc>
      </w:tr>
      <w:tr w:rsidR="0044495E" w14:paraId="5D5391E9" w14:textId="77777777" w:rsidTr="0044495E">
        <w:trPr>
          <w:trHeight w:val="544"/>
        </w:trPr>
        <w:tc>
          <w:tcPr>
            <w:tcW w:w="1499" w:type="dxa"/>
          </w:tcPr>
          <w:p w14:paraId="4D1AAFB1" w14:textId="060DEDE8" w:rsidR="00F06324" w:rsidRDefault="003454E5" w:rsidP="00363717">
            <w:pPr>
              <w:rPr>
                <w:rFonts w:ascii="Times New Roman" w:hAnsi="Times New Roman" w:cs="Times New Roman"/>
                <w:sz w:val="24"/>
                <w:szCs w:val="24"/>
              </w:rPr>
            </w:pPr>
            <w:r>
              <w:rPr>
                <w:rFonts w:ascii="Times New Roman" w:hAnsi="Times New Roman" w:cs="Times New Roman"/>
                <w:sz w:val="24"/>
                <w:szCs w:val="24"/>
              </w:rPr>
              <w:t>New York</w:t>
            </w:r>
          </w:p>
        </w:tc>
        <w:tc>
          <w:tcPr>
            <w:tcW w:w="878" w:type="dxa"/>
          </w:tcPr>
          <w:p w14:paraId="13D3025A" w14:textId="05E3E941" w:rsidR="00F06324" w:rsidRDefault="004E3321" w:rsidP="00363717">
            <w:pPr>
              <w:rPr>
                <w:rFonts w:ascii="Times New Roman" w:hAnsi="Times New Roman" w:cs="Times New Roman"/>
                <w:sz w:val="24"/>
                <w:szCs w:val="24"/>
              </w:rPr>
            </w:pPr>
            <w:r>
              <w:rPr>
                <w:rFonts w:ascii="Times New Roman" w:hAnsi="Times New Roman" w:cs="Times New Roman"/>
                <w:sz w:val="24"/>
                <w:szCs w:val="24"/>
              </w:rPr>
              <w:t>1,771</w:t>
            </w:r>
          </w:p>
        </w:tc>
        <w:tc>
          <w:tcPr>
            <w:tcW w:w="877" w:type="dxa"/>
          </w:tcPr>
          <w:p w14:paraId="210E0380" w14:textId="14A942CF" w:rsidR="00F06324" w:rsidRDefault="004E3321" w:rsidP="00363717">
            <w:pPr>
              <w:rPr>
                <w:rFonts w:ascii="Times New Roman" w:hAnsi="Times New Roman" w:cs="Times New Roman"/>
                <w:sz w:val="24"/>
                <w:szCs w:val="24"/>
              </w:rPr>
            </w:pPr>
            <w:r>
              <w:rPr>
                <w:rFonts w:ascii="Times New Roman" w:hAnsi="Times New Roman" w:cs="Times New Roman"/>
                <w:sz w:val="24"/>
                <w:szCs w:val="24"/>
              </w:rPr>
              <w:t>2,432</w:t>
            </w:r>
          </w:p>
        </w:tc>
        <w:tc>
          <w:tcPr>
            <w:tcW w:w="877" w:type="dxa"/>
          </w:tcPr>
          <w:p w14:paraId="31A8FFF2" w14:textId="39FC0244" w:rsidR="00F06324" w:rsidRDefault="004E3321" w:rsidP="00363717">
            <w:pPr>
              <w:rPr>
                <w:rFonts w:ascii="Times New Roman" w:hAnsi="Times New Roman" w:cs="Times New Roman"/>
                <w:sz w:val="24"/>
                <w:szCs w:val="24"/>
              </w:rPr>
            </w:pPr>
            <w:r>
              <w:rPr>
                <w:rFonts w:ascii="Times New Roman" w:hAnsi="Times New Roman" w:cs="Times New Roman"/>
                <w:sz w:val="24"/>
                <w:szCs w:val="24"/>
              </w:rPr>
              <w:t>1,696</w:t>
            </w:r>
          </w:p>
        </w:tc>
        <w:tc>
          <w:tcPr>
            <w:tcW w:w="876" w:type="dxa"/>
          </w:tcPr>
          <w:p w14:paraId="3B6FB477" w14:textId="560FCE83" w:rsidR="00F06324" w:rsidRDefault="004E3321" w:rsidP="00363717">
            <w:pPr>
              <w:rPr>
                <w:rFonts w:ascii="Times New Roman" w:hAnsi="Times New Roman" w:cs="Times New Roman"/>
                <w:sz w:val="24"/>
                <w:szCs w:val="24"/>
              </w:rPr>
            </w:pPr>
            <w:r>
              <w:rPr>
                <w:rFonts w:ascii="Times New Roman" w:hAnsi="Times New Roman" w:cs="Times New Roman"/>
                <w:sz w:val="24"/>
                <w:szCs w:val="24"/>
              </w:rPr>
              <w:t>3,089</w:t>
            </w:r>
          </w:p>
        </w:tc>
        <w:tc>
          <w:tcPr>
            <w:tcW w:w="876" w:type="dxa"/>
          </w:tcPr>
          <w:p w14:paraId="476B12FF" w14:textId="28127ECD" w:rsidR="00F06324" w:rsidRDefault="004E3321" w:rsidP="00363717">
            <w:pPr>
              <w:rPr>
                <w:rFonts w:ascii="Times New Roman" w:hAnsi="Times New Roman" w:cs="Times New Roman"/>
                <w:sz w:val="24"/>
                <w:szCs w:val="24"/>
              </w:rPr>
            </w:pPr>
            <w:r>
              <w:rPr>
                <w:rFonts w:ascii="Times New Roman" w:hAnsi="Times New Roman" w:cs="Times New Roman"/>
                <w:sz w:val="24"/>
                <w:szCs w:val="24"/>
              </w:rPr>
              <w:t>6,850</w:t>
            </w:r>
          </w:p>
        </w:tc>
        <w:tc>
          <w:tcPr>
            <w:tcW w:w="876" w:type="dxa"/>
          </w:tcPr>
          <w:p w14:paraId="71C48B56" w14:textId="3D55A9D8" w:rsidR="00F06324" w:rsidRDefault="004E3321" w:rsidP="00363717">
            <w:pPr>
              <w:rPr>
                <w:rFonts w:ascii="Times New Roman" w:hAnsi="Times New Roman" w:cs="Times New Roman"/>
                <w:sz w:val="24"/>
                <w:szCs w:val="24"/>
              </w:rPr>
            </w:pPr>
            <w:r>
              <w:rPr>
                <w:rFonts w:ascii="Times New Roman" w:hAnsi="Times New Roman" w:cs="Times New Roman"/>
                <w:sz w:val="24"/>
                <w:szCs w:val="24"/>
              </w:rPr>
              <w:t>2,289</w:t>
            </w:r>
          </w:p>
        </w:tc>
        <w:tc>
          <w:tcPr>
            <w:tcW w:w="876" w:type="dxa"/>
          </w:tcPr>
          <w:p w14:paraId="1C22661E" w14:textId="2CEEF65F" w:rsidR="00F06324" w:rsidRDefault="004E3321" w:rsidP="00363717">
            <w:pPr>
              <w:rPr>
                <w:rFonts w:ascii="Times New Roman" w:hAnsi="Times New Roman" w:cs="Times New Roman"/>
                <w:sz w:val="24"/>
                <w:szCs w:val="24"/>
              </w:rPr>
            </w:pPr>
            <w:r>
              <w:rPr>
                <w:rFonts w:ascii="Times New Roman" w:hAnsi="Times New Roman" w:cs="Times New Roman"/>
                <w:sz w:val="24"/>
                <w:szCs w:val="24"/>
              </w:rPr>
              <w:t>4,487</w:t>
            </w:r>
          </w:p>
        </w:tc>
        <w:tc>
          <w:tcPr>
            <w:tcW w:w="876" w:type="dxa"/>
          </w:tcPr>
          <w:p w14:paraId="6EB45ABF" w14:textId="4E3BE268" w:rsidR="00F06324" w:rsidRDefault="004E3321" w:rsidP="00363717">
            <w:pPr>
              <w:rPr>
                <w:rFonts w:ascii="Times New Roman" w:hAnsi="Times New Roman" w:cs="Times New Roman"/>
                <w:sz w:val="24"/>
                <w:szCs w:val="24"/>
              </w:rPr>
            </w:pPr>
            <w:r>
              <w:rPr>
                <w:rFonts w:ascii="Times New Roman" w:hAnsi="Times New Roman" w:cs="Times New Roman"/>
                <w:sz w:val="24"/>
                <w:szCs w:val="24"/>
              </w:rPr>
              <w:t>2,075</w:t>
            </w:r>
          </w:p>
        </w:tc>
        <w:tc>
          <w:tcPr>
            <w:tcW w:w="921" w:type="dxa"/>
          </w:tcPr>
          <w:p w14:paraId="180A4707" w14:textId="28548D81" w:rsidR="00F06324" w:rsidRDefault="00A27116" w:rsidP="00363717">
            <w:pPr>
              <w:rPr>
                <w:rFonts w:ascii="Times New Roman" w:hAnsi="Times New Roman" w:cs="Times New Roman"/>
                <w:sz w:val="24"/>
                <w:szCs w:val="24"/>
              </w:rPr>
            </w:pPr>
            <w:r>
              <w:rPr>
                <w:rFonts w:ascii="Times New Roman" w:hAnsi="Times New Roman" w:cs="Times New Roman"/>
                <w:sz w:val="24"/>
                <w:szCs w:val="24"/>
              </w:rPr>
              <w:t>24,689</w:t>
            </w:r>
          </w:p>
        </w:tc>
      </w:tr>
      <w:tr w:rsidR="0044495E" w14:paraId="7B15BFA0" w14:textId="77777777" w:rsidTr="0044495E">
        <w:trPr>
          <w:trHeight w:val="544"/>
        </w:trPr>
        <w:tc>
          <w:tcPr>
            <w:tcW w:w="1499" w:type="dxa"/>
          </w:tcPr>
          <w:p w14:paraId="6A118497" w14:textId="4BE94424" w:rsidR="00F06324" w:rsidRDefault="00847048" w:rsidP="00363717">
            <w:pPr>
              <w:rPr>
                <w:rFonts w:ascii="Times New Roman" w:hAnsi="Times New Roman" w:cs="Times New Roman"/>
                <w:sz w:val="24"/>
                <w:szCs w:val="24"/>
              </w:rPr>
            </w:pPr>
            <w:r>
              <w:rPr>
                <w:rFonts w:ascii="Times New Roman" w:hAnsi="Times New Roman" w:cs="Times New Roman"/>
                <w:sz w:val="24"/>
                <w:szCs w:val="24"/>
              </w:rPr>
              <w:lastRenderedPageBreak/>
              <w:t>Arizona</w:t>
            </w:r>
          </w:p>
        </w:tc>
        <w:tc>
          <w:tcPr>
            <w:tcW w:w="878" w:type="dxa"/>
          </w:tcPr>
          <w:p w14:paraId="3D1872BE" w14:textId="4DE458B1" w:rsidR="00F06324" w:rsidRDefault="00805D63" w:rsidP="00363717">
            <w:pPr>
              <w:rPr>
                <w:rFonts w:ascii="Times New Roman" w:hAnsi="Times New Roman" w:cs="Times New Roman"/>
                <w:sz w:val="24"/>
                <w:szCs w:val="24"/>
              </w:rPr>
            </w:pPr>
            <w:r>
              <w:rPr>
                <w:rFonts w:ascii="Times New Roman" w:hAnsi="Times New Roman" w:cs="Times New Roman"/>
                <w:sz w:val="24"/>
                <w:szCs w:val="24"/>
              </w:rPr>
              <w:t>2,112</w:t>
            </w:r>
          </w:p>
        </w:tc>
        <w:tc>
          <w:tcPr>
            <w:tcW w:w="877" w:type="dxa"/>
          </w:tcPr>
          <w:p w14:paraId="6DF6AD5A" w14:textId="15898B52" w:rsidR="00F06324" w:rsidRDefault="00805D63" w:rsidP="00363717">
            <w:pPr>
              <w:rPr>
                <w:rFonts w:ascii="Times New Roman" w:hAnsi="Times New Roman" w:cs="Times New Roman"/>
                <w:sz w:val="24"/>
                <w:szCs w:val="24"/>
              </w:rPr>
            </w:pPr>
            <w:r>
              <w:rPr>
                <w:rFonts w:ascii="Times New Roman" w:hAnsi="Times New Roman" w:cs="Times New Roman"/>
                <w:sz w:val="24"/>
                <w:szCs w:val="24"/>
              </w:rPr>
              <w:t>1,042</w:t>
            </w:r>
          </w:p>
        </w:tc>
        <w:tc>
          <w:tcPr>
            <w:tcW w:w="877" w:type="dxa"/>
          </w:tcPr>
          <w:p w14:paraId="2B6536BB" w14:textId="1FE5DA28" w:rsidR="00F06324" w:rsidRDefault="00805D63" w:rsidP="00363717">
            <w:pPr>
              <w:rPr>
                <w:rFonts w:ascii="Times New Roman" w:hAnsi="Times New Roman" w:cs="Times New Roman"/>
                <w:sz w:val="24"/>
                <w:szCs w:val="24"/>
              </w:rPr>
            </w:pPr>
            <w:r>
              <w:rPr>
                <w:rFonts w:ascii="Times New Roman" w:hAnsi="Times New Roman" w:cs="Times New Roman"/>
                <w:sz w:val="24"/>
                <w:szCs w:val="24"/>
              </w:rPr>
              <w:t>3,984</w:t>
            </w:r>
          </w:p>
        </w:tc>
        <w:tc>
          <w:tcPr>
            <w:tcW w:w="876" w:type="dxa"/>
          </w:tcPr>
          <w:p w14:paraId="64F16019" w14:textId="16D5E4DC" w:rsidR="00F06324" w:rsidRDefault="00805D63" w:rsidP="00363717">
            <w:pPr>
              <w:rPr>
                <w:rFonts w:ascii="Times New Roman" w:hAnsi="Times New Roman" w:cs="Times New Roman"/>
                <w:sz w:val="24"/>
                <w:szCs w:val="24"/>
              </w:rPr>
            </w:pPr>
            <w:r>
              <w:rPr>
                <w:rFonts w:ascii="Times New Roman" w:hAnsi="Times New Roman" w:cs="Times New Roman"/>
                <w:sz w:val="24"/>
                <w:szCs w:val="24"/>
              </w:rPr>
              <w:t>1,692</w:t>
            </w:r>
          </w:p>
        </w:tc>
        <w:tc>
          <w:tcPr>
            <w:tcW w:w="876" w:type="dxa"/>
          </w:tcPr>
          <w:p w14:paraId="1B0099D1" w14:textId="778DBEE9" w:rsidR="00F06324" w:rsidRDefault="00805D63" w:rsidP="00363717">
            <w:pPr>
              <w:rPr>
                <w:rFonts w:ascii="Times New Roman" w:hAnsi="Times New Roman" w:cs="Times New Roman"/>
                <w:sz w:val="24"/>
                <w:szCs w:val="24"/>
              </w:rPr>
            </w:pPr>
            <w:r>
              <w:rPr>
                <w:rFonts w:ascii="Times New Roman" w:hAnsi="Times New Roman" w:cs="Times New Roman"/>
                <w:sz w:val="24"/>
                <w:szCs w:val="24"/>
              </w:rPr>
              <w:t>2,516</w:t>
            </w:r>
          </w:p>
        </w:tc>
        <w:tc>
          <w:tcPr>
            <w:tcW w:w="876" w:type="dxa"/>
          </w:tcPr>
          <w:p w14:paraId="0119AEA3" w14:textId="73D3E21B" w:rsidR="00F06324" w:rsidRDefault="00E14020" w:rsidP="00363717">
            <w:pPr>
              <w:rPr>
                <w:rFonts w:ascii="Times New Roman" w:hAnsi="Times New Roman" w:cs="Times New Roman"/>
                <w:sz w:val="24"/>
                <w:szCs w:val="24"/>
              </w:rPr>
            </w:pPr>
            <w:r>
              <w:rPr>
                <w:rFonts w:ascii="Times New Roman" w:hAnsi="Times New Roman" w:cs="Times New Roman"/>
                <w:sz w:val="24"/>
                <w:szCs w:val="24"/>
              </w:rPr>
              <w:t>1,935</w:t>
            </w:r>
          </w:p>
        </w:tc>
        <w:tc>
          <w:tcPr>
            <w:tcW w:w="876" w:type="dxa"/>
          </w:tcPr>
          <w:p w14:paraId="514D502C" w14:textId="0DBC9CAB" w:rsidR="00F06324" w:rsidRDefault="00E14020" w:rsidP="00363717">
            <w:pPr>
              <w:rPr>
                <w:rFonts w:ascii="Times New Roman" w:hAnsi="Times New Roman" w:cs="Times New Roman"/>
                <w:sz w:val="24"/>
                <w:szCs w:val="24"/>
              </w:rPr>
            </w:pPr>
            <w:r>
              <w:rPr>
                <w:rFonts w:ascii="Times New Roman" w:hAnsi="Times New Roman" w:cs="Times New Roman"/>
                <w:sz w:val="24"/>
                <w:szCs w:val="24"/>
              </w:rPr>
              <w:t>955</w:t>
            </w:r>
          </w:p>
        </w:tc>
        <w:tc>
          <w:tcPr>
            <w:tcW w:w="876" w:type="dxa"/>
          </w:tcPr>
          <w:p w14:paraId="1E09813A" w14:textId="7AFC9650" w:rsidR="00F06324" w:rsidRDefault="00E14020" w:rsidP="00363717">
            <w:pPr>
              <w:rPr>
                <w:rFonts w:ascii="Times New Roman" w:hAnsi="Times New Roman" w:cs="Times New Roman"/>
                <w:sz w:val="24"/>
                <w:szCs w:val="24"/>
              </w:rPr>
            </w:pPr>
            <w:r>
              <w:rPr>
                <w:rFonts w:ascii="Times New Roman" w:hAnsi="Times New Roman" w:cs="Times New Roman"/>
                <w:sz w:val="24"/>
                <w:szCs w:val="24"/>
              </w:rPr>
              <w:t>1,074</w:t>
            </w:r>
          </w:p>
        </w:tc>
        <w:tc>
          <w:tcPr>
            <w:tcW w:w="921" w:type="dxa"/>
          </w:tcPr>
          <w:p w14:paraId="6DAF59D2" w14:textId="118AD46C" w:rsidR="00F06324" w:rsidRDefault="00B6663B" w:rsidP="00363717">
            <w:pPr>
              <w:rPr>
                <w:rFonts w:ascii="Times New Roman" w:hAnsi="Times New Roman" w:cs="Times New Roman"/>
                <w:sz w:val="24"/>
                <w:szCs w:val="24"/>
              </w:rPr>
            </w:pPr>
            <w:r>
              <w:rPr>
                <w:rFonts w:ascii="Times New Roman" w:hAnsi="Times New Roman" w:cs="Times New Roman"/>
                <w:sz w:val="24"/>
                <w:szCs w:val="24"/>
              </w:rPr>
              <w:t>15,310</w:t>
            </w:r>
          </w:p>
        </w:tc>
      </w:tr>
      <w:tr w:rsidR="0044495E" w14:paraId="76CA7B5A" w14:textId="77777777" w:rsidTr="0044495E">
        <w:trPr>
          <w:trHeight w:val="544"/>
        </w:trPr>
        <w:tc>
          <w:tcPr>
            <w:tcW w:w="1499" w:type="dxa"/>
          </w:tcPr>
          <w:p w14:paraId="0C656486" w14:textId="2C941A70" w:rsidR="00F06324" w:rsidRDefault="00847048" w:rsidP="00363717">
            <w:pPr>
              <w:rPr>
                <w:rFonts w:ascii="Times New Roman" w:hAnsi="Times New Roman" w:cs="Times New Roman"/>
                <w:sz w:val="24"/>
                <w:szCs w:val="24"/>
              </w:rPr>
            </w:pPr>
            <w:r>
              <w:rPr>
                <w:rFonts w:ascii="Times New Roman" w:hAnsi="Times New Roman" w:cs="Times New Roman"/>
                <w:sz w:val="24"/>
                <w:szCs w:val="24"/>
              </w:rPr>
              <w:t>Wyoming</w:t>
            </w:r>
          </w:p>
        </w:tc>
        <w:tc>
          <w:tcPr>
            <w:tcW w:w="878" w:type="dxa"/>
          </w:tcPr>
          <w:p w14:paraId="28CE24D9" w14:textId="7952FA4E" w:rsidR="00F06324" w:rsidRDefault="00EE45EC" w:rsidP="00363717">
            <w:pPr>
              <w:rPr>
                <w:rFonts w:ascii="Times New Roman" w:hAnsi="Times New Roman" w:cs="Times New Roman"/>
                <w:sz w:val="24"/>
                <w:szCs w:val="24"/>
              </w:rPr>
            </w:pPr>
            <w:r>
              <w:rPr>
                <w:rFonts w:ascii="Times New Roman" w:hAnsi="Times New Roman" w:cs="Times New Roman"/>
                <w:sz w:val="24"/>
                <w:szCs w:val="24"/>
              </w:rPr>
              <w:t>1,839</w:t>
            </w:r>
          </w:p>
        </w:tc>
        <w:tc>
          <w:tcPr>
            <w:tcW w:w="877" w:type="dxa"/>
          </w:tcPr>
          <w:p w14:paraId="07686D34" w14:textId="306161F3" w:rsidR="00F06324" w:rsidRDefault="00EE45EC" w:rsidP="00363717">
            <w:pPr>
              <w:rPr>
                <w:rFonts w:ascii="Times New Roman" w:hAnsi="Times New Roman" w:cs="Times New Roman"/>
                <w:sz w:val="24"/>
                <w:szCs w:val="24"/>
              </w:rPr>
            </w:pPr>
            <w:r>
              <w:rPr>
                <w:rFonts w:ascii="Times New Roman" w:hAnsi="Times New Roman" w:cs="Times New Roman"/>
                <w:sz w:val="24"/>
                <w:szCs w:val="24"/>
              </w:rPr>
              <w:t>1,784</w:t>
            </w:r>
          </w:p>
        </w:tc>
        <w:tc>
          <w:tcPr>
            <w:tcW w:w="877" w:type="dxa"/>
          </w:tcPr>
          <w:p w14:paraId="4C322B99" w14:textId="3A855807" w:rsidR="00F06324" w:rsidRDefault="00EE45EC" w:rsidP="00363717">
            <w:pPr>
              <w:rPr>
                <w:rFonts w:ascii="Times New Roman" w:hAnsi="Times New Roman" w:cs="Times New Roman"/>
                <w:sz w:val="24"/>
                <w:szCs w:val="24"/>
              </w:rPr>
            </w:pPr>
            <w:r>
              <w:rPr>
                <w:rFonts w:ascii="Times New Roman" w:hAnsi="Times New Roman" w:cs="Times New Roman"/>
                <w:sz w:val="24"/>
                <w:szCs w:val="24"/>
              </w:rPr>
              <w:t>1,745</w:t>
            </w:r>
          </w:p>
        </w:tc>
        <w:tc>
          <w:tcPr>
            <w:tcW w:w="876" w:type="dxa"/>
          </w:tcPr>
          <w:p w14:paraId="3BBF5FE7" w14:textId="12E8C11B" w:rsidR="00F06324" w:rsidRDefault="00EE45EC" w:rsidP="00363717">
            <w:pPr>
              <w:rPr>
                <w:rFonts w:ascii="Times New Roman" w:hAnsi="Times New Roman" w:cs="Times New Roman"/>
                <w:sz w:val="24"/>
                <w:szCs w:val="24"/>
              </w:rPr>
            </w:pPr>
            <w:r>
              <w:rPr>
                <w:rFonts w:ascii="Times New Roman" w:hAnsi="Times New Roman" w:cs="Times New Roman"/>
                <w:sz w:val="24"/>
                <w:szCs w:val="24"/>
              </w:rPr>
              <w:t>1,329</w:t>
            </w:r>
          </w:p>
        </w:tc>
        <w:tc>
          <w:tcPr>
            <w:tcW w:w="876" w:type="dxa"/>
          </w:tcPr>
          <w:p w14:paraId="37CEFA29" w14:textId="642D5D67" w:rsidR="00F06324" w:rsidRDefault="00EE45EC" w:rsidP="00363717">
            <w:pPr>
              <w:rPr>
                <w:rFonts w:ascii="Times New Roman" w:hAnsi="Times New Roman" w:cs="Times New Roman"/>
                <w:sz w:val="24"/>
                <w:szCs w:val="24"/>
              </w:rPr>
            </w:pPr>
            <w:r>
              <w:rPr>
                <w:rFonts w:ascii="Times New Roman" w:hAnsi="Times New Roman" w:cs="Times New Roman"/>
                <w:sz w:val="24"/>
                <w:szCs w:val="24"/>
              </w:rPr>
              <w:t>1,091</w:t>
            </w:r>
          </w:p>
        </w:tc>
        <w:tc>
          <w:tcPr>
            <w:tcW w:w="876" w:type="dxa"/>
          </w:tcPr>
          <w:p w14:paraId="1A5FB730" w14:textId="28B31DC9" w:rsidR="00F06324" w:rsidRDefault="00EE45EC" w:rsidP="00363717">
            <w:pPr>
              <w:rPr>
                <w:rFonts w:ascii="Times New Roman" w:hAnsi="Times New Roman" w:cs="Times New Roman"/>
                <w:sz w:val="24"/>
                <w:szCs w:val="24"/>
              </w:rPr>
            </w:pPr>
            <w:r>
              <w:rPr>
                <w:rFonts w:ascii="Times New Roman" w:hAnsi="Times New Roman" w:cs="Times New Roman"/>
                <w:sz w:val="24"/>
                <w:szCs w:val="24"/>
              </w:rPr>
              <w:t>789</w:t>
            </w:r>
          </w:p>
        </w:tc>
        <w:tc>
          <w:tcPr>
            <w:tcW w:w="876" w:type="dxa"/>
          </w:tcPr>
          <w:p w14:paraId="65035A11" w14:textId="30C29065" w:rsidR="00F06324" w:rsidRDefault="006B7A99" w:rsidP="00363717">
            <w:pPr>
              <w:rPr>
                <w:rFonts w:ascii="Times New Roman" w:hAnsi="Times New Roman" w:cs="Times New Roman"/>
                <w:sz w:val="24"/>
                <w:szCs w:val="24"/>
              </w:rPr>
            </w:pPr>
            <w:r>
              <w:rPr>
                <w:rFonts w:ascii="Times New Roman" w:hAnsi="Times New Roman" w:cs="Times New Roman"/>
                <w:sz w:val="24"/>
                <w:szCs w:val="24"/>
              </w:rPr>
              <w:t>799</w:t>
            </w:r>
          </w:p>
        </w:tc>
        <w:tc>
          <w:tcPr>
            <w:tcW w:w="876" w:type="dxa"/>
          </w:tcPr>
          <w:p w14:paraId="4CA32FC4" w14:textId="7EBDBA4B" w:rsidR="00F06324" w:rsidRDefault="006B7A99" w:rsidP="00363717">
            <w:pPr>
              <w:rPr>
                <w:rFonts w:ascii="Times New Roman" w:hAnsi="Times New Roman" w:cs="Times New Roman"/>
                <w:sz w:val="24"/>
                <w:szCs w:val="24"/>
              </w:rPr>
            </w:pPr>
            <w:r>
              <w:rPr>
                <w:rFonts w:ascii="Times New Roman" w:hAnsi="Times New Roman" w:cs="Times New Roman"/>
                <w:sz w:val="24"/>
                <w:szCs w:val="24"/>
              </w:rPr>
              <w:t>865</w:t>
            </w:r>
          </w:p>
        </w:tc>
        <w:tc>
          <w:tcPr>
            <w:tcW w:w="921" w:type="dxa"/>
          </w:tcPr>
          <w:p w14:paraId="2B6C5A21" w14:textId="776EC4B4" w:rsidR="00F06324" w:rsidRDefault="00EE45EC" w:rsidP="00363717">
            <w:pPr>
              <w:rPr>
                <w:rFonts w:ascii="Times New Roman" w:hAnsi="Times New Roman" w:cs="Times New Roman"/>
                <w:sz w:val="24"/>
                <w:szCs w:val="24"/>
              </w:rPr>
            </w:pPr>
            <w:r>
              <w:rPr>
                <w:rFonts w:ascii="Times New Roman" w:hAnsi="Times New Roman" w:cs="Times New Roman"/>
                <w:sz w:val="24"/>
                <w:szCs w:val="24"/>
              </w:rPr>
              <w:t>10,241</w:t>
            </w:r>
          </w:p>
        </w:tc>
      </w:tr>
      <w:tr w:rsidR="0044495E" w14:paraId="2AEC9000" w14:textId="77777777" w:rsidTr="0044495E">
        <w:trPr>
          <w:trHeight w:val="544"/>
        </w:trPr>
        <w:tc>
          <w:tcPr>
            <w:tcW w:w="1499" w:type="dxa"/>
          </w:tcPr>
          <w:p w14:paraId="50EB23F4" w14:textId="19DAD04E" w:rsidR="00F06324" w:rsidRDefault="00847048" w:rsidP="00363717">
            <w:pPr>
              <w:rPr>
                <w:rFonts w:ascii="Times New Roman" w:hAnsi="Times New Roman" w:cs="Times New Roman"/>
                <w:sz w:val="24"/>
                <w:szCs w:val="24"/>
              </w:rPr>
            </w:pPr>
            <w:r>
              <w:rPr>
                <w:rFonts w:ascii="Times New Roman" w:hAnsi="Times New Roman" w:cs="Times New Roman"/>
                <w:sz w:val="24"/>
                <w:szCs w:val="24"/>
              </w:rPr>
              <w:t>South Dakota</w:t>
            </w:r>
          </w:p>
        </w:tc>
        <w:tc>
          <w:tcPr>
            <w:tcW w:w="878" w:type="dxa"/>
          </w:tcPr>
          <w:p w14:paraId="67CF3602" w14:textId="0E71386C" w:rsidR="00F06324" w:rsidRDefault="00893C4E" w:rsidP="00363717">
            <w:pPr>
              <w:rPr>
                <w:rFonts w:ascii="Times New Roman" w:hAnsi="Times New Roman" w:cs="Times New Roman"/>
                <w:sz w:val="24"/>
                <w:szCs w:val="24"/>
              </w:rPr>
            </w:pPr>
            <w:r>
              <w:rPr>
                <w:rFonts w:ascii="Times New Roman" w:hAnsi="Times New Roman" w:cs="Times New Roman"/>
                <w:sz w:val="24"/>
                <w:szCs w:val="24"/>
              </w:rPr>
              <w:t>1,743</w:t>
            </w:r>
          </w:p>
        </w:tc>
        <w:tc>
          <w:tcPr>
            <w:tcW w:w="877" w:type="dxa"/>
          </w:tcPr>
          <w:p w14:paraId="1357D9EC" w14:textId="1EA35BE3" w:rsidR="00F06324" w:rsidRDefault="00893C4E" w:rsidP="00363717">
            <w:pPr>
              <w:rPr>
                <w:rFonts w:ascii="Times New Roman" w:hAnsi="Times New Roman" w:cs="Times New Roman"/>
                <w:sz w:val="24"/>
                <w:szCs w:val="24"/>
              </w:rPr>
            </w:pPr>
            <w:r>
              <w:rPr>
                <w:rFonts w:ascii="Times New Roman" w:hAnsi="Times New Roman" w:cs="Times New Roman"/>
                <w:sz w:val="24"/>
                <w:szCs w:val="24"/>
              </w:rPr>
              <w:t>1,286</w:t>
            </w:r>
          </w:p>
        </w:tc>
        <w:tc>
          <w:tcPr>
            <w:tcW w:w="877" w:type="dxa"/>
          </w:tcPr>
          <w:p w14:paraId="2C4FFB7E" w14:textId="4DCC7876" w:rsidR="00F06324" w:rsidRDefault="00893C4E" w:rsidP="00363717">
            <w:pPr>
              <w:rPr>
                <w:rFonts w:ascii="Times New Roman" w:hAnsi="Times New Roman" w:cs="Times New Roman"/>
                <w:sz w:val="24"/>
                <w:szCs w:val="24"/>
              </w:rPr>
            </w:pPr>
            <w:r>
              <w:rPr>
                <w:rFonts w:ascii="Times New Roman" w:hAnsi="Times New Roman" w:cs="Times New Roman"/>
                <w:sz w:val="24"/>
                <w:szCs w:val="24"/>
              </w:rPr>
              <w:t>1,186</w:t>
            </w:r>
          </w:p>
        </w:tc>
        <w:tc>
          <w:tcPr>
            <w:tcW w:w="876" w:type="dxa"/>
          </w:tcPr>
          <w:p w14:paraId="136FD290" w14:textId="4D21F4EB" w:rsidR="00F06324" w:rsidRDefault="005B0C55" w:rsidP="00363717">
            <w:pPr>
              <w:rPr>
                <w:rFonts w:ascii="Times New Roman" w:hAnsi="Times New Roman" w:cs="Times New Roman"/>
                <w:sz w:val="24"/>
                <w:szCs w:val="24"/>
              </w:rPr>
            </w:pPr>
            <w:r>
              <w:rPr>
                <w:rFonts w:ascii="Times New Roman" w:hAnsi="Times New Roman" w:cs="Times New Roman"/>
                <w:sz w:val="24"/>
                <w:szCs w:val="24"/>
              </w:rPr>
              <w:t>1,286</w:t>
            </w:r>
          </w:p>
        </w:tc>
        <w:tc>
          <w:tcPr>
            <w:tcW w:w="876" w:type="dxa"/>
          </w:tcPr>
          <w:p w14:paraId="43EDA438" w14:textId="64148E31" w:rsidR="00F06324" w:rsidRDefault="005B0C55" w:rsidP="00363717">
            <w:pPr>
              <w:rPr>
                <w:rFonts w:ascii="Times New Roman" w:hAnsi="Times New Roman" w:cs="Times New Roman"/>
                <w:sz w:val="24"/>
                <w:szCs w:val="24"/>
              </w:rPr>
            </w:pPr>
            <w:r>
              <w:rPr>
                <w:rFonts w:ascii="Times New Roman" w:hAnsi="Times New Roman" w:cs="Times New Roman"/>
                <w:sz w:val="24"/>
                <w:szCs w:val="24"/>
              </w:rPr>
              <w:t>915</w:t>
            </w:r>
          </w:p>
        </w:tc>
        <w:tc>
          <w:tcPr>
            <w:tcW w:w="876" w:type="dxa"/>
          </w:tcPr>
          <w:p w14:paraId="0EC1E43E" w14:textId="39958A60" w:rsidR="00F06324" w:rsidRDefault="005B0C55" w:rsidP="00363717">
            <w:pPr>
              <w:rPr>
                <w:rFonts w:ascii="Times New Roman" w:hAnsi="Times New Roman" w:cs="Times New Roman"/>
                <w:sz w:val="24"/>
                <w:szCs w:val="24"/>
              </w:rPr>
            </w:pPr>
            <w:r>
              <w:rPr>
                <w:rFonts w:ascii="Times New Roman" w:hAnsi="Times New Roman" w:cs="Times New Roman"/>
                <w:sz w:val="24"/>
                <w:szCs w:val="24"/>
              </w:rPr>
              <w:t>1,095</w:t>
            </w:r>
          </w:p>
        </w:tc>
        <w:tc>
          <w:tcPr>
            <w:tcW w:w="876" w:type="dxa"/>
          </w:tcPr>
          <w:p w14:paraId="3F5DE794" w14:textId="6D6EBD7C" w:rsidR="00F06324" w:rsidRDefault="005B0C55" w:rsidP="00363717">
            <w:pPr>
              <w:rPr>
                <w:rFonts w:ascii="Times New Roman" w:hAnsi="Times New Roman" w:cs="Times New Roman"/>
                <w:sz w:val="24"/>
                <w:szCs w:val="24"/>
              </w:rPr>
            </w:pPr>
            <w:r>
              <w:rPr>
                <w:rFonts w:ascii="Times New Roman" w:hAnsi="Times New Roman" w:cs="Times New Roman"/>
                <w:sz w:val="24"/>
                <w:szCs w:val="24"/>
              </w:rPr>
              <w:t>1,013</w:t>
            </w:r>
          </w:p>
        </w:tc>
        <w:tc>
          <w:tcPr>
            <w:tcW w:w="876" w:type="dxa"/>
          </w:tcPr>
          <w:p w14:paraId="1089F66E" w14:textId="136F60D5" w:rsidR="00F06324" w:rsidRDefault="005B0C55" w:rsidP="00363717">
            <w:pPr>
              <w:rPr>
                <w:rFonts w:ascii="Times New Roman" w:hAnsi="Times New Roman" w:cs="Times New Roman"/>
                <w:sz w:val="24"/>
                <w:szCs w:val="24"/>
              </w:rPr>
            </w:pPr>
            <w:r>
              <w:rPr>
                <w:rFonts w:ascii="Times New Roman" w:hAnsi="Times New Roman" w:cs="Times New Roman"/>
                <w:sz w:val="24"/>
                <w:szCs w:val="24"/>
              </w:rPr>
              <w:t>842</w:t>
            </w:r>
          </w:p>
        </w:tc>
        <w:tc>
          <w:tcPr>
            <w:tcW w:w="921" w:type="dxa"/>
          </w:tcPr>
          <w:p w14:paraId="17BF8F63" w14:textId="5B3BEBF3" w:rsidR="00F06324" w:rsidRDefault="00893C4E" w:rsidP="00363717">
            <w:pPr>
              <w:rPr>
                <w:rFonts w:ascii="Times New Roman" w:hAnsi="Times New Roman" w:cs="Times New Roman"/>
                <w:sz w:val="24"/>
                <w:szCs w:val="24"/>
              </w:rPr>
            </w:pPr>
            <w:r>
              <w:rPr>
                <w:rFonts w:ascii="Times New Roman" w:hAnsi="Times New Roman" w:cs="Times New Roman"/>
                <w:sz w:val="24"/>
                <w:szCs w:val="24"/>
              </w:rPr>
              <w:t>9,366</w:t>
            </w:r>
          </w:p>
        </w:tc>
      </w:tr>
      <w:tr w:rsidR="0044495E" w14:paraId="7BFB8D78" w14:textId="77777777" w:rsidTr="0044495E">
        <w:trPr>
          <w:trHeight w:val="554"/>
        </w:trPr>
        <w:tc>
          <w:tcPr>
            <w:tcW w:w="1499" w:type="dxa"/>
          </w:tcPr>
          <w:p w14:paraId="505D0AF8" w14:textId="6967AF08" w:rsidR="00F06324" w:rsidRDefault="00847048" w:rsidP="00363717">
            <w:pPr>
              <w:rPr>
                <w:rFonts w:ascii="Times New Roman" w:hAnsi="Times New Roman" w:cs="Times New Roman"/>
                <w:sz w:val="24"/>
                <w:szCs w:val="24"/>
              </w:rPr>
            </w:pPr>
            <w:r>
              <w:rPr>
                <w:rFonts w:ascii="Times New Roman" w:hAnsi="Times New Roman" w:cs="Times New Roman"/>
                <w:sz w:val="24"/>
                <w:szCs w:val="24"/>
              </w:rPr>
              <w:t>Kansas</w:t>
            </w:r>
          </w:p>
        </w:tc>
        <w:tc>
          <w:tcPr>
            <w:tcW w:w="878" w:type="dxa"/>
          </w:tcPr>
          <w:p w14:paraId="1C7AA410" w14:textId="2CDE4242" w:rsidR="00F06324" w:rsidRDefault="00D82673" w:rsidP="00363717">
            <w:pPr>
              <w:rPr>
                <w:rFonts w:ascii="Times New Roman" w:hAnsi="Times New Roman" w:cs="Times New Roman"/>
                <w:sz w:val="24"/>
                <w:szCs w:val="24"/>
              </w:rPr>
            </w:pPr>
            <w:r>
              <w:rPr>
                <w:rFonts w:ascii="Times New Roman" w:hAnsi="Times New Roman" w:cs="Times New Roman"/>
                <w:sz w:val="24"/>
                <w:szCs w:val="24"/>
              </w:rPr>
              <w:t>3,175</w:t>
            </w:r>
          </w:p>
        </w:tc>
        <w:tc>
          <w:tcPr>
            <w:tcW w:w="877" w:type="dxa"/>
          </w:tcPr>
          <w:p w14:paraId="27F4B6BB" w14:textId="3FED1D1A" w:rsidR="00F06324" w:rsidRDefault="00D82673" w:rsidP="00363717">
            <w:pPr>
              <w:rPr>
                <w:rFonts w:ascii="Times New Roman" w:hAnsi="Times New Roman" w:cs="Times New Roman"/>
                <w:sz w:val="24"/>
                <w:szCs w:val="24"/>
              </w:rPr>
            </w:pPr>
            <w:r>
              <w:rPr>
                <w:rFonts w:ascii="Times New Roman" w:hAnsi="Times New Roman" w:cs="Times New Roman"/>
                <w:sz w:val="24"/>
                <w:szCs w:val="24"/>
              </w:rPr>
              <w:t>5,528</w:t>
            </w:r>
          </w:p>
        </w:tc>
        <w:tc>
          <w:tcPr>
            <w:tcW w:w="877" w:type="dxa"/>
          </w:tcPr>
          <w:p w14:paraId="7212F142" w14:textId="5B12B04F" w:rsidR="00F06324" w:rsidRDefault="00D82673" w:rsidP="00363717">
            <w:pPr>
              <w:rPr>
                <w:rFonts w:ascii="Times New Roman" w:hAnsi="Times New Roman" w:cs="Times New Roman"/>
                <w:sz w:val="24"/>
                <w:szCs w:val="24"/>
              </w:rPr>
            </w:pPr>
            <w:r>
              <w:rPr>
                <w:rFonts w:ascii="Times New Roman" w:hAnsi="Times New Roman" w:cs="Times New Roman"/>
                <w:sz w:val="24"/>
                <w:szCs w:val="24"/>
              </w:rPr>
              <w:t>2,333</w:t>
            </w:r>
          </w:p>
        </w:tc>
        <w:tc>
          <w:tcPr>
            <w:tcW w:w="876" w:type="dxa"/>
          </w:tcPr>
          <w:p w14:paraId="5BBE5C33" w14:textId="64AF4156" w:rsidR="00F06324" w:rsidRDefault="00D82673" w:rsidP="00363717">
            <w:pPr>
              <w:rPr>
                <w:rFonts w:ascii="Times New Roman" w:hAnsi="Times New Roman" w:cs="Times New Roman"/>
                <w:sz w:val="24"/>
                <w:szCs w:val="24"/>
              </w:rPr>
            </w:pPr>
            <w:r>
              <w:rPr>
                <w:rFonts w:ascii="Times New Roman" w:hAnsi="Times New Roman" w:cs="Times New Roman"/>
                <w:sz w:val="24"/>
                <w:szCs w:val="24"/>
              </w:rPr>
              <w:t>3,285</w:t>
            </w:r>
          </w:p>
        </w:tc>
        <w:tc>
          <w:tcPr>
            <w:tcW w:w="876" w:type="dxa"/>
          </w:tcPr>
          <w:p w14:paraId="30E3E7AC" w14:textId="3E97AFDD" w:rsidR="00F06324" w:rsidRDefault="00D82673" w:rsidP="00363717">
            <w:pPr>
              <w:rPr>
                <w:rFonts w:ascii="Times New Roman" w:hAnsi="Times New Roman" w:cs="Times New Roman"/>
                <w:sz w:val="24"/>
                <w:szCs w:val="24"/>
              </w:rPr>
            </w:pPr>
            <w:r>
              <w:rPr>
                <w:rFonts w:ascii="Times New Roman" w:hAnsi="Times New Roman" w:cs="Times New Roman"/>
                <w:sz w:val="24"/>
                <w:szCs w:val="24"/>
              </w:rPr>
              <w:t>1,798</w:t>
            </w:r>
          </w:p>
        </w:tc>
        <w:tc>
          <w:tcPr>
            <w:tcW w:w="876" w:type="dxa"/>
          </w:tcPr>
          <w:p w14:paraId="323B6E7A" w14:textId="736F7EA9" w:rsidR="00F06324" w:rsidRDefault="00B141BA" w:rsidP="00363717">
            <w:pPr>
              <w:rPr>
                <w:rFonts w:ascii="Times New Roman" w:hAnsi="Times New Roman" w:cs="Times New Roman"/>
                <w:sz w:val="24"/>
                <w:szCs w:val="24"/>
              </w:rPr>
            </w:pPr>
            <w:r>
              <w:rPr>
                <w:rFonts w:ascii="Times New Roman" w:hAnsi="Times New Roman" w:cs="Times New Roman"/>
                <w:sz w:val="24"/>
                <w:szCs w:val="24"/>
              </w:rPr>
              <w:t>2,153</w:t>
            </w:r>
          </w:p>
        </w:tc>
        <w:tc>
          <w:tcPr>
            <w:tcW w:w="876" w:type="dxa"/>
          </w:tcPr>
          <w:p w14:paraId="2D0A129E" w14:textId="45BF9601" w:rsidR="00F06324" w:rsidRDefault="00B141BA" w:rsidP="00363717">
            <w:pPr>
              <w:rPr>
                <w:rFonts w:ascii="Times New Roman" w:hAnsi="Times New Roman" w:cs="Times New Roman"/>
                <w:sz w:val="24"/>
                <w:szCs w:val="24"/>
              </w:rPr>
            </w:pPr>
            <w:r>
              <w:rPr>
                <w:rFonts w:ascii="Times New Roman" w:hAnsi="Times New Roman" w:cs="Times New Roman"/>
                <w:sz w:val="24"/>
                <w:szCs w:val="24"/>
              </w:rPr>
              <w:t>1,552</w:t>
            </w:r>
          </w:p>
        </w:tc>
        <w:tc>
          <w:tcPr>
            <w:tcW w:w="876" w:type="dxa"/>
          </w:tcPr>
          <w:p w14:paraId="7678F822" w14:textId="0ECFD484" w:rsidR="00F06324" w:rsidRDefault="00B141BA" w:rsidP="00363717">
            <w:pPr>
              <w:rPr>
                <w:rFonts w:ascii="Times New Roman" w:hAnsi="Times New Roman" w:cs="Times New Roman"/>
                <w:sz w:val="24"/>
                <w:szCs w:val="24"/>
              </w:rPr>
            </w:pPr>
            <w:r>
              <w:rPr>
                <w:rFonts w:ascii="Times New Roman" w:hAnsi="Times New Roman" w:cs="Times New Roman"/>
                <w:sz w:val="24"/>
                <w:szCs w:val="24"/>
              </w:rPr>
              <w:t>984</w:t>
            </w:r>
          </w:p>
        </w:tc>
        <w:tc>
          <w:tcPr>
            <w:tcW w:w="921" w:type="dxa"/>
          </w:tcPr>
          <w:p w14:paraId="19D42E29" w14:textId="04FD4D9D" w:rsidR="00F06324" w:rsidRDefault="00D82673" w:rsidP="00363717">
            <w:pPr>
              <w:rPr>
                <w:rFonts w:ascii="Times New Roman" w:hAnsi="Times New Roman" w:cs="Times New Roman"/>
                <w:sz w:val="24"/>
                <w:szCs w:val="24"/>
              </w:rPr>
            </w:pPr>
            <w:r>
              <w:rPr>
                <w:rFonts w:ascii="Times New Roman" w:hAnsi="Times New Roman" w:cs="Times New Roman"/>
                <w:sz w:val="24"/>
                <w:szCs w:val="24"/>
              </w:rPr>
              <w:t>20,808</w:t>
            </w:r>
          </w:p>
        </w:tc>
      </w:tr>
      <w:tr w:rsidR="0044495E" w14:paraId="68176020" w14:textId="77777777" w:rsidTr="0044495E">
        <w:trPr>
          <w:trHeight w:val="544"/>
        </w:trPr>
        <w:tc>
          <w:tcPr>
            <w:tcW w:w="1499" w:type="dxa"/>
          </w:tcPr>
          <w:p w14:paraId="7C6F25BB" w14:textId="31DBC8B6" w:rsidR="00F06324" w:rsidRDefault="00847048" w:rsidP="00363717">
            <w:pPr>
              <w:rPr>
                <w:rFonts w:ascii="Times New Roman" w:hAnsi="Times New Roman" w:cs="Times New Roman"/>
                <w:sz w:val="24"/>
                <w:szCs w:val="24"/>
              </w:rPr>
            </w:pPr>
            <w:r>
              <w:rPr>
                <w:rFonts w:ascii="Times New Roman" w:hAnsi="Times New Roman" w:cs="Times New Roman"/>
                <w:sz w:val="24"/>
                <w:szCs w:val="24"/>
              </w:rPr>
              <w:t>Total</w:t>
            </w:r>
          </w:p>
        </w:tc>
        <w:tc>
          <w:tcPr>
            <w:tcW w:w="878" w:type="dxa"/>
          </w:tcPr>
          <w:p w14:paraId="4F0781ED" w14:textId="0D654CB6" w:rsidR="00F06324" w:rsidRDefault="00E97815" w:rsidP="00363717">
            <w:pPr>
              <w:rPr>
                <w:rFonts w:ascii="Times New Roman" w:hAnsi="Times New Roman" w:cs="Times New Roman"/>
                <w:sz w:val="24"/>
                <w:szCs w:val="24"/>
              </w:rPr>
            </w:pPr>
            <w:r>
              <w:rPr>
                <w:rFonts w:ascii="Times New Roman" w:hAnsi="Times New Roman" w:cs="Times New Roman"/>
                <w:sz w:val="24"/>
                <w:szCs w:val="24"/>
              </w:rPr>
              <w:t>39,910</w:t>
            </w:r>
          </w:p>
        </w:tc>
        <w:tc>
          <w:tcPr>
            <w:tcW w:w="877" w:type="dxa"/>
          </w:tcPr>
          <w:p w14:paraId="6E1038D6" w14:textId="3C34B5B1" w:rsidR="00F06324" w:rsidRDefault="00607AA5" w:rsidP="00363717">
            <w:pPr>
              <w:rPr>
                <w:rFonts w:ascii="Times New Roman" w:hAnsi="Times New Roman" w:cs="Times New Roman"/>
                <w:sz w:val="24"/>
                <w:szCs w:val="24"/>
              </w:rPr>
            </w:pPr>
            <w:r>
              <w:rPr>
                <w:rFonts w:ascii="Times New Roman" w:hAnsi="Times New Roman" w:cs="Times New Roman"/>
                <w:sz w:val="24"/>
                <w:szCs w:val="24"/>
              </w:rPr>
              <w:t>36,780</w:t>
            </w:r>
          </w:p>
        </w:tc>
        <w:tc>
          <w:tcPr>
            <w:tcW w:w="877" w:type="dxa"/>
          </w:tcPr>
          <w:p w14:paraId="7F615E7A" w14:textId="7E11A766" w:rsidR="00F06324" w:rsidRDefault="00DE72C4" w:rsidP="00363717">
            <w:pPr>
              <w:rPr>
                <w:rFonts w:ascii="Times New Roman" w:hAnsi="Times New Roman" w:cs="Times New Roman"/>
                <w:sz w:val="24"/>
                <w:szCs w:val="24"/>
              </w:rPr>
            </w:pPr>
            <w:r>
              <w:rPr>
                <w:rFonts w:ascii="Times New Roman" w:hAnsi="Times New Roman" w:cs="Times New Roman"/>
                <w:sz w:val="24"/>
                <w:szCs w:val="24"/>
              </w:rPr>
              <w:t>31,329</w:t>
            </w:r>
          </w:p>
        </w:tc>
        <w:tc>
          <w:tcPr>
            <w:tcW w:w="876" w:type="dxa"/>
          </w:tcPr>
          <w:p w14:paraId="55726E86" w14:textId="7367863C" w:rsidR="00F06324" w:rsidRDefault="00195E6E" w:rsidP="00363717">
            <w:pPr>
              <w:rPr>
                <w:rFonts w:ascii="Times New Roman" w:hAnsi="Times New Roman" w:cs="Times New Roman"/>
                <w:sz w:val="24"/>
                <w:szCs w:val="24"/>
              </w:rPr>
            </w:pPr>
            <w:r>
              <w:rPr>
                <w:rFonts w:ascii="Times New Roman" w:hAnsi="Times New Roman" w:cs="Times New Roman"/>
                <w:sz w:val="24"/>
                <w:szCs w:val="24"/>
              </w:rPr>
              <w:t>28,648</w:t>
            </w:r>
          </w:p>
        </w:tc>
        <w:tc>
          <w:tcPr>
            <w:tcW w:w="876" w:type="dxa"/>
          </w:tcPr>
          <w:p w14:paraId="2206DC6E" w14:textId="3108E9B4" w:rsidR="00F06324" w:rsidRDefault="008018B5" w:rsidP="00363717">
            <w:pPr>
              <w:rPr>
                <w:rFonts w:ascii="Times New Roman" w:hAnsi="Times New Roman" w:cs="Times New Roman"/>
                <w:sz w:val="24"/>
                <w:szCs w:val="24"/>
              </w:rPr>
            </w:pPr>
            <w:r>
              <w:rPr>
                <w:rFonts w:ascii="Times New Roman" w:hAnsi="Times New Roman" w:cs="Times New Roman"/>
                <w:sz w:val="24"/>
                <w:szCs w:val="24"/>
              </w:rPr>
              <w:t>29,596</w:t>
            </w:r>
          </w:p>
        </w:tc>
        <w:tc>
          <w:tcPr>
            <w:tcW w:w="876" w:type="dxa"/>
          </w:tcPr>
          <w:p w14:paraId="7C4321F4" w14:textId="5FA9BCD3" w:rsidR="00F06324" w:rsidRDefault="00D71E77" w:rsidP="00363717">
            <w:pPr>
              <w:rPr>
                <w:rFonts w:ascii="Times New Roman" w:hAnsi="Times New Roman" w:cs="Times New Roman"/>
                <w:sz w:val="24"/>
                <w:szCs w:val="24"/>
              </w:rPr>
            </w:pPr>
            <w:r>
              <w:rPr>
                <w:rFonts w:ascii="Times New Roman" w:hAnsi="Times New Roman" w:cs="Times New Roman"/>
                <w:sz w:val="24"/>
                <w:szCs w:val="24"/>
              </w:rPr>
              <w:t>21,874</w:t>
            </w:r>
          </w:p>
        </w:tc>
        <w:tc>
          <w:tcPr>
            <w:tcW w:w="876" w:type="dxa"/>
          </w:tcPr>
          <w:p w14:paraId="367A7E1C" w14:textId="39B138E6" w:rsidR="00F06324" w:rsidRDefault="00BC7178" w:rsidP="00363717">
            <w:pPr>
              <w:rPr>
                <w:rFonts w:ascii="Times New Roman" w:hAnsi="Times New Roman" w:cs="Times New Roman"/>
                <w:sz w:val="24"/>
                <w:szCs w:val="24"/>
              </w:rPr>
            </w:pPr>
            <w:r>
              <w:rPr>
                <w:rFonts w:ascii="Times New Roman" w:hAnsi="Times New Roman" w:cs="Times New Roman"/>
                <w:sz w:val="24"/>
                <w:szCs w:val="24"/>
              </w:rPr>
              <w:t>20,401</w:t>
            </w:r>
          </w:p>
        </w:tc>
        <w:tc>
          <w:tcPr>
            <w:tcW w:w="876" w:type="dxa"/>
          </w:tcPr>
          <w:p w14:paraId="1444C460" w14:textId="7DFAF8CF" w:rsidR="00F06324" w:rsidRDefault="00372221" w:rsidP="00363717">
            <w:pPr>
              <w:rPr>
                <w:rFonts w:ascii="Times New Roman" w:hAnsi="Times New Roman" w:cs="Times New Roman"/>
                <w:sz w:val="24"/>
                <w:szCs w:val="24"/>
              </w:rPr>
            </w:pPr>
            <w:r>
              <w:rPr>
                <w:rFonts w:ascii="Times New Roman" w:hAnsi="Times New Roman" w:cs="Times New Roman"/>
                <w:sz w:val="24"/>
                <w:szCs w:val="24"/>
              </w:rPr>
              <w:t>16,76</w:t>
            </w:r>
            <w:r w:rsidR="0044495E">
              <w:rPr>
                <w:rFonts w:ascii="Times New Roman" w:hAnsi="Times New Roman" w:cs="Times New Roman"/>
                <w:sz w:val="24"/>
                <w:szCs w:val="24"/>
              </w:rPr>
              <w:t>5</w:t>
            </w:r>
          </w:p>
        </w:tc>
        <w:tc>
          <w:tcPr>
            <w:tcW w:w="921" w:type="dxa"/>
          </w:tcPr>
          <w:p w14:paraId="2D2E664D" w14:textId="15000B84" w:rsidR="00F06324" w:rsidRDefault="0044495E" w:rsidP="00363717">
            <w:pPr>
              <w:rPr>
                <w:rFonts w:ascii="Times New Roman" w:hAnsi="Times New Roman" w:cs="Times New Roman"/>
                <w:sz w:val="24"/>
                <w:szCs w:val="24"/>
              </w:rPr>
            </w:pPr>
            <w:r>
              <w:rPr>
                <w:rFonts w:ascii="Times New Roman" w:hAnsi="Times New Roman" w:cs="Times New Roman"/>
                <w:sz w:val="24"/>
                <w:szCs w:val="24"/>
              </w:rPr>
              <w:t>225,</w:t>
            </w:r>
            <w:r w:rsidR="00876A04">
              <w:rPr>
                <w:rFonts w:ascii="Times New Roman" w:hAnsi="Times New Roman" w:cs="Times New Roman"/>
                <w:sz w:val="24"/>
                <w:szCs w:val="24"/>
              </w:rPr>
              <w:t>303</w:t>
            </w:r>
          </w:p>
        </w:tc>
      </w:tr>
    </w:tbl>
    <w:p w14:paraId="6FF8CF75" w14:textId="77777777" w:rsidR="00F06324" w:rsidRDefault="00F06324" w:rsidP="00363717">
      <w:pPr>
        <w:rPr>
          <w:rFonts w:ascii="Times New Roman" w:hAnsi="Times New Roman" w:cs="Times New Roman"/>
          <w:sz w:val="24"/>
          <w:szCs w:val="24"/>
        </w:rPr>
      </w:pPr>
    </w:p>
    <w:p w14:paraId="4071CF82" w14:textId="05817A3F" w:rsidR="0077476C" w:rsidRDefault="0077476C" w:rsidP="00363717">
      <w:pPr>
        <w:rPr>
          <w:rFonts w:ascii="Times New Roman" w:hAnsi="Times New Roman" w:cs="Times New Roman"/>
          <w:sz w:val="24"/>
          <w:szCs w:val="24"/>
        </w:rPr>
      </w:pPr>
      <w:r>
        <w:rPr>
          <w:rFonts w:ascii="Times New Roman" w:hAnsi="Times New Roman" w:cs="Times New Roman"/>
          <w:sz w:val="24"/>
          <w:szCs w:val="24"/>
        </w:rPr>
        <w:tab/>
        <w:t xml:space="preserve">With respect to the actual logistics of working with the data, </w:t>
      </w:r>
      <w:r w:rsidR="00B75373">
        <w:rPr>
          <w:rFonts w:ascii="Times New Roman" w:hAnsi="Times New Roman" w:cs="Times New Roman"/>
          <w:sz w:val="24"/>
          <w:szCs w:val="24"/>
        </w:rPr>
        <w:t xml:space="preserve">we </w:t>
      </w:r>
      <w:r w:rsidR="000938E4">
        <w:rPr>
          <w:rFonts w:ascii="Times New Roman" w:hAnsi="Times New Roman" w:cs="Times New Roman"/>
          <w:sz w:val="24"/>
          <w:szCs w:val="24"/>
        </w:rPr>
        <w:t xml:space="preserve">now </w:t>
      </w:r>
      <w:r w:rsidR="00B75373">
        <w:rPr>
          <w:rFonts w:ascii="Times New Roman" w:hAnsi="Times New Roman" w:cs="Times New Roman"/>
          <w:sz w:val="24"/>
          <w:szCs w:val="24"/>
        </w:rPr>
        <w:t xml:space="preserve">focus on the variables of interest within the dataset. We can break down the variables into outcomes that we are looking to measure, and </w:t>
      </w:r>
      <w:r w:rsidR="00864A10">
        <w:rPr>
          <w:rFonts w:ascii="Times New Roman" w:hAnsi="Times New Roman" w:cs="Times New Roman"/>
          <w:sz w:val="24"/>
          <w:szCs w:val="24"/>
        </w:rPr>
        <w:t xml:space="preserve">the features </w:t>
      </w:r>
      <w:r w:rsidR="00A51A6C">
        <w:rPr>
          <w:rFonts w:ascii="Times New Roman" w:hAnsi="Times New Roman" w:cs="Times New Roman"/>
          <w:sz w:val="24"/>
          <w:szCs w:val="24"/>
        </w:rPr>
        <w:t>[</w:t>
      </w:r>
      <w:r w:rsidR="00864A10">
        <w:rPr>
          <w:rFonts w:ascii="Times New Roman" w:hAnsi="Times New Roman" w:cs="Times New Roman"/>
          <w:sz w:val="24"/>
          <w:szCs w:val="24"/>
        </w:rPr>
        <w:t>or predictors</w:t>
      </w:r>
      <w:r w:rsidR="00A51A6C">
        <w:rPr>
          <w:rFonts w:ascii="Times New Roman" w:hAnsi="Times New Roman" w:cs="Times New Roman"/>
          <w:sz w:val="24"/>
          <w:szCs w:val="24"/>
        </w:rPr>
        <w:t>]</w:t>
      </w:r>
      <w:r w:rsidR="00864A10">
        <w:rPr>
          <w:rFonts w:ascii="Times New Roman" w:hAnsi="Times New Roman" w:cs="Times New Roman"/>
          <w:sz w:val="24"/>
          <w:szCs w:val="24"/>
        </w:rPr>
        <w:t xml:space="preserve"> of those outcomes. </w:t>
      </w:r>
      <w:r w:rsidR="00B45954">
        <w:rPr>
          <w:rFonts w:ascii="Times New Roman" w:hAnsi="Times New Roman" w:cs="Times New Roman"/>
          <w:sz w:val="24"/>
          <w:szCs w:val="24"/>
        </w:rPr>
        <w:t xml:space="preserve">Below is a list of both outcomes and predictors that </w:t>
      </w:r>
      <w:r w:rsidR="003D7C77">
        <w:rPr>
          <w:rFonts w:ascii="Times New Roman" w:hAnsi="Times New Roman" w:cs="Times New Roman"/>
          <w:sz w:val="24"/>
          <w:szCs w:val="24"/>
        </w:rPr>
        <w:t xml:space="preserve">were utilized </w:t>
      </w:r>
      <w:r w:rsidR="00F7310F">
        <w:rPr>
          <w:rFonts w:ascii="Times New Roman" w:hAnsi="Times New Roman" w:cs="Times New Roman"/>
          <w:sz w:val="24"/>
          <w:szCs w:val="24"/>
        </w:rPr>
        <w:t>when conducting this research</w:t>
      </w:r>
      <w:r w:rsidR="00734F2A">
        <w:rPr>
          <w:rFonts w:ascii="Times New Roman" w:hAnsi="Times New Roman" w:cs="Times New Roman"/>
          <w:sz w:val="24"/>
          <w:szCs w:val="24"/>
        </w:rPr>
        <w:t xml:space="preserve">. </w:t>
      </w:r>
      <w:r w:rsidR="00C9304E">
        <w:rPr>
          <w:rFonts w:ascii="Times New Roman" w:hAnsi="Times New Roman" w:cs="Times New Roman"/>
          <w:sz w:val="24"/>
          <w:szCs w:val="24"/>
        </w:rPr>
        <w:t>Survey respondents have a pre-determined set of possible responses</w:t>
      </w:r>
      <w:r w:rsidR="00CE5DF4">
        <w:rPr>
          <w:rFonts w:ascii="Times New Roman" w:hAnsi="Times New Roman" w:cs="Times New Roman"/>
          <w:sz w:val="24"/>
          <w:szCs w:val="24"/>
        </w:rPr>
        <w:t xml:space="preserve"> </w:t>
      </w:r>
      <w:r w:rsidR="00A51A6C">
        <w:rPr>
          <w:rFonts w:ascii="Times New Roman" w:hAnsi="Times New Roman" w:cs="Times New Roman"/>
          <w:sz w:val="24"/>
          <w:szCs w:val="24"/>
        </w:rPr>
        <w:t>[</w:t>
      </w:r>
      <w:r w:rsidR="00021EDA">
        <w:rPr>
          <w:rFonts w:ascii="Times New Roman" w:hAnsi="Times New Roman" w:cs="Times New Roman"/>
          <w:sz w:val="24"/>
          <w:szCs w:val="24"/>
        </w:rPr>
        <w:t>i.e.,</w:t>
      </w:r>
      <w:r w:rsidR="00CE5DF4">
        <w:rPr>
          <w:rFonts w:ascii="Times New Roman" w:hAnsi="Times New Roman" w:cs="Times New Roman"/>
          <w:sz w:val="24"/>
          <w:szCs w:val="24"/>
        </w:rPr>
        <w:t xml:space="preserve"> factor levels</w:t>
      </w:r>
      <w:r w:rsidR="00A51A6C">
        <w:rPr>
          <w:rFonts w:ascii="Times New Roman" w:hAnsi="Times New Roman" w:cs="Times New Roman"/>
          <w:sz w:val="24"/>
          <w:szCs w:val="24"/>
        </w:rPr>
        <w:t>]</w:t>
      </w:r>
      <w:r w:rsidR="00C9304E">
        <w:rPr>
          <w:rFonts w:ascii="Times New Roman" w:hAnsi="Times New Roman" w:cs="Times New Roman"/>
          <w:sz w:val="24"/>
          <w:szCs w:val="24"/>
        </w:rPr>
        <w:t xml:space="preserve"> to each question below</w:t>
      </w:r>
      <w:r w:rsidR="00CE5DF4">
        <w:rPr>
          <w:rFonts w:ascii="Times New Roman" w:hAnsi="Times New Roman" w:cs="Times New Roman"/>
          <w:sz w:val="24"/>
          <w:szCs w:val="24"/>
        </w:rPr>
        <w:t>—most of those</w:t>
      </w:r>
      <w:r w:rsidR="00F63255">
        <w:rPr>
          <w:rFonts w:ascii="Times New Roman" w:hAnsi="Times New Roman" w:cs="Times New Roman"/>
          <w:sz w:val="24"/>
          <w:szCs w:val="24"/>
        </w:rPr>
        <w:t xml:space="preserve"> factor levels </w:t>
      </w:r>
      <w:r w:rsidR="00295BA1">
        <w:rPr>
          <w:rFonts w:ascii="Times New Roman" w:hAnsi="Times New Roman" w:cs="Times New Roman"/>
          <w:sz w:val="24"/>
          <w:szCs w:val="24"/>
        </w:rPr>
        <w:t>have been re-coded for our purposes</w:t>
      </w:r>
      <w:r w:rsidR="00F63255">
        <w:rPr>
          <w:rFonts w:ascii="Times New Roman" w:hAnsi="Times New Roman" w:cs="Times New Roman"/>
          <w:sz w:val="24"/>
          <w:szCs w:val="24"/>
        </w:rPr>
        <w:t xml:space="preserve">, particularly to condense </w:t>
      </w:r>
      <w:r w:rsidR="004D7D22">
        <w:rPr>
          <w:rFonts w:ascii="Times New Roman" w:hAnsi="Times New Roman" w:cs="Times New Roman"/>
          <w:sz w:val="24"/>
          <w:szCs w:val="24"/>
        </w:rPr>
        <w:t xml:space="preserve">multinomial </w:t>
      </w:r>
      <w:r w:rsidR="008331A6">
        <w:rPr>
          <w:rFonts w:ascii="Times New Roman" w:hAnsi="Times New Roman" w:cs="Times New Roman"/>
          <w:sz w:val="24"/>
          <w:szCs w:val="24"/>
        </w:rPr>
        <w:t>variables into a more traditional binary form</w:t>
      </w:r>
      <w:r w:rsidR="000B170F">
        <w:rPr>
          <w:rFonts w:ascii="Times New Roman" w:hAnsi="Times New Roman" w:cs="Times New Roman"/>
          <w:sz w:val="24"/>
          <w:szCs w:val="24"/>
        </w:rPr>
        <w:t>.</w:t>
      </w:r>
      <w:r w:rsidR="008331A6">
        <w:rPr>
          <w:rFonts w:ascii="Times New Roman" w:hAnsi="Times New Roman" w:cs="Times New Roman"/>
          <w:sz w:val="24"/>
          <w:szCs w:val="24"/>
        </w:rPr>
        <w:t xml:space="preserve"> Further explanation </w:t>
      </w:r>
      <w:r w:rsidR="00641326">
        <w:rPr>
          <w:rFonts w:ascii="Times New Roman" w:hAnsi="Times New Roman" w:cs="Times New Roman"/>
          <w:sz w:val="24"/>
          <w:szCs w:val="24"/>
        </w:rPr>
        <w:t xml:space="preserve">of the re-coding is present within </w:t>
      </w:r>
      <w:r w:rsidR="00AE37C9">
        <w:rPr>
          <w:rFonts w:ascii="Times New Roman" w:hAnsi="Times New Roman" w:cs="Times New Roman"/>
          <w:sz w:val="24"/>
          <w:szCs w:val="24"/>
        </w:rPr>
        <w:t>Section 4</w:t>
      </w:r>
      <w:r w:rsidR="00641326">
        <w:rPr>
          <w:rFonts w:ascii="Times New Roman" w:hAnsi="Times New Roman" w:cs="Times New Roman"/>
          <w:sz w:val="24"/>
          <w:szCs w:val="24"/>
        </w:rPr>
        <w:t xml:space="preserve">, as this re-coding is primarily conducted to </w:t>
      </w:r>
      <w:r w:rsidR="00BC1A49">
        <w:rPr>
          <w:rFonts w:ascii="Times New Roman" w:hAnsi="Times New Roman" w:cs="Times New Roman"/>
          <w:sz w:val="24"/>
          <w:szCs w:val="24"/>
        </w:rPr>
        <w:t>match our model’s conceptual framework.</w:t>
      </w:r>
      <w:r w:rsidR="000B170F">
        <w:rPr>
          <w:rFonts w:ascii="Times New Roman" w:hAnsi="Times New Roman" w:cs="Times New Roman"/>
          <w:sz w:val="24"/>
          <w:szCs w:val="24"/>
        </w:rPr>
        <w:t xml:space="preserve"> </w:t>
      </w:r>
      <w:r w:rsidR="000F21A2">
        <w:rPr>
          <w:rFonts w:ascii="Times New Roman" w:hAnsi="Times New Roman" w:cs="Times New Roman"/>
          <w:sz w:val="24"/>
          <w:szCs w:val="24"/>
        </w:rPr>
        <w:t xml:space="preserve">For the sake of brevity and </w:t>
      </w:r>
      <w:r w:rsidR="000D0DE2">
        <w:rPr>
          <w:rFonts w:ascii="Times New Roman" w:hAnsi="Times New Roman" w:cs="Times New Roman"/>
          <w:sz w:val="24"/>
          <w:szCs w:val="24"/>
        </w:rPr>
        <w:t xml:space="preserve">readability, </w:t>
      </w:r>
      <w:r w:rsidR="00E172E9">
        <w:rPr>
          <w:rFonts w:ascii="Times New Roman" w:hAnsi="Times New Roman" w:cs="Times New Roman"/>
          <w:sz w:val="24"/>
          <w:szCs w:val="24"/>
        </w:rPr>
        <w:t>these response levels will be omitted here</w:t>
      </w:r>
      <w:r w:rsidR="000D0DE2">
        <w:rPr>
          <w:rFonts w:ascii="Times New Roman" w:hAnsi="Times New Roman" w:cs="Times New Roman"/>
          <w:sz w:val="24"/>
          <w:szCs w:val="24"/>
        </w:rPr>
        <w:t>, but one can find t</w:t>
      </w:r>
      <w:r w:rsidR="000C6DC5">
        <w:rPr>
          <w:rFonts w:ascii="Times New Roman" w:hAnsi="Times New Roman" w:cs="Times New Roman"/>
          <w:sz w:val="24"/>
          <w:szCs w:val="24"/>
        </w:rPr>
        <w:t>hem</w:t>
      </w:r>
      <w:r w:rsidR="007E05FC">
        <w:rPr>
          <w:rFonts w:ascii="Times New Roman" w:hAnsi="Times New Roman" w:cs="Times New Roman"/>
          <w:sz w:val="24"/>
          <w:szCs w:val="24"/>
        </w:rPr>
        <w:t>,</w:t>
      </w:r>
      <w:r w:rsidR="000C6DC5">
        <w:rPr>
          <w:rFonts w:ascii="Times New Roman" w:hAnsi="Times New Roman" w:cs="Times New Roman"/>
          <w:sz w:val="24"/>
          <w:szCs w:val="24"/>
        </w:rPr>
        <w:t xml:space="preserve"> as well as</w:t>
      </w:r>
      <w:r w:rsidR="007E05FC">
        <w:rPr>
          <w:rFonts w:ascii="Times New Roman" w:hAnsi="Times New Roman" w:cs="Times New Roman"/>
          <w:sz w:val="24"/>
          <w:szCs w:val="24"/>
        </w:rPr>
        <w:t xml:space="preserve"> each</w:t>
      </w:r>
      <w:r w:rsidR="000C6DC5">
        <w:rPr>
          <w:rFonts w:ascii="Times New Roman" w:hAnsi="Times New Roman" w:cs="Times New Roman"/>
          <w:sz w:val="24"/>
          <w:szCs w:val="24"/>
        </w:rPr>
        <w:t xml:space="preserve"> encoded variable name</w:t>
      </w:r>
      <w:r w:rsidR="007E05FC">
        <w:rPr>
          <w:rFonts w:ascii="Times New Roman" w:hAnsi="Times New Roman" w:cs="Times New Roman"/>
          <w:sz w:val="24"/>
          <w:szCs w:val="24"/>
        </w:rPr>
        <w:t>,</w:t>
      </w:r>
      <w:r w:rsidR="000C6DC5">
        <w:rPr>
          <w:rFonts w:ascii="Times New Roman" w:hAnsi="Times New Roman" w:cs="Times New Roman"/>
          <w:sz w:val="24"/>
          <w:szCs w:val="24"/>
        </w:rPr>
        <w:t xml:space="preserve"> at the BRFSS website under the “Codebook” </w:t>
      </w:r>
      <w:r w:rsidR="007E05FC">
        <w:rPr>
          <w:rFonts w:ascii="Times New Roman" w:hAnsi="Times New Roman" w:cs="Times New Roman"/>
          <w:sz w:val="24"/>
          <w:szCs w:val="24"/>
        </w:rPr>
        <w:t>section for each survey year post-2011.</w:t>
      </w:r>
      <w:r w:rsidR="00CE5DF4">
        <w:rPr>
          <w:rFonts w:ascii="Times New Roman" w:hAnsi="Times New Roman" w:cs="Times New Roman"/>
          <w:sz w:val="24"/>
          <w:szCs w:val="24"/>
        </w:rPr>
        <w:t xml:space="preserve"> </w:t>
      </w:r>
      <w:r w:rsidR="00E646E7">
        <w:rPr>
          <w:rFonts w:ascii="Times New Roman" w:hAnsi="Times New Roman" w:cs="Times New Roman"/>
          <w:sz w:val="24"/>
          <w:szCs w:val="24"/>
        </w:rPr>
        <w:t xml:space="preserve">Portions of questions contained in brackets are </w:t>
      </w:r>
      <w:r w:rsidR="00BF7517">
        <w:rPr>
          <w:rFonts w:ascii="Times New Roman" w:hAnsi="Times New Roman" w:cs="Times New Roman"/>
          <w:sz w:val="24"/>
          <w:szCs w:val="24"/>
        </w:rPr>
        <w:t>additional</w:t>
      </w:r>
      <w:r w:rsidR="00E646E7">
        <w:rPr>
          <w:rFonts w:ascii="Times New Roman" w:hAnsi="Times New Roman" w:cs="Times New Roman"/>
          <w:sz w:val="24"/>
          <w:szCs w:val="24"/>
        </w:rPr>
        <w:t xml:space="preserve"> </w:t>
      </w:r>
      <w:r w:rsidR="00EC64F8">
        <w:rPr>
          <w:rFonts w:ascii="Times New Roman" w:hAnsi="Times New Roman" w:cs="Times New Roman"/>
          <w:sz w:val="24"/>
          <w:szCs w:val="24"/>
        </w:rPr>
        <w:t>needed clarification</w:t>
      </w:r>
      <w:r w:rsidR="00BF7517">
        <w:rPr>
          <w:rFonts w:ascii="Times New Roman" w:hAnsi="Times New Roman" w:cs="Times New Roman"/>
          <w:sz w:val="24"/>
          <w:szCs w:val="24"/>
        </w:rPr>
        <w:t>s</w:t>
      </w:r>
      <w:r w:rsidR="00EC64F8">
        <w:rPr>
          <w:rFonts w:ascii="Times New Roman" w:hAnsi="Times New Roman" w:cs="Times New Roman"/>
          <w:sz w:val="24"/>
          <w:szCs w:val="24"/>
        </w:rPr>
        <w:t xml:space="preserve"> </w:t>
      </w:r>
      <w:r w:rsidR="00D4628A">
        <w:rPr>
          <w:rFonts w:ascii="Times New Roman" w:hAnsi="Times New Roman" w:cs="Times New Roman"/>
          <w:sz w:val="24"/>
          <w:szCs w:val="24"/>
        </w:rPr>
        <w:t>provided</w:t>
      </w:r>
      <w:r w:rsidR="00750DA0">
        <w:rPr>
          <w:rFonts w:ascii="Times New Roman" w:hAnsi="Times New Roman" w:cs="Times New Roman"/>
          <w:sz w:val="24"/>
          <w:szCs w:val="24"/>
        </w:rPr>
        <w:t xml:space="preserve"> by the author:</w:t>
      </w:r>
    </w:p>
    <w:p w14:paraId="277D0443" w14:textId="7D4FAC81" w:rsidR="00734F2A" w:rsidRDefault="00734F2A" w:rsidP="00734F2A">
      <w:pPr>
        <w:jc w:val="center"/>
        <w:rPr>
          <w:rFonts w:ascii="Times New Roman" w:hAnsi="Times New Roman" w:cs="Times New Roman"/>
          <w:b/>
          <w:bCs/>
          <w:sz w:val="24"/>
          <w:szCs w:val="24"/>
        </w:rPr>
      </w:pPr>
      <w:r>
        <w:rPr>
          <w:rFonts w:ascii="Times New Roman" w:hAnsi="Times New Roman" w:cs="Times New Roman"/>
          <w:b/>
          <w:bCs/>
          <w:sz w:val="24"/>
          <w:szCs w:val="24"/>
        </w:rPr>
        <w:t>Outcomes:</w:t>
      </w:r>
    </w:p>
    <w:p w14:paraId="7499BB7C" w14:textId="152F3FB0" w:rsidR="00734F2A" w:rsidRDefault="00567102" w:rsidP="00734F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t>
      </w:r>
      <w:r w:rsidR="00BC5C4C">
        <w:rPr>
          <w:rFonts w:ascii="Times New Roman" w:hAnsi="Times New Roman" w:cs="Times New Roman"/>
          <w:sz w:val="24"/>
          <w:szCs w:val="24"/>
        </w:rPr>
        <w:t>I</w:t>
      </w:r>
      <w:r w:rsidR="00527182">
        <w:rPr>
          <w:rFonts w:ascii="Times New Roman" w:hAnsi="Times New Roman" w:cs="Times New Roman"/>
          <w:sz w:val="24"/>
          <w:szCs w:val="24"/>
        </w:rPr>
        <w:t>n general</w:t>
      </w:r>
      <w:r w:rsidR="00BC5C4C">
        <w:rPr>
          <w:rFonts w:ascii="Times New Roman" w:hAnsi="Times New Roman" w:cs="Times New Roman"/>
          <w:sz w:val="24"/>
          <w:szCs w:val="24"/>
        </w:rPr>
        <w:t>,</w:t>
      </w:r>
      <w:r w:rsidR="00527182">
        <w:rPr>
          <w:rFonts w:ascii="Times New Roman" w:hAnsi="Times New Roman" w:cs="Times New Roman"/>
          <w:sz w:val="24"/>
          <w:szCs w:val="24"/>
        </w:rPr>
        <w:t xml:space="preserve"> your health is</w:t>
      </w:r>
      <w:r w:rsidR="002B2038">
        <w:rPr>
          <w:rFonts w:ascii="Times New Roman" w:hAnsi="Times New Roman" w:cs="Times New Roman"/>
          <w:sz w:val="24"/>
          <w:szCs w:val="24"/>
        </w:rPr>
        <w:t xml:space="preserve"> [how good</w:t>
      </w:r>
      <w:r w:rsidR="009B2800">
        <w:rPr>
          <w:rFonts w:ascii="Times New Roman" w:hAnsi="Times New Roman" w:cs="Times New Roman"/>
          <w:sz w:val="24"/>
          <w:szCs w:val="24"/>
        </w:rPr>
        <w:t>/poor</w:t>
      </w:r>
      <w:r w:rsidR="002B2038">
        <w:rPr>
          <w:rFonts w:ascii="Times New Roman" w:hAnsi="Times New Roman" w:cs="Times New Roman"/>
          <w:sz w:val="24"/>
          <w:szCs w:val="24"/>
        </w:rPr>
        <w:t>?]</w:t>
      </w:r>
      <w:r w:rsidR="00527182">
        <w:rPr>
          <w:rFonts w:ascii="Times New Roman" w:hAnsi="Times New Roman" w:cs="Times New Roman"/>
          <w:sz w:val="24"/>
          <w:szCs w:val="24"/>
        </w:rPr>
        <w:t>:”</w:t>
      </w:r>
    </w:p>
    <w:p w14:paraId="410A260B" w14:textId="46BE3134" w:rsidR="00272C96" w:rsidRDefault="00B503E8" w:rsidP="00734F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“Now thinking about your </w:t>
      </w:r>
      <w:r w:rsidR="009B2800">
        <w:rPr>
          <w:rFonts w:ascii="Times New Roman" w:hAnsi="Times New Roman" w:cs="Times New Roman"/>
          <w:sz w:val="24"/>
          <w:szCs w:val="24"/>
        </w:rPr>
        <w:t>physical</w:t>
      </w:r>
      <w:r w:rsidR="001B5861">
        <w:rPr>
          <w:rFonts w:ascii="Times New Roman" w:hAnsi="Times New Roman" w:cs="Times New Roman"/>
          <w:sz w:val="24"/>
          <w:szCs w:val="24"/>
        </w:rPr>
        <w:t xml:space="preserve"> health, for how many days during the past 30 days was your physical health not good?”</w:t>
      </w:r>
    </w:p>
    <w:p w14:paraId="56D50F8F" w14:textId="368D4929" w:rsidR="009B2800" w:rsidRDefault="009B2800" w:rsidP="009B28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“Now thinking about your mental health, for how many days during the past 30 days was your mental health not good?”</w:t>
      </w:r>
    </w:p>
    <w:p w14:paraId="653C690F" w14:textId="3E20C4D6" w:rsidR="0023319E" w:rsidRPr="009B2800" w:rsidRDefault="0023319E" w:rsidP="009B28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t>
      </w:r>
      <w:r w:rsidRPr="0023319E">
        <w:rPr>
          <w:rFonts w:ascii="Times New Roman" w:hAnsi="Times New Roman" w:cs="Times New Roman"/>
          <w:sz w:val="24"/>
          <w:szCs w:val="24"/>
        </w:rPr>
        <w:t>During the past 30 days, for about how many days did poor physical or mental </w:t>
      </w:r>
      <w:r>
        <w:rPr>
          <w:rFonts w:ascii="Times New Roman" w:hAnsi="Times New Roman" w:cs="Times New Roman"/>
          <w:sz w:val="24"/>
          <w:szCs w:val="24"/>
        </w:rPr>
        <w:t>health keep you from doing your usual activities?</w:t>
      </w:r>
    </w:p>
    <w:p w14:paraId="704E5737" w14:textId="07CC75BD" w:rsidR="001B5861" w:rsidRDefault="008A5EA2" w:rsidP="00734F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t>
      </w:r>
      <w:r w:rsidRPr="008A5EA2">
        <w:rPr>
          <w:rFonts w:ascii="Times New Roman" w:hAnsi="Times New Roman" w:cs="Times New Roman"/>
          <w:sz w:val="24"/>
          <w:szCs w:val="24"/>
        </w:rPr>
        <w:t>Do you have any kind of health care coverage, including health insurance, prepaid plans such as HMOs, or government plans such as Medicare, or Indian Health Service?</w:t>
      </w:r>
      <w:r>
        <w:rPr>
          <w:rFonts w:ascii="Times New Roman" w:hAnsi="Times New Roman" w:cs="Times New Roman"/>
          <w:sz w:val="24"/>
          <w:szCs w:val="24"/>
        </w:rPr>
        <w:t>”</w:t>
      </w:r>
    </w:p>
    <w:p w14:paraId="491B80CF" w14:textId="7B6E2CF6" w:rsidR="0037318C" w:rsidRDefault="00322439" w:rsidP="00BA525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t>
      </w:r>
      <w:r w:rsidRPr="00322439">
        <w:rPr>
          <w:rFonts w:ascii="Times New Roman" w:hAnsi="Times New Roman" w:cs="Times New Roman"/>
          <w:sz w:val="24"/>
          <w:szCs w:val="24"/>
        </w:rPr>
        <w:t>Do you have one person you think of as your personal doctor or health care provider?</w:t>
      </w:r>
      <w:r>
        <w:rPr>
          <w:rFonts w:ascii="Times New Roman" w:hAnsi="Times New Roman" w:cs="Times New Roman"/>
          <w:sz w:val="24"/>
          <w:szCs w:val="24"/>
        </w:rPr>
        <w:t>”</w:t>
      </w:r>
    </w:p>
    <w:p w14:paraId="0E597770" w14:textId="75B1974D" w:rsidR="0081125A" w:rsidRDefault="0081125A" w:rsidP="00BA525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t>
      </w:r>
      <w:r w:rsidRPr="0081125A">
        <w:rPr>
          <w:rFonts w:ascii="Times New Roman" w:hAnsi="Times New Roman" w:cs="Times New Roman"/>
          <w:sz w:val="24"/>
          <w:szCs w:val="24"/>
        </w:rPr>
        <w:t>About how long has it been since you last visited a doctor for a routine checkup?</w:t>
      </w:r>
      <w:r>
        <w:rPr>
          <w:rFonts w:ascii="Times New Roman" w:hAnsi="Times New Roman" w:cs="Times New Roman"/>
          <w:sz w:val="24"/>
          <w:szCs w:val="24"/>
        </w:rPr>
        <w:t>”</w:t>
      </w:r>
    </w:p>
    <w:p w14:paraId="4349BEAB" w14:textId="66C47FC5" w:rsidR="005C61CB" w:rsidRDefault="00963AEA" w:rsidP="008C4FC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t>
      </w:r>
      <w:r w:rsidRPr="00963AEA">
        <w:rPr>
          <w:rFonts w:ascii="Times New Roman" w:hAnsi="Times New Roman" w:cs="Times New Roman"/>
          <w:sz w:val="24"/>
          <w:szCs w:val="24"/>
        </w:rPr>
        <w:t>Was there a time in the past 12 months when you needed to see a doctor but could not</w:t>
      </w:r>
      <w:r w:rsidR="00D83E4A">
        <w:rPr>
          <w:rFonts w:ascii="Times New Roman" w:hAnsi="Times New Roman" w:cs="Times New Roman"/>
          <w:sz w:val="24"/>
          <w:szCs w:val="24"/>
        </w:rPr>
        <w:t xml:space="preserve"> </w:t>
      </w:r>
      <w:r w:rsidR="00C80E14" w:rsidRPr="00D83E4A">
        <w:rPr>
          <w:rFonts w:ascii="Times New Roman" w:hAnsi="Times New Roman" w:cs="Times New Roman"/>
          <w:sz w:val="24"/>
          <w:szCs w:val="24"/>
        </w:rPr>
        <w:t>because of cost?</w:t>
      </w:r>
      <w:r w:rsidR="008C4FCA">
        <w:rPr>
          <w:rFonts w:ascii="Times New Roman" w:hAnsi="Times New Roman" w:cs="Times New Roman"/>
          <w:sz w:val="24"/>
          <w:szCs w:val="24"/>
        </w:rPr>
        <w:t>”</w:t>
      </w:r>
    </w:p>
    <w:p w14:paraId="1B669B49" w14:textId="61BB77AE" w:rsidR="00957143" w:rsidRDefault="00957143" w:rsidP="00957143">
      <w:pPr>
        <w:rPr>
          <w:rFonts w:ascii="Times New Roman" w:hAnsi="Times New Roman" w:cs="Times New Roman"/>
          <w:sz w:val="24"/>
          <w:szCs w:val="24"/>
        </w:rPr>
      </w:pPr>
    </w:p>
    <w:p w14:paraId="6FEB3A7B" w14:textId="77777777" w:rsidR="00957143" w:rsidRPr="00957143" w:rsidRDefault="00957143" w:rsidP="00957143">
      <w:pPr>
        <w:rPr>
          <w:rFonts w:ascii="Times New Roman" w:hAnsi="Times New Roman" w:cs="Times New Roman"/>
          <w:sz w:val="24"/>
          <w:szCs w:val="24"/>
        </w:rPr>
      </w:pPr>
    </w:p>
    <w:p w14:paraId="6B43131C" w14:textId="3A3FE4E8" w:rsidR="00701AA4" w:rsidRDefault="00C16F42" w:rsidP="00701AA4">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Control f</w:t>
      </w:r>
      <w:r w:rsidR="00701AA4">
        <w:rPr>
          <w:rFonts w:ascii="Times New Roman" w:hAnsi="Times New Roman" w:cs="Times New Roman"/>
          <w:b/>
          <w:bCs/>
          <w:sz w:val="24"/>
          <w:szCs w:val="24"/>
        </w:rPr>
        <w:t>eatures</w:t>
      </w:r>
      <w:r>
        <w:rPr>
          <w:rFonts w:ascii="Times New Roman" w:hAnsi="Times New Roman" w:cs="Times New Roman"/>
          <w:b/>
          <w:bCs/>
          <w:sz w:val="24"/>
          <w:szCs w:val="24"/>
        </w:rPr>
        <w:t>:</w:t>
      </w:r>
    </w:p>
    <w:p w14:paraId="02091F42" w14:textId="77777777" w:rsidR="00194EED" w:rsidRDefault="00A3078A" w:rsidP="00194EED">
      <w:pPr>
        <w:pStyle w:val="ListParagraph"/>
        <w:numPr>
          <w:ilvl w:val="0"/>
          <w:numId w:val="2"/>
        </w:numPr>
        <w:rPr>
          <w:rFonts w:ascii="Times New Roman" w:hAnsi="Times New Roman" w:cs="Times New Roman"/>
          <w:sz w:val="24"/>
          <w:szCs w:val="24"/>
        </w:rPr>
      </w:pPr>
      <w:r w:rsidRPr="00194EED">
        <w:rPr>
          <w:rFonts w:ascii="Times New Roman" w:hAnsi="Times New Roman" w:cs="Times New Roman"/>
          <w:sz w:val="24"/>
          <w:szCs w:val="24"/>
        </w:rPr>
        <w:t>Sex</w:t>
      </w:r>
    </w:p>
    <w:p w14:paraId="665BF171" w14:textId="77777777" w:rsidR="00194EED" w:rsidRDefault="00A3078A" w:rsidP="00194EED">
      <w:pPr>
        <w:pStyle w:val="ListParagraph"/>
        <w:numPr>
          <w:ilvl w:val="0"/>
          <w:numId w:val="2"/>
        </w:numPr>
        <w:rPr>
          <w:rFonts w:ascii="Times New Roman" w:hAnsi="Times New Roman" w:cs="Times New Roman"/>
          <w:sz w:val="24"/>
          <w:szCs w:val="24"/>
        </w:rPr>
      </w:pPr>
      <w:r w:rsidRPr="00194EED">
        <w:rPr>
          <w:rFonts w:ascii="Times New Roman" w:hAnsi="Times New Roman" w:cs="Times New Roman"/>
          <w:sz w:val="24"/>
          <w:szCs w:val="24"/>
        </w:rPr>
        <w:t>Race/Ethnicity</w:t>
      </w:r>
    </w:p>
    <w:p w14:paraId="6AA06E0C" w14:textId="77777777" w:rsidR="00194EED" w:rsidRDefault="00A3078A" w:rsidP="00194EED">
      <w:pPr>
        <w:pStyle w:val="ListParagraph"/>
        <w:numPr>
          <w:ilvl w:val="0"/>
          <w:numId w:val="2"/>
        </w:numPr>
        <w:rPr>
          <w:rFonts w:ascii="Times New Roman" w:hAnsi="Times New Roman" w:cs="Times New Roman"/>
          <w:sz w:val="24"/>
          <w:szCs w:val="24"/>
        </w:rPr>
      </w:pPr>
      <w:r w:rsidRPr="00194EED">
        <w:rPr>
          <w:rFonts w:ascii="Times New Roman" w:hAnsi="Times New Roman" w:cs="Times New Roman"/>
          <w:sz w:val="24"/>
          <w:szCs w:val="24"/>
        </w:rPr>
        <w:t>Age</w:t>
      </w:r>
    </w:p>
    <w:p w14:paraId="6993FE26" w14:textId="77777777" w:rsidR="00194EED" w:rsidRDefault="00A3078A" w:rsidP="00194EED">
      <w:pPr>
        <w:pStyle w:val="ListParagraph"/>
        <w:numPr>
          <w:ilvl w:val="0"/>
          <w:numId w:val="2"/>
        </w:numPr>
        <w:rPr>
          <w:rFonts w:ascii="Times New Roman" w:hAnsi="Times New Roman" w:cs="Times New Roman"/>
          <w:sz w:val="24"/>
          <w:szCs w:val="24"/>
        </w:rPr>
      </w:pPr>
      <w:r w:rsidRPr="00194EED">
        <w:rPr>
          <w:rFonts w:ascii="Times New Roman" w:hAnsi="Times New Roman" w:cs="Times New Roman"/>
          <w:sz w:val="24"/>
          <w:szCs w:val="24"/>
        </w:rPr>
        <w:t>Employment Status</w:t>
      </w:r>
    </w:p>
    <w:p w14:paraId="61DFD197" w14:textId="0D8B7B76" w:rsidR="00194EED" w:rsidRPr="00C16F42" w:rsidRDefault="009134AC" w:rsidP="00C16F42">
      <w:pPr>
        <w:pStyle w:val="ListParagraph"/>
        <w:numPr>
          <w:ilvl w:val="0"/>
          <w:numId w:val="2"/>
        </w:numPr>
        <w:rPr>
          <w:rFonts w:ascii="Times New Roman" w:hAnsi="Times New Roman" w:cs="Times New Roman"/>
          <w:sz w:val="24"/>
          <w:szCs w:val="24"/>
        </w:rPr>
      </w:pPr>
      <w:r w:rsidRPr="00194EED">
        <w:rPr>
          <w:rFonts w:ascii="Times New Roman" w:hAnsi="Times New Roman" w:cs="Times New Roman"/>
          <w:sz w:val="24"/>
          <w:szCs w:val="24"/>
        </w:rPr>
        <w:t>Marital status</w:t>
      </w:r>
    </w:p>
    <w:p w14:paraId="04B09F2E" w14:textId="77777777" w:rsidR="00194EED" w:rsidRDefault="009134AC" w:rsidP="00194EED">
      <w:pPr>
        <w:pStyle w:val="ListParagraph"/>
        <w:numPr>
          <w:ilvl w:val="0"/>
          <w:numId w:val="2"/>
        </w:numPr>
        <w:rPr>
          <w:rFonts w:ascii="Times New Roman" w:hAnsi="Times New Roman" w:cs="Times New Roman"/>
          <w:sz w:val="24"/>
          <w:szCs w:val="24"/>
        </w:rPr>
      </w:pPr>
      <w:r w:rsidRPr="00194EED">
        <w:rPr>
          <w:rFonts w:ascii="Times New Roman" w:hAnsi="Times New Roman" w:cs="Times New Roman"/>
          <w:sz w:val="24"/>
          <w:szCs w:val="24"/>
        </w:rPr>
        <w:t>Income</w:t>
      </w:r>
    </w:p>
    <w:p w14:paraId="7B71AAAC" w14:textId="64AF6DB6" w:rsidR="009134AC" w:rsidRPr="00194EED" w:rsidRDefault="00593AFE" w:rsidP="00194EE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Number of adults present in the household [household size]</w:t>
      </w:r>
    </w:p>
    <w:p w14:paraId="1F227D7E" w14:textId="5A31B988" w:rsidR="00C0012B" w:rsidRDefault="00C16F42" w:rsidP="005F2ADB">
      <w:pPr>
        <w:ind w:firstLine="720"/>
        <w:rPr>
          <w:rFonts w:ascii="Times New Roman" w:hAnsi="Times New Roman" w:cs="Times New Roman"/>
          <w:sz w:val="24"/>
          <w:szCs w:val="24"/>
        </w:rPr>
      </w:pPr>
      <w:r>
        <w:rPr>
          <w:rFonts w:ascii="Times New Roman" w:hAnsi="Times New Roman" w:cs="Times New Roman"/>
          <w:sz w:val="24"/>
          <w:szCs w:val="24"/>
        </w:rPr>
        <w:t>D</w:t>
      </w:r>
      <w:r w:rsidR="00ED6241">
        <w:rPr>
          <w:rFonts w:ascii="Times New Roman" w:hAnsi="Times New Roman" w:cs="Times New Roman"/>
          <w:sz w:val="24"/>
          <w:szCs w:val="24"/>
        </w:rPr>
        <w:t>espite the BRFSS containing survey data on both education and income, d</w:t>
      </w:r>
      <w:r>
        <w:rPr>
          <w:rFonts w:ascii="Times New Roman" w:hAnsi="Times New Roman" w:cs="Times New Roman"/>
          <w:sz w:val="24"/>
          <w:szCs w:val="24"/>
        </w:rPr>
        <w:t xml:space="preserve">ue to the well-known correlation that exists between </w:t>
      </w:r>
      <w:r w:rsidR="00ED6241">
        <w:rPr>
          <w:rFonts w:ascii="Times New Roman" w:hAnsi="Times New Roman" w:cs="Times New Roman"/>
          <w:sz w:val="24"/>
          <w:szCs w:val="24"/>
        </w:rPr>
        <w:t>the two variables,</w:t>
      </w:r>
      <w:r>
        <w:rPr>
          <w:rFonts w:ascii="Times New Roman" w:hAnsi="Times New Roman" w:cs="Times New Roman"/>
          <w:sz w:val="24"/>
          <w:szCs w:val="24"/>
        </w:rPr>
        <w:t xml:space="preserve"> </w:t>
      </w:r>
      <w:r w:rsidR="00C614D3">
        <w:rPr>
          <w:rFonts w:ascii="Times New Roman" w:hAnsi="Times New Roman" w:cs="Times New Roman"/>
          <w:sz w:val="24"/>
          <w:szCs w:val="24"/>
        </w:rPr>
        <w:t>we opted to include</w:t>
      </w:r>
      <w:r w:rsidR="00442B20">
        <w:rPr>
          <w:rFonts w:ascii="Times New Roman" w:hAnsi="Times New Roman" w:cs="Times New Roman"/>
          <w:sz w:val="24"/>
          <w:szCs w:val="24"/>
        </w:rPr>
        <w:t xml:space="preserve"> only</w:t>
      </w:r>
      <w:r w:rsidR="00C614D3">
        <w:rPr>
          <w:rFonts w:ascii="Times New Roman" w:hAnsi="Times New Roman" w:cs="Times New Roman"/>
          <w:sz w:val="24"/>
          <w:szCs w:val="24"/>
        </w:rPr>
        <w:t xml:space="preserve"> income as a control </w:t>
      </w:r>
      <w:r w:rsidR="00506EC1">
        <w:rPr>
          <w:rFonts w:ascii="Times New Roman" w:hAnsi="Times New Roman" w:cs="Times New Roman"/>
          <w:sz w:val="24"/>
          <w:szCs w:val="24"/>
        </w:rPr>
        <w:t>feature and</w:t>
      </w:r>
      <w:r w:rsidR="00C614D3">
        <w:rPr>
          <w:rFonts w:ascii="Times New Roman" w:hAnsi="Times New Roman" w:cs="Times New Roman"/>
          <w:sz w:val="24"/>
          <w:szCs w:val="24"/>
        </w:rPr>
        <w:t xml:space="preserve"> omit education. </w:t>
      </w:r>
      <w:r w:rsidR="00506EC1">
        <w:rPr>
          <w:rFonts w:ascii="Times New Roman" w:hAnsi="Times New Roman" w:cs="Times New Roman"/>
          <w:sz w:val="24"/>
          <w:szCs w:val="24"/>
        </w:rPr>
        <w:t xml:space="preserve">Furthermore, although the BRFSS </w:t>
      </w:r>
      <w:r w:rsidR="00366619">
        <w:rPr>
          <w:rFonts w:ascii="Times New Roman" w:hAnsi="Times New Roman" w:cs="Times New Roman"/>
          <w:sz w:val="24"/>
          <w:szCs w:val="24"/>
        </w:rPr>
        <w:t>contains many questions about preventative care, such as the usage of cancer screenings, these questions were not consistent</w:t>
      </w:r>
      <w:r w:rsidR="00E61E15">
        <w:rPr>
          <w:rFonts w:ascii="Times New Roman" w:hAnsi="Times New Roman" w:cs="Times New Roman"/>
          <w:sz w:val="24"/>
          <w:szCs w:val="24"/>
        </w:rPr>
        <w:t xml:space="preserve">ly asked </w:t>
      </w:r>
      <w:r w:rsidR="00366619">
        <w:rPr>
          <w:rFonts w:ascii="Times New Roman" w:hAnsi="Times New Roman" w:cs="Times New Roman"/>
          <w:sz w:val="24"/>
          <w:szCs w:val="24"/>
        </w:rPr>
        <w:t xml:space="preserve">for all years </w:t>
      </w:r>
      <w:r w:rsidR="00E61E15">
        <w:rPr>
          <w:rFonts w:ascii="Times New Roman" w:hAnsi="Times New Roman" w:cs="Times New Roman"/>
          <w:sz w:val="24"/>
          <w:szCs w:val="24"/>
        </w:rPr>
        <w:t>in the available data—as such, it was not possible to consider them</w:t>
      </w:r>
      <w:r w:rsidR="00597050">
        <w:rPr>
          <w:rFonts w:ascii="Times New Roman" w:hAnsi="Times New Roman" w:cs="Times New Roman"/>
          <w:sz w:val="24"/>
          <w:szCs w:val="24"/>
        </w:rPr>
        <w:t xml:space="preserve">; had the questions regarding these preventative treatments </w:t>
      </w:r>
      <w:r w:rsidR="00335174">
        <w:rPr>
          <w:rFonts w:ascii="Times New Roman" w:hAnsi="Times New Roman" w:cs="Times New Roman"/>
          <w:sz w:val="24"/>
          <w:szCs w:val="24"/>
        </w:rPr>
        <w:t xml:space="preserve">been asked for </w:t>
      </w:r>
      <w:r w:rsidR="003A4306">
        <w:rPr>
          <w:rFonts w:ascii="Times New Roman" w:hAnsi="Times New Roman" w:cs="Times New Roman"/>
          <w:sz w:val="24"/>
          <w:szCs w:val="24"/>
        </w:rPr>
        <w:t>each</w:t>
      </w:r>
      <w:r w:rsidR="00335174">
        <w:rPr>
          <w:rFonts w:ascii="Times New Roman" w:hAnsi="Times New Roman" w:cs="Times New Roman"/>
          <w:sz w:val="24"/>
          <w:szCs w:val="24"/>
        </w:rPr>
        <w:t xml:space="preserve"> available year, they would have been researched as outcomes.</w:t>
      </w:r>
    </w:p>
    <w:p w14:paraId="18A50A6A" w14:textId="1BD556A1" w:rsidR="0034216D" w:rsidRDefault="00A93B7F" w:rsidP="00D3084C">
      <w:pPr>
        <w:ind w:firstLine="720"/>
        <w:rPr>
          <w:rFonts w:ascii="Times New Roman" w:hAnsi="Times New Roman" w:cs="Times New Roman"/>
          <w:sz w:val="24"/>
          <w:szCs w:val="24"/>
        </w:rPr>
      </w:pPr>
      <w:r>
        <w:rPr>
          <w:rFonts w:ascii="Times New Roman" w:hAnsi="Times New Roman" w:cs="Times New Roman"/>
          <w:sz w:val="24"/>
          <w:szCs w:val="24"/>
        </w:rPr>
        <w:t>Having discussed the nature of the BRFSS dataset, and the variables within it that</w:t>
      </w:r>
      <w:r w:rsidR="00793C49">
        <w:rPr>
          <w:rFonts w:ascii="Times New Roman" w:hAnsi="Times New Roman" w:cs="Times New Roman"/>
          <w:sz w:val="24"/>
          <w:szCs w:val="24"/>
        </w:rPr>
        <w:t xml:space="preserve"> we are focusing in on as</w:t>
      </w:r>
      <w:r w:rsidR="003E72E8">
        <w:rPr>
          <w:rFonts w:ascii="Times New Roman" w:hAnsi="Times New Roman" w:cs="Times New Roman"/>
          <w:sz w:val="24"/>
          <w:szCs w:val="24"/>
        </w:rPr>
        <w:t xml:space="preserve"> pertinent to our research question, we now </w:t>
      </w:r>
      <w:r w:rsidR="00517028">
        <w:rPr>
          <w:rFonts w:ascii="Times New Roman" w:hAnsi="Times New Roman" w:cs="Times New Roman"/>
          <w:sz w:val="24"/>
          <w:szCs w:val="24"/>
        </w:rPr>
        <w:t xml:space="preserve">want to develop a model that can make use of this data to answer </w:t>
      </w:r>
      <w:r w:rsidR="00D00043">
        <w:rPr>
          <w:rFonts w:ascii="Times New Roman" w:hAnsi="Times New Roman" w:cs="Times New Roman"/>
          <w:sz w:val="24"/>
          <w:szCs w:val="24"/>
        </w:rPr>
        <w:t xml:space="preserve">whether reinsurance programs under 1332 waivers are causing changes in health care utilization </w:t>
      </w:r>
      <w:r w:rsidR="00D3084C">
        <w:rPr>
          <w:rFonts w:ascii="Times New Roman" w:hAnsi="Times New Roman" w:cs="Times New Roman"/>
          <w:sz w:val="24"/>
          <w:szCs w:val="24"/>
        </w:rPr>
        <w:t>and access.</w:t>
      </w:r>
    </w:p>
    <w:p w14:paraId="6269316F" w14:textId="789A4C15" w:rsidR="00027017" w:rsidRDefault="00027017" w:rsidP="00D3084C">
      <w:pPr>
        <w:ind w:firstLine="720"/>
        <w:rPr>
          <w:rFonts w:ascii="Times New Roman" w:hAnsi="Times New Roman" w:cs="Times New Roman"/>
          <w:sz w:val="24"/>
          <w:szCs w:val="24"/>
        </w:rPr>
      </w:pPr>
    </w:p>
    <w:p w14:paraId="5265BCE3" w14:textId="240C22AA" w:rsidR="00027017" w:rsidRDefault="00027017" w:rsidP="00D3084C">
      <w:pPr>
        <w:ind w:firstLine="720"/>
        <w:rPr>
          <w:rFonts w:ascii="Times New Roman" w:hAnsi="Times New Roman" w:cs="Times New Roman"/>
          <w:sz w:val="24"/>
          <w:szCs w:val="24"/>
        </w:rPr>
      </w:pPr>
    </w:p>
    <w:p w14:paraId="009A9134" w14:textId="44C12945" w:rsidR="00027017" w:rsidRDefault="00027017" w:rsidP="00D3084C">
      <w:pPr>
        <w:ind w:firstLine="720"/>
        <w:rPr>
          <w:rFonts w:ascii="Times New Roman" w:hAnsi="Times New Roman" w:cs="Times New Roman"/>
          <w:sz w:val="24"/>
          <w:szCs w:val="24"/>
        </w:rPr>
      </w:pPr>
    </w:p>
    <w:p w14:paraId="41590A71" w14:textId="0FF27635" w:rsidR="00027017" w:rsidRDefault="00027017" w:rsidP="00D3084C">
      <w:pPr>
        <w:ind w:firstLine="720"/>
        <w:rPr>
          <w:rFonts w:ascii="Times New Roman" w:hAnsi="Times New Roman" w:cs="Times New Roman"/>
          <w:sz w:val="24"/>
          <w:szCs w:val="24"/>
        </w:rPr>
      </w:pPr>
    </w:p>
    <w:p w14:paraId="63AD8AF8" w14:textId="13B94362" w:rsidR="00027017" w:rsidRDefault="00027017" w:rsidP="00D3084C">
      <w:pPr>
        <w:ind w:firstLine="720"/>
        <w:rPr>
          <w:rFonts w:ascii="Times New Roman" w:hAnsi="Times New Roman" w:cs="Times New Roman"/>
          <w:sz w:val="24"/>
          <w:szCs w:val="24"/>
        </w:rPr>
      </w:pPr>
    </w:p>
    <w:p w14:paraId="455AC0AC" w14:textId="459E578F" w:rsidR="00027017" w:rsidRDefault="00027017" w:rsidP="00D3084C">
      <w:pPr>
        <w:ind w:firstLine="720"/>
        <w:rPr>
          <w:rFonts w:ascii="Times New Roman" w:hAnsi="Times New Roman" w:cs="Times New Roman"/>
          <w:sz w:val="24"/>
          <w:szCs w:val="24"/>
        </w:rPr>
      </w:pPr>
    </w:p>
    <w:p w14:paraId="137D8FF8" w14:textId="71E584BD" w:rsidR="00027017" w:rsidRDefault="00027017" w:rsidP="009D577E">
      <w:pPr>
        <w:rPr>
          <w:rFonts w:ascii="Times New Roman" w:hAnsi="Times New Roman" w:cs="Times New Roman"/>
          <w:sz w:val="24"/>
          <w:szCs w:val="24"/>
        </w:rPr>
      </w:pPr>
    </w:p>
    <w:p w14:paraId="0D223AA7" w14:textId="77777777" w:rsidR="008C4FCA" w:rsidRDefault="008C4FCA" w:rsidP="009D577E">
      <w:pPr>
        <w:rPr>
          <w:rFonts w:ascii="Times New Roman" w:hAnsi="Times New Roman" w:cs="Times New Roman"/>
          <w:sz w:val="24"/>
          <w:szCs w:val="24"/>
        </w:rPr>
      </w:pPr>
    </w:p>
    <w:p w14:paraId="118EB575" w14:textId="77777777" w:rsidR="009D577E" w:rsidRDefault="009D577E" w:rsidP="009D577E">
      <w:pPr>
        <w:rPr>
          <w:rFonts w:ascii="Times New Roman" w:hAnsi="Times New Roman" w:cs="Times New Roman"/>
          <w:sz w:val="24"/>
          <w:szCs w:val="24"/>
        </w:rPr>
      </w:pPr>
    </w:p>
    <w:p w14:paraId="17BCDA1B" w14:textId="4FC1CB30" w:rsidR="00027017" w:rsidRDefault="00027017" w:rsidP="00D3084C">
      <w:pPr>
        <w:ind w:firstLine="720"/>
        <w:rPr>
          <w:rFonts w:ascii="Times New Roman" w:hAnsi="Times New Roman" w:cs="Times New Roman"/>
          <w:sz w:val="24"/>
          <w:szCs w:val="24"/>
        </w:rPr>
      </w:pPr>
    </w:p>
    <w:p w14:paraId="6D1218FF" w14:textId="366AE71F" w:rsidR="00166458" w:rsidRDefault="00166458" w:rsidP="00D3084C">
      <w:pPr>
        <w:ind w:firstLine="720"/>
        <w:rPr>
          <w:rFonts w:ascii="Times New Roman" w:hAnsi="Times New Roman" w:cs="Times New Roman"/>
          <w:sz w:val="24"/>
          <w:szCs w:val="24"/>
        </w:rPr>
      </w:pPr>
    </w:p>
    <w:p w14:paraId="3E31654E" w14:textId="77777777" w:rsidR="00563FAC" w:rsidRDefault="00563FAC" w:rsidP="00D3084C">
      <w:pPr>
        <w:ind w:firstLine="720"/>
        <w:rPr>
          <w:rFonts w:ascii="Times New Roman" w:hAnsi="Times New Roman" w:cs="Times New Roman"/>
          <w:sz w:val="24"/>
          <w:szCs w:val="24"/>
        </w:rPr>
      </w:pPr>
    </w:p>
    <w:p w14:paraId="4BFA1A27" w14:textId="0A1FE6C0" w:rsidR="00166458" w:rsidRDefault="00166458" w:rsidP="00C074FD">
      <w:pPr>
        <w:rPr>
          <w:rFonts w:ascii="Times New Roman" w:hAnsi="Times New Roman" w:cs="Times New Roman"/>
          <w:sz w:val="24"/>
          <w:szCs w:val="24"/>
        </w:rPr>
      </w:pPr>
    </w:p>
    <w:p w14:paraId="04E413BE" w14:textId="77777777" w:rsidR="0054387E" w:rsidRDefault="0054387E" w:rsidP="00C074FD">
      <w:pPr>
        <w:rPr>
          <w:rFonts w:ascii="Times New Roman" w:hAnsi="Times New Roman" w:cs="Times New Roman"/>
          <w:sz w:val="24"/>
          <w:szCs w:val="24"/>
        </w:rPr>
      </w:pPr>
    </w:p>
    <w:p w14:paraId="0B7B800E" w14:textId="19FD307E" w:rsidR="00D3084C" w:rsidRDefault="0045363D" w:rsidP="0034216D">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Section 4: </w:t>
      </w:r>
      <w:r w:rsidR="00D3084C" w:rsidRPr="00D3084C">
        <w:rPr>
          <w:rFonts w:ascii="Times New Roman" w:hAnsi="Times New Roman" w:cs="Times New Roman"/>
          <w:b/>
          <w:bCs/>
          <w:sz w:val="28"/>
          <w:szCs w:val="28"/>
          <w:u w:val="single"/>
        </w:rPr>
        <w:t>Methodology</w:t>
      </w:r>
    </w:p>
    <w:p w14:paraId="133029EE" w14:textId="3205D92E" w:rsidR="00EB3682" w:rsidRDefault="00D3084C" w:rsidP="00363717">
      <w:pPr>
        <w:rPr>
          <w:rFonts w:ascii="Times New Roman" w:hAnsi="Times New Roman" w:cs="Times New Roman"/>
          <w:sz w:val="24"/>
          <w:szCs w:val="24"/>
        </w:rPr>
      </w:pPr>
      <w:r>
        <w:rPr>
          <w:rFonts w:ascii="Times New Roman" w:hAnsi="Times New Roman" w:cs="Times New Roman"/>
          <w:sz w:val="24"/>
          <w:szCs w:val="24"/>
        </w:rPr>
        <w:tab/>
        <w:t>As</w:t>
      </w:r>
      <w:r w:rsidR="00A4693A">
        <w:rPr>
          <w:rFonts w:ascii="Times New Roman" w:hAnsi="Times New Roman" w:cs="Times New Roman"/>
          <w:sz w:val="24"/>
          <w:szCs w:val="24"/>
        </w:rPr>
        <w:t xml:space="preserve"> </w:t>
      </w:r>
      <w:r w:rsidR="00F4707E">
        <w:rPr>
          <w:rFonts w:ascii="Times New Roman" w:hAnsi="Times New Roman" w:cs="Times New Roman"/>
          <w:sz w:val="24"/>
          <w:szCs w:val="24"/>
        </w:rPr>
        <w:t>mentioned in section 1 of this paper,</w:t>
      </w:r>
      <w:r w:rsidR="00A4693A">
        <w:rPr>
          <w:rFonts w:ascii="Times New Roman" w:hAnsi="Times New Roman" w:cs="Times New Roman"/>
          <w:sz w:val="24"/>
          <w:szCs w:val="24"/>
        </w:rPr>
        <w:t xml:space="preserve"> we </w:t>
      </w:r>
      <w:r w:rsidR="002F3B21">
        <w:rPr>
          <w:rFonts w:ascii="Times New Roman" w:hAnsi="Times New Roman" w:cs="Times New Roman"/>
          <w:sz w:val="24"/>
          <w:szCs w:val="24"/>
        </w:rPr>
        <w:t>employ a difference-in-differences</w:t>
      </w:r>
      <w:r w:rsidR="00A67584">
        <w:rPr>
          <w:rFonts w:ascii="Times New Roman" w:hAnsi="Times New Roman" w:cs="Times New Roman"/>
          <w:sz w:val="24"/>
          <w:szCs w:val="24"/>
        </w:rPr>
        <w:t xml:space="preserve"> </w:t>
      </w:r>
      <w:r w:rsidR="00E964D2">
        <w:rPr>
          <w:rFonts w:ascii="Times New Roman" w:hAnsi="Times New Roman" w:cs="Times New Roman"/>
          <w:sz w:val="24"/>
          <w:szCs w:val="24"/>
        </w:rPr>
        <w:t>[</w:t>
      </w:r>
      <w:r w:rsidR="00A67584">
        <w:rPr>
          <w:rFonts w:ascii="Times New Roman" w:hAnsi="Times New Roman" w:cs="Times New Roman"/>
          <w:sz w:val="24"/>
          <w:szCs w:val="24"/>
        </w:rPr>
        <w:t>DID</w:t>
      </w:r>
      <w:r w:rsidR="00E964D2">
        <w:rPr>
          <w:rFonts w:ascii="Times New Roman" w:hAnsi="Times New Roman" w:cs="Times New Roman"/>
          <w:sz w:val="24"/>
          <w:szCs w:val="24"/>
        </w:rPr>
        <w:t>]</w:t>
      </w:r>
      <w:r w:rsidR="002F3B21">
        <w:rPr>
          <w:rFonts w:ascii="Times New Roman" w:hAnsi="Times New Roman" w:cs="Times New Roman"/>
          <w:sz w:val="24"/>
          <w:szCs w:val="24"/>
        </w:rPr>
        <w:t xml:space="preserve"> research design to </w:t>
      </w:r>
      <w:r w:rsidR="0018465B">
        <w:rPr>
          <w:rFonts w:ascii="Times New Roman" w:hAnsi="Times New Roman" w:cs="Times New Roman"/>
          <w:sz w:val="24"/>
          <w:szCs w:val="24"/>
        </w:rPr>
        <w:t xml:space="preserve">investigate our question. </w:t>
      </w:r>
      <w:r w:rsidR="00E93A9B">
        <w:rPr>
          <w:rFonts w:ascii="Times New Roman" w:hAnsi="Times New Roman" w:cs="Times New Roman"/>
          <w:sz w:val="24"/>
          <w:szCs w:val="24"/>
        </w:rPr>
        <w:t xml:space="preserve">A </w:t>
      </w:r>
      <w:r w:rsidR="00A67584">
        <w:rPr>
          <w:rFonts w:ascii="Times New Roman" w:hAnsi="Times New Roman" w:cs="Times New Roman"/>
          <w:sz w:val="24"/>
          <w:szCs w:val="24"/>
        </w:rPr>
        <w:t>DID</w:t>
      </w:r>
      <w:r w:rsidR="00E93A9B">
        <w:rPr>
          <w:rFonts w:ascii="Times New Roman" w:hAnsi="Times New Roman" w:cs="Times New Roman"/>
          <w:sz w:val="24"/>
          <w:szCs w:val="24"/>
        </w:rPr>
        <w:t xml:space="preserve"> method makes sense at the most basic level</w:t>
      </w:r>
      <w:r w:rsidR="00064BCA">
        <w:rPr>
          <w:rFonts w:ascii="Times New Roman" w:hAnsi="Times New Roman" w:cs="Times New Roman"/>
          <w:sz w:val="24"/>
          <w:szCs w:val="24"/>
        </w:rPr>
        <w:t xml:space="preserve"> for a handful of reasons. Firstly, </w:t>
      </w:r>
      <w:r w:rsidR="00CA4491">
        <w:rPr>
          <w:rFonts w:ascii="Times New Roman" w:hAnsi="Times New Roman" w:cs="Times New Roman"/>
          <w:sz w:val="24"/>
          <w:szCs w:val="24"/>
        </w:rPr>
        <w:t xml:space="preserve">implementation of a reinsurance program can </w:t>
      </w:r>
      <w:r w:rsidR="00AB14A2">
        <w:rPr>
          <w:rFonts w:ascii="Times New Roman" w:hAnsi="Times New Roman" w:cs="Times New Roman"/>
          <w:sz w:val="24"/>
          <w:szCs w:val="24"/>
        </w:rPr>
        <w:t xml:space="preserve">quite easily be interpreted as a treatment, where </w:t>
      </w:r>
      <w:r w:rsidR="00E57FD4">
        <w:rPr>
          <w:rFonts w:ascii="Times New Roman" w:hAnsi="Times New Roman" w:cs="Times New Roman"/>
          <w:sz w:val="24"/>
          <w:szCs w:val="24"/>
        </w:rPr>
        <w:t>residents of</w:t>
      </w:r>
      <w:r w:rsidR="00AB14A2">
        <w:rPr>
          <w:rFonts w:ascii="Times New Roman" w:hAnsi="Times New Roman" w:cs="Times New Roman"/>
          <w:sz w:val="24"/>
          <w:szCs w:val="24"/>
        </w:rPr>
        <w:t xml:space="preserve"> states</w:t>
      </w:r>
      <w:r w:rsidR="00E57FD4">
        <w:rPr>
          <w:rFonts w:ascii="Times New Roman" w:hAnsi="Times New Roman" w:cs="Times New Roman"/>
          <w:sz w:val="24"/>
          <w:szCs w:val="24"/>
        </w:rPr>
        <w:t xml:space="preserve"> that</w:t>
      </w:r>
      <w:r w:rsidR="00AB14A2">
        <w:rPr>
          <w:rFonts w:ascii="Times New Roman" w:hAnsi="Times New Roman" w:cs="Times New Roman"/>
          <w:sz w:val="24"/>
          <w:szCs w:val="24"/>
        </w:rPr>
        <w:t xml:space="preserve"> </w:t>
      </w:r>
      <w:r w:rsidR="00E57FD4">
        <w:rPr>
          <w:rFonts w:ascii="Times New Roman" w:hAnsi="Times New Roman" w:cs="Times New Roman"/>
          <w:sz w:val="24"/>
          <w:szCs w:val="24"/>
        </w:rPr>
        <w:t xml:space="preserve">are approved, or have been approved, </w:t>
      </w:r>
      <w:r w:rsidR="00F961AE">
        <w:rPr>
          <w:rFonts w:ascii="Times New Roman" w:hAnsi="Times New Roman" w:cs="Times New Roman"/>
          <w:sz w:val="24"/>
          <w:szCs w:val="24"/>
        </w:rPr>
        <w:t>for</w:t>
      </w:r>
      <w:r w:rsidR="00E57FD4">
        <w:rPr>
          <w:rFonts w:ascii="Times New Roman" w:hAnsi="Times New Roman" w:cs="Times New Roman"/>
          <w:sz w:val="24"/>
          <w:szCs w:val="24"/>
        </w:rPr>
        <w:t xml:space="preserve"> 1332 waivers</w:t>
      </w:r>
      <w:r w:rsidR="00F961AE">
        <w:rPr>
          <w:rFonts w:ascii="Times New Roman" w:hAnsi="Times New Roman" w:cs="Times New Roman"/>
          <w:sz w:val="24"/>
          <w:szCs w:val="24"/>
        </w:rPr>
        <w:t xml:space="preserve"> are receiving treatment, and residents of states that have not been approved for 1332 waivers</w:t>
      </w:r>
      <w:r w:rsidR="00E57FD4">
        <w:rPr>
          <w:rFonts w:ascii="Times New Roman" w:hAnsi="Times New Roman" w:cs="Times New Roman"/>
          <w:sz w:val="24"/>
          <w:szCs w:val="24"/>
        </w:rPr>
        <w:t xml:space="preserve"> </w:t>
      </w:r>
      <w:r w:rsidR="00F961AE">
        <w:rPr>
          <w:rFonts w:ascii="Times New Roman" w:hAnsi="Times New Roman" w:cs="Times New Roman"/>
          <w:sz w:val="24"/>
          <w:szCs w:val="24"/>
        </w:rPr>
        <w:t xml:space="preserve">are in a control group. </w:t>
      </w:r>
      <w:r w:rsidR="00E64CFB">
        <w:rPr>
          <w:rFonts w:ascii="Times New Roman" w:hAnsi="Times New Roman" w:cs="Times New Roman"/>
          <w:sz w:val="24"/>
          <w:szCs w:val="24"/>
        </w:rPr>
        <w:t>As previously articulated, the</w:t>
      </w:r>
      <w:r w:rsidR="00352A32">
        <w:rPr>
          <w:rFonts w:ascii="Times New Roman" w:hAnsi="Times New Roman" w:cs="Times New Roman"/>
          <w:sz w:val="24"/>
          <w:szCs w:val="24"/>
        </w:rPr>
        <w:t xml:space="preserve"> state-level</w:t>
      </w:r>
      <w:r w:rsidR="00E64CFB">
        <w:rPr>
          <w:rFonts w:ascii="Times New Roman" w:hAnsi="Times New Roman" w:cs="Times New Roman"/>
          <w:sz w:val="24"/>
          <w:szCs w:val="24"/>
        </w:rPr>
        <w:t xml:space="preserve"> nature of the BRFSS data also goes </w:t>
      </w:r>
      <w:r w:rsidR="0027534A">
        <w:rPr>
          <w:rFonts w:ascii="Times New Roman" w:hAnsi="Times New Roman" w:cs="Times New Roman"/>
          <w:sz w:val="24"/>
          <w:szCs w:val="24"/>
        </w:rPr>
        <w:t>together</w:t>
      </w:r>
      <w:r w:rsidR="00E64CFB">
        <w:rPr>
          <w:rFonts w:ascii="Times New Roman" w:hAnsi="Times New Roman" w:cs="Times New Roman"/>
          <w:sz w:val="24"/>
          <w:szCs w:val="24"/>
        </w:rPr>
        <w:t xml:space="preserve"> with this mode of thought</w:t>
      </w:r>
      <w:r w:rsidR="009065C2">
        <w:rPr>
          <w:rFonts w:ascii="Times New Roman" w:hAnsi="Times New Roman" w:cs="Times New Roman"/>
          <w:sz w:val="24"/>
          <w:szCs w:val="24"/>
        </w:rPr>
        <w:t xml:space="preserve">, making it easy to identify </w:t>
      </w:r>
      <w:r w:rsidR="00352A32">
        <w:rPr>
          <w:rFonts w:ascii="Times New Roman" w:hAnsi="Times New Roman" w:cs="Times New Roman"/>
          <w:sz w:val="24"/>
          <w:szCs w:val="24"/>
        </w:rPr>
        <w:t>respondents</w:t>
      </w:r>
      <w:r w:rsidR="009065C2">
        <w:rPr>
          <w:rFonts w:ascii="Times New Roman" w:hAnsi="Times New Roman" w:cs="Times New Roman"/>
          <w:sz w:val="24"/>
          <w:szCs w:val="24"/>
        </w:rPr>
        <w:t xml:space="preserve"> within the treatment</w:t>
      </w:r>
      <w:r w:rsidR="004A0BEF">
        <w:rPr>
          <w:rFonts w:ascii="Times New Roman" w:hAnsi="Times New Roman" w:cs="Times New Roman"/>
          <w:sz w:val="24"/>
          <w:szCs w:val="24"/>
        </w:rPr>
        <w:t xml:space="preserve"> group</w:t>
      </w:r>
      <w:r w:rsidR="009065C2">
        <w:rPr>
          <w:rFonts w:ascii="Times New Roman" w:hAnsi="Times New Roman" w:cs="Times New Roman"/>
          <w:sz w:val="24"/>
          <w:szCs w:val="24"/>
        </w:rPr>
        <w:t xml:space="preserve"> and </w:t>
      </w:r>
      <w:r w:rsidR="00352A32">
        <w:rPr>
          <w:rFonts w:ascii="Times New Roman" w:hAnsi="Times New Roman" w:cs="Times New Roman"/>
          <w:sz w:val="24"/>
          <w:szCs w:val="24"/>
        </w:rPr>
        <w:t>respondents</w:t>
      </w:r>
      <w:r w:rsidR="009065C2">
        <w:rPr>
          <w:rFonts w:ascii="Times New Roman" w:hAnsi="Times New Roman" w:cs="Times New Roman"/>
          <w:sz w:val="24"/>
          <w:szCs w:val="24"/>
        </w:rPr>
        <w:t xml:space="preserve"> within the control</w:t>
      </w:r>
      <w:r w:rsidR="004A0BEF">
        <w:rPr>
          <w:rFonts w:ascii="Times New Roman" w:hAnsi="Times New Roman" w:cs="Times New Roman"/>
          <w:sz w:val="24"/>
          <w:szCs w:val="24"/>
        </w:rPr>
        <w:t xml:space="preserve"> group</w:t>
      </w:r>
      <w:r w:rsidR="009065C2">
        <w:rPr>
          <w:rFonts w:ascii="Times New Roman" w:hAnsi="Times New Roman" w:cs="Times New Roman"/>
          <w:sz w:val="24"/>
          <w:szCs w:val="24"/>
        </w:rPr>
        <w:t xml:space="preserve">. </w:t>
      </w:r>
      <w:r w:rsidR="00A270F1">
        <w:rPr>
          <w:rFonts w:ascii="Times New Roman" w:hAnsi="Times New Roman" w:cs="Times New Roman"/>
          <w:sz w:val="24"/>
          <w:szCs w:val="24"/>
        </w:rPr>
        <w:t xml:space="preserve">Another reason that a DID model is enticing </w:t>
      </w:r>
      <w:r w:rsidR="005F3328">
        <w:rPr>
          <w:rFonts w:ascii="Times New Roman" w:hAnsi="Times New Roman" w:cs="Times New Roman"/>
          <w:sz w:val="24"/>
          <w:szCs w:val="24"/>
        </w:rPr>
        <w:t xml:space="preserve">is due to the ability to infer causality from the model; </w:t>
      </w:r>
      <w:r w:rsidR="006902D5">
        <w:rPr>
          <w:rFonts w:ascii="Times New Roman" w:hAnsi="Times New Roman" w:cs="Times New Roman"/>
          <w:sz w:val="24"/>
          <w:szCs w:val="24"/>
        </w:rPr>
        <w:t xml:space="preserve">the interpretation of the DID estimator is the true effect of the treatment on the outcome that is being measured, which would permit </w:t>
      </w:r>
      <w:r w:rsidR="00CC7ED8">
        <w:rPr>
          <w:rFonts w:ascii="Times New Roman" w:hAnsi="Times New Roman" w:cs="Times New Roman"/>
          <w:sz w:val="24"/>
          <w:szCs w:val="24"/>
        </w:rPr>
        <w:t xml:space="preserve">investigation of </w:t>
      </w:r>
      <w:r w:rsidR="008A76F8">
        <w:rPr>
          <w:rFonts w:ascii="Times New Roman" w:hAnsi="Times New Roman" w:cs="Times New Roman"/>
          <w:sz w:val="24"/>
          <w:szCs w:val="24"/>
        </w:rPr>
        <w:t xml:space="preserve">the changes American citizens are experiencing in their utilization and access to health care that </w:t>
      </w:r>
      <w:r w:rsidR="00C6115B">
        <w:rPr>
          <w:rFonts w:ascii="Times New Roman" w:hAnsi="Times New Roman" w:cs="Times New Roman"/>
          <w:sz w:val="24"/>
          <w:szCs w:val="24"/>
        </w:rPr>
        <w:t xml:space="preserve">is attributable to reinsurance programs. </w:t>
      </w:r>
      <w:r w:rsidR="00644139">
        <w:rPr>
          <w:rFonts w:ascii="Times New Roman" w:hAnsi="Times New Roman" w:cs="Times New Roman"/>
          <w:sz w:val="24"/>
          <w:szCs w:val="24"/>
        </w:rPr>
        <w:t xml:space="preserve">When </w:t>
      </w:r>
      <w:r w:rsidR="001537E3">
        <w:rPr>
          <w:rFonts w:ascii="Times New Roman" w:hAnsi="Times New Roman" w:cs="Times New Roman"/>
          <w:sz w:val="24"/>
          <w:szCs w:val="24"/>
        </w:rPr>
        <w:t>working with observational data, as is the case with the BRFSS survey, the non-experimental design</w:t>
      </w:r>
      <w:r w:rsidR="00644139">
        <w:rPr>
          <w:rFonts w:ascii="Times New Roman" w:hAnsi="Times New Roman" w:cs="Times New Roman"/>
          <w:sz w:val="24"/>
          <w:szCs w:val="24"/>
        </w:rPr>
        <w:t xml:space="preserve"> greatly hinders the ability to determine causal impacts</w:t>
      </w:r>
      <w:r w:rsidR="00AA6A98">
        <w:rPr>
          <w:rFonts w:ascii="Times New Roman" w:hAnsi="Times New Roman" w:cs="Times New Roman"/>
          <w:sz w:val="24"/>
          <w:szCs w:val="24"/>
        </w:rPr>
        <w:t>; a DID model is an excellent alternative to obtain a quasi-experimental design which alleviates those concerns.</w:t>
      </w:r>
    </w:p>
    <w:p w14:paraId="763ADA30" w14:textId="3292A7A5" w:rsidR="002B3F38" w:rsidRDefault="002B3F38" w:rsidP="002B3F38">
      <w:pPr>
        <w:rPr>
          <w:rFonts w:ascii="Times New Roman" w:hAnsi="Times New Roman" w:cs="Times New Roman"/>
          <w:sz w:val="24"/>
          <w:szCs w:val="24"/>
        </w:rPr>
      </w:pPr>
      <w:r>
        <w:rPr>
          <w:rFonts w:ascii="Times New Roman" w:hAnsi="Times New Roman" w:cs="Times New Roman"/>
          <w:sz w:val="24"/>
          <w:szCs w:val="24"/>
        </w:rPr>
        <w:tab/>
        <w:t xml:space="preserve">In reference to the selection of treatment and control groups that was briefly mentioned in </w:t>
      </w:r>
      <w:r w:rsidR="00B477EC">
        <w:rPr>
          <w:rFonts w:ascii="Times New Roman" w:hAnsi="Times New Roman" w:cs="Times New Roman"/>
          <w:sz w:val="24"/>
          <w:szCs w:val="24"/>
        </w:rPr>
        <w:t>section 3</w:t>
      </w:r>
      <w:r>
        <w:rPr>
          <w:rFonts w:ascii="Times New Roman" w:hAnsi="Times New Roman" w:cs="Times New Roman"/>
          <w:sz w:val="24"/>
          <w:szCs w:val="24"/>
        </w:rPr>
        <w:t>, we then have 6 states that were approved for 1332 waivers which compose our treatment group: Alaska, Minnesota, Oregon, Maine, Maryland, and Wisconsin. For selection of the control states, we referenced the United Health Foundation’s Annual Report</w:t>
      </w:r>
      <w:r w:rsidR="005F7FE0">
        <w:rPr>
          <w:rFonts w:ascii="Times New Roman" w:hAnsi="Times New Roman" w:cs="Times New Roman"/>
          <w:sz w:val="24"/>
          <w:szCs w:val="24"/>
        </w:rPr>
        <w:t xml:space="preserve"> (2018)</w:t>
      </w:r>
      <w:r>
        <w:rPr>
          <w:rFonts w:ascii="Times New Roman" w:hAnsi="Times New Roman" w:cs="Times New Roman"/>
          <w:sz w:val="24"/>
          <w:szCs w:val="24"/>
        </w:rPr>
        <w:t>, specifically the component focusing on ranking U.S. states with respect to their health</w:t>
      </w:r>
      <w:r w:rsidR="005F7FE0">
        <w:rPr>
          <w:rFonts w:ascii="Times New Roman" w:hAnsi="Times New Roman" w:cs="Times New Roman"/>
          <w:sz w:val="24"/>
          <w:szCs w:val="24"/>
        </w:rPr>
        <w:t xml:space="preserve">. </w:t>
      </w:r>
      <w:r>
        <w:rPr>
          <w:rFonts w:ascii="Times New Roman" w:hAnsi="Times New Roman" w:cs="Times New Roman"/>
          <w:sz w:val="24"/>
          <w:szCs w:val="24"/>
        </w:rPr>
        <w:t>The health ranking model used by the Foundation examined behavioral health,</w:t>
      </w:r>
      <w:r w:rsidR="002E44CE">
        <w:rPr>
          <w:rFonts w:ascii="Times New Roman" w:hAnsi="Times New Roman" w:cs="Times New Roman"/>
          <w:sz w:val="24"/>
          <w:szCs w:val="24"/>
        </w:rPr>
        <w:t xml:space="preserve"> </w:t>
      </w:r>
      <w:r>
        <w:rPr>
          <w:rFonts w:ascii="Times New Roman" w:hAnsi="Times New Roman" w:cs="Times New Roman"/>
          <w:sz w:val="24"/>
          <w:szCs w:val="24"/>
        </w:rPr>
        <w:t>community</w:t>
      </w:r>
      <w:r w:rsidR="002E44CE">
        <w:rPr>
          <w:rFonts w:ascii="Times New Roman" w:hAnsi="Times New Roman" w:cs="Times New Roman"/>
          <w:sz w:val="24"/>
          <w:szCs w:val="24"/>
        </w:rPr>
        <w:t xml:space="preserve"> and </w:t>
      </w:r>
      <w:r>
        <w:rPr>
          <w:rFonts w:ascii="Times New Roman" w:hAnsi="Times New Roman" w:cs="Times New Roman"/>
          <w:sz w:val="24"/>
          <w:szCs w:val="24"/>
        </w:rPr>
        <w:t xml:space="preserve">environment, policy, and clinical care to determine each state’s health score, then ranked them accordingly. We selected Pennsylvania, Washington, Michigan, New York, Arizona, Wyoming, South Dakota, and Kansas due to their similar health scores and ranks in relation to the given treatment states. </w:t>
      </w:r>
    </w:p>
    <w:p w14:paraId="5974F07D" w14:textId="6B07B62D" w:rsidR="002B3F38" w:rsidRDefault="002B3F38" w:rsidP="00363717">
      <w:pPr>
        <w:rPr>
          <w:rFonts w:ascii="Times New Roman" w:hAnsi="Times New Roman" w:cs="Times New Roman"/>
          <w:sz w:val="24"/>
          <w:szCs w:val="24"/>
        </w:rPr>
      </w:pPr>
      <w:r>
        <w:rPr>
          <w:rFonts w:ascii="Times New Roman" w:hAnsi="Times New Roman" w:cs="Times New Roman"/>
          <w:sz w:val="24"/>
          <w:szCs w:val="24"/>
        </w:rPr>
        <w:tab/>
        <w:t>It is imperative that treatment and control groups be as similar as possible to ideally capture only the effect of the treatment that is being investigated, rather than some other potential confounders. With this in mind, we must note that one potential roadblock in our design is that out of our treatment group, all states except for Wisconsin adopted Medicaid Expansion policies in the 2010’s (</w:t>
      </w:r>
      <w:r w:rsidR="00FD34C1">
        <w:rPr>
          <w:rFonts w:ascii="Times New Roman" w:hAnsi="Times New Roman" w:cs="Times New Roman"/>
          <w:sz w:val="24"/>
          <w:szCs w:val="24"/>
        </w:rPr>
        <w:t>Kaiser Family Foundation</w:t>
      </w:r>
      <w:r>
        <w:rPr>
          <w:rFonts w:ascii="Times New Roman" w:hAnsi="Times New Roman" w:cs="Times New Roman"/>
          <w:sz w:val="24"/>
          <w:szCs w:val="24"/>
        </w:rPr>
        <w:t>, 2021). Medicaid Expansions could certainly have impacts upon individual health outcomes, and we also deliberately selected Wyoming, South Dakota, and Kansas as control states since those three have also not adopted Medicaid Expansions. Sensitivity analysis was conducted during the research by omitting Wisconsin and the non-Expansion control states and focusing strictly in on treatment and control states that had adopted Medicaid Expansions</w:t>
      </w:r>
      <w:r w:rsidR="007A7492">
        <w:rPr>
          <w:rFonts w:ascii="Times New Roman" w:hAnsi="Times New Roman" w:cs="Times New Roman"/>
          <w:sz w:val="24"/>
          <w:szCs w:val="24"/>
        </w:rPr>
        <w:t>.</w:t>
      </w:r>
      <w:r w:rsidR="006C0434">
        <w:rPr>
          <w:rFonts w:ascii="Times New Roman" w:hAnsi="Times New Roman" w:cs="Times New Roman"/>
          <w:sz w:val="24"/>
          <w:szCs w:val="24"/>
        </w:rPr>
        <w:t xml:space="preserve"> These results are presented along</w:t>
      </w:r>
      <w:r w:rsidR="00A20040">
        <w:rPr>
          <w:rFonts w:ascii="Times New Roman" w:hAnsi="Times New Roman" w:cs="Times New Roman"/>
          <w:sz w:val="24"/>
          <w:szCs w:val="24"/>
        </w:rPr>
        <w:t>side</w:t>
      </w:r>
      <w:r w:rsidR="006C0434">
        <w:rPr>
          <w:rFonts w:ascii="Times New Roman" w:hAnsi="Times New Roman" w:cs="Times New Roman"/>
          <w:sz w:val="24"/>
          <w:szCs w:val="24"/>
        </w:rPr>
        <w:t xml:space="preserve"> ones which </w:t>
      </w:r>
      <w:r w:rsidR="004758B4">
        <w:rPr>
          <w:rFonts w:ascii="Times New Roman" w:hAnsi="Times New Roman" w:cs="Times New Roman"/>
          <w:sz w:val="24"/>
          <w:szCs w:val="24"/>
        </w:rPr>
        <w:t xml:space="preserve">included </w:t>
      </w:r>
      <w:proofErr w:type="gramStart"/>
      <w:r w:rsidR="004758B4">
        <w:rPr>
          <w:rFonts w:ascii="Times New Roman" w:hAnsi="Times New Roman" w:cs="Times New Roman"/>
          <w:sz w:val="24"/>
          <w:szCs w:val="24"/>
        </w:rPr>
        <w:t>all of</w:t>
      </w:r>
      <w:proofErr w:type="gramEnd"/>
      <w:r w:rsidR="004758B4">
        <w:rPr>
          <w:rFonts w:ascii="Times New Roman" w:hAnsi="Times New Roman" w:cs="Times New Roman"/>
          <w:sz w:val="24"/>
          <w:szCs w:val="24"/>
        </w:rPr>
        <w:t xml:space="preserve"> the above states within section 5.</w:t>
      </w:r>
    </w:p>
    <w:p w14:paraId="3721C3DC" w14:textId="2410EB02" w:rsidR="00974DBB" w:rsidRDefault="00974DBB" w:rsidP="00974DBB">
      <w:pPr>
        <w:rPr>
          <w:rFonts w:ascii="Times New Roman" w:eastAsiaTheme="minorEastAsia" w:hAnsi="Times New Roman" w:cs="Times New Roman"/>
          <w:sz w:val="24"/>
          <w:szCs w:val="24"/>
        </w:rPr>
      </w:pPr>
      <w:r>
        <w:rPr>
          <w:rFonts w:ascii="Times New Roman" w:hAnsi="Times New Roman" w:cs="Times New Roman"/>
          <w:sz w:val="24"/>
          <w:szCs w:val="24"/>
        </w:rPr>
        <w:tab/>
      </w:r>
      <w:r w:rsidR="00986496">
        <w:rPr>
          <w:rFonts w:ascii="Times New Roman" w:hAnsi="Times New Roman" w:cs="Times New Roman"/>
          <w:sz w:val="24"/>
          <w:szCs w:val="24"/>
        </w:rPr>
        <w:t xml:space="preserve">To </w:t>
      </w:r>
      <w:r>
        <w:rPr>
          <w:rFonts w:ascii="Times New Roman" w:hAnsi="Times New Roman" w:cs="Times New Roman"/>
          <w:sz w:val="24"/>
          <w:szCs w:val="24"/>
        </w:rPr>
        <w:t>defin</w:t>
      </w:r>
      <w:r w:rsidR="00986496">
        <w:rPr>
          <w:rFonts w:ascii="Times New Roman" w:hAnsi="Times New Roman" w:cs="Times New Roman"/>
          <w:sz w:val="24"/>
          <w:szCs w:val="24"/>
        </w:rPr>
        <w:t>e</w:t>
      </w:r>
      <w:r>
        <w:rPr>
          <w:rFonts w:ascii="Times New Roman" w:hAnsi="Times New Roman" w:cs="Times New Roman"/>
          <w:sz w:val="24"/>
          <w:szCs w:val="24"/>
        </w:rPr>
        <w:t xml:space="preserve"> the details of </w:t>
      </w:r>
      <w:r w:rsidR="00986496">
        <w:rPr>
          <w:rFonts w:ascii="Times New Roman" w:hAnsi="Times New Roman" w:cs="Times New Roman"/>
          <w:sz w:val="24"/>
          <w:szCs w:val="24"/>
        </w:rPr>
        <w:t>our</w:t>
      </w:r>
      <w:r>
        <w:rPr>
          <w:rFonts w:ascii="Times New Roman" w:hAnsi="Times New Roman" w:cs="Times New Roman"/>
          <w:sz w:val="24"/>
          <w:szCs w:val="24"/>
        </w:rPr>
        <w:t xml:space="preserve"> DID model</w:t>
      </w:r>
      <w:r w:rsidR="00986496">
        <w:rPr>
          <w:rFonts w:ascii="Times New Roman" w:hAnsi="Times New Roman" w:cs="Times New Roman"/>
          <w:sz w:val="24"/>
          <w:szCs w:val="24"/>
        </w:rPr>
        <w:t xml:space="preserve"> in the context of this research,</w:t>
      </w:r>
      <w:r>
        <w:rPr>
          <w:rFonts w:ascii="Times New Roman" w:hAnsi="Times New Roman" w:cs="Times New Roman"/>
          <w:sz w:val="24"/>
          <w:szCs w:val="24"/>
        </w:rPr>
        <w:t xml:space="preserve"> </w:t>
      </w:r>
      <w:r w:rsidR="00986496">
        <w:rPr>
          <w:rFonts w:ascii="Times New Roman" w:hAnsi="Times New Roman" w:cs="Times New Roman"/>
          <w:sz w:val="24"/>
          <w:szCs w:val="24"/>
        </w:rPr>
        <w:t>c</w:t>
      </w:r>
      <w:r>
        <w:rPr>
          <w:rFonts w:ascii="Times New Roman" w:hAnsi="Times New Roman" w:cs="Times New Roman"/>
          <w:sz w:val="24"/>
          <w:szCs w:val="24"/>
        </w:rPr>
        <w:t xml:space="preserve">onsider a BRFSS survey respondent </w:t>
      </w:r>
      <m:oMath>
        <m:r>
          <w:rPr>
            <w:rFonts w:ascii="Cambria Math" w:hAnsi="Cambria Math" w:cs="Times New Roman"/>
            <w:sz w:val="24"/>
            <w:szCs w:val="24"/>
          </w:rPr>
          <m:t>i</m:t>
        </m:r>
      </m:oMath>
      <w:r>
        <w:rPr>
          <w:rFonts w:ascii="Times New Roman" w:eastAsiaTheme="minorEastAsia" w:hAnsi="Times New Roman" w:cs="Times New Roman"/>
          <w:sz w:val="24"/>
          <w:szCs w:val="24"/>
        </w:rPr>
        <w:t xml:space="preserve"> at time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This individual has a collection of sociodemographic characteristics at this time, as defined above in the controls of our features, and we can denote it by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it</m:t>
            </m:r>
          </m:sub>
        </m:sSub>
      </m:oMath>
      <w:r>
        <w:rPr>
          <w:rFonts w:ascii="Times New Roman" w:eastAsiaTheme="minorEastAsia" w:hAnsi="Times New Roman" w:cs="Times New Roman"/>
          <w:sz w:val="24"/>
          <w:szCs w:val="24"/>
        </w:rPr>
        <w:t xml:space="preserve">. Now, we can let “treatment” be defined as residence within a state that implemented a </w:t>
      </w:r>
      <w:r>
        <w:rPr>
          <w:rFonts w:ascii="Times New Roman" w:eastAsiaTheme="minorEastAsia" w:hAnsi="Times New Roman" w:cs="Times New Roman"/>
          <w:sz w:val="24"/>
          <w:szCs w:val="24"/>
        </w:rPr>
        <w:lastRenderedPageBreak/>
        <w:t xml:space="preserve">reinsurance program. </w:t>
      </w:r>
      <w:r w:rsidR="009C41EF">
        <w:rPr>
          <w:rFonts w:ascii="Times New Roman" w:eastAsiaTheme="minorEastAsia" w:hAnsi="Times New Roman" w:cs="Times New Roman"/>
          <w:sz w:val="24"/>
          <w:szCs w:val="24"/>
        </w:rPr>
        <w:t xml:space="preserve">In our case, we necessitate two treatment groups: one represented by </w:t>
      </w:r>
      <w:r w:rsidR="00E0438B">
        <w:rPr>
          <w:rFonts w:ascii="Times New Roman" w:eastAsiaTheme="minorEastAsia" w:hAnsi="Times New Roman" w:cs="Times New Roman"/>
          <w:sz w:val="24"/>
          <w:szCs w:val="24"/>
        </w:rPr>
        <w:t xml:space="preserve">individuals which implemented reinsurance in 2018 [those states being </w:t>
      </w:r>
      <w:r w:rsidR="00A83327">
        <w:rPr>
          <w:rFonts w:ascii="Times New Roman" w:eastAsiaTheme="minorEastAsia" w:hAnsi="Times New Roman" w:cs="Times New Roman"/>
          <w:sz w:val="24"/>
          <w:szCs w:val="24"/>
        </w:rPr>
        <w:t xml:space="preserve">the ones that had their waivers approved in 2017, so </w:t>
      </w:r>
      <w:r w:rsidR="008F7AED">
        <w:rPr>
          <w:rFonts w:ascii="Times New Roman" w:eastAsiaTheme="minorEastAsia" w:hAnsi="Times New Roman" w:cs="Times New Roman"/>
          <w:sz w:val="24"/>
          <w:szCs w:val="24"/>
        </w:rPr>
        <w:t>Alaska, Minnesota</w:t>
      </w:r>
      <w:r w:rsidR="0000247C">
        <w:rPr>
          <w:rFonts w:ascii="Times New Roman" w:eastAsiaTheme="minorEastAsia" w:hAnsi="Times New Roman" w:cs="Times New Roman"/>
          <w:sz w:val="24"/>
          <w:szCs w:val="24"/>
        </w:rPr>
        <w:t>,</w:t>
      </w:r>
      <w:r w:rsidR="008F7AED">
        <w:rPr>
          <w:rFonts w:ascii="Times New Roman" w:eastAsiaTheme="minorEastAsia" w:hAnsi="Times New Roman" w:cs="Times New Roman"/>
          <w:sz w:val="24"/>
          <w:szCs w:val="24"/>
        </w:rPr>
        <w:t xml:space="preserve"> and Oregon</w:t>
      </w:r>
      <w:r w:rsidR="00E0438B">
        <w:rPr>
          <w:rFonts w:ascii="Times New Roman" w:eastAsiaTheme="minorEastAsia" w:hAnsi="Times New Roman" w:cs="Times New Roman"/>
          <w:sz w:val="24"/>
          <w:szCs w:val="24"/>
        </w:rPr>
        <w:t>]</w:t>
      </w:r>
      <w:r w:rsidR="008F7AED">
        <w:rPr>
          <w:rFonts w:ascii="Times New Roman" w:eastAsiaTheme="minorEastAsia" w:hAnsi="Times New Roman" w:cs="Times New Roman"/>
          <w:sz w:val="24"/>
          <w:szCs w:val="24"/>
        </w:rPr>
        <w:t xml:space="preserve">, and another represented by individuals that implemented reinsurance in 2019 </w:t>
      </w:r>
      <w:r w:rsidR="00743975">
        <w:rPr>
          <w:rFonts w:ascii="Times New Roman" w:eastAsiaTheme="minorEastAsia" w:hAnsi="Times New Roman" w:cs="Times New Roman"/>
          <w:sz w:val="24"/>
          <w:szCs w:val="24"/>
        </w:rPr>
        <w:t>[</w:t>
      </w:r>
      <w:r w:rsidR="00A83327">
        <w:rPr>
          <w:rFonts w:ascii="Times New Roman" w:eastAsiaTheme="minorEastAsia" w:hAnsi="Times New Roman" w:cs="Times New Roman"/>
          <w:sz w:val="24"/>
          <w:szCs w:val="24"/>
        </w:rPr>
        <w:t xml:space="preserve">these states are the ones which had their waivers approved in 2018, so </w:t>
      </w:r>
      <w:r w:rsidR="00146214">
        <w:rPr>
          <w:rFonts w:ascii="Times New Roman" w:eastAsiaTheme="minorEastAsia" w:hAnsi="Times New Roman" w:cs="Times New Roman"/>
          <w:sz w:val="24"/>
          <w:szCs w:val="24"/>
        </w:rPr>
        <w:t>Wisconsin, Maryland</w:t>
      </w:r>
      <w:r w:rsidR="0000247C">
        <w:rPr>
          <w:rFonts w:ascii="Times New Roman" w:eastAsiaTheme="minorEastAsia" w:hAnsi="Times New Roman" w:cs="Times New Roman"/>
          <w:sz w:val="24"/>
          <w:szCs w:val="24"/>
        </w:rPr>
        <w:t>,</w:t>
      </w:r>
      <w:r w:rsidR="00146214">
        <w:rPr>
          <w:rFonts w:ascii="Times New Roman" w:eastAsiaTheme="minorEastAsia" w:hAnsi="Times New Roman" w:cs="Times New Roman"/>
          <w:sz w:val="24"/>
          <w:szCs w:val="24"/>
        </w:rPr>
        <w:t xml:space="preserve"> and Maine</w:t>
      </w:r>
      <w:r w:rsidR="00743975">
        <w:rPr>
          <w:rFonts w:ascii="Times New Roman" w:eastAsiaTheme="minorEastAsia" w:hAnsi="Times New Roman" w:cs="Times New Roman"/>
          <w:sz w:val="24"/>
          <w:szCs w:val="24"/>
        </w:rPr>
        <w:t>]</w:t>
      </w:r>
      <w:r w:rsidR="00146214">
        <w:rPr>
          <w:rFonts w:ascii="Times New Roman" w:eastAsiaTheme="minorEastAsia" w:hAnsi="Times New Roman" w:cs="Times New Roman"/>
          <w:sz w:val="24"/>
          <w:szCs w:val="24"/>
        </w:rPr>
        <w:t>. We can d</w:t>
      </w:r>
      <w:r>
        <w:rPr>
          <w:rFonts w:ascii="Times New Roman" w:eastAsiaTheme="minorEastAsia" w:hAnsi="Times New Roman" w:cs="Times New Roman"/>
          <w:sz w:val="24"/>
          <w:szCs w:val="24"/>
        </w:rPr>
        <w:t xml:space="preserve">enote </w:t>
      </w:r>
      <w:r w:rsidR="00146214">
        <w:rPr>
          <w:rFonts w:ascii="Times New Roman" w:eastAsiaTheme="minorEastAsia" w:hAnsi="Times New Roman" w:cs="Times New Roman"/>
          <w:sz w:val="24"/>
          <w:szCs w:val="24"/>
        </w:rPr>
        <w:t>these groups</w:t>
      </w:r>
      <w:r>
        <w:rPr>
          <w:rFonts w:ascii="Times New Roman" w:eastAsiaTheme="minorEastAsia" w:hAnsi="Times New Roman" w:cs="Times New Roman"/>
          <w:sz w:val="24"/>
          <w:szCs w:val="24"/>
        </w:rPr>
        <w:t xml:space="preserve"> by:</w:t>
      </w:r>
    </w:p>
    <w:p w14:paraId="2563943C" w14:textId="425D947D" w:rsidR="00974DBB" w:rsidRPr="00146214" w:rsidRDefault="00992029" w:rsidP="00974DBB">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1i</m:t>
              </m:r>
            </m:sub>
          </m:sSub>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 xml:space="preserve">1, if individual i resides in a state that implemented reinsurance in 2018 </m:t>
                  </m:r>
                </m:e>
                <m:e>
                  <m:r>
                    <w:rPr>
                      <w:rFonts w:ascii="Cambria Math" w:eastAsiaTheme="minorEastAsia" w:hAnsi="Cambria Math" w:cs="Times New Roman"/>
                      <w:sz w:val="24"/>
                      <w:szCs w:val="24"/>
                    </w:rPr>
                    <m:t>0, otherwise</m:t>
                  </m:r>
                </m:e>
              </m:eqArr>
            </m:e>
          </m:d>
        </m:oMath>
      </m:oMathPara>
    </w:p>
    <w:p w14:paraId="3F86BE0C" w14:textId="51E828FC" w:rsidR="00146214" w:rsidRPr="008E3645" w:rsidRDefault="00992029" w:rsidP="00146214">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2i</m:t>
              </m:r>
            </m:sub>
          </m:sSub>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 xml:space="preserve">1, if individual i resides in a state that implemented reinsurance in 2019 </m:t>
                  </m:r>
                </m:e>
                <m:e>
                  <m:r>
                    <w:rPr>
                      <w:rFonts w:ascii="Cambria Math" w:eastAsiaTheme="minorEastAsia" w:hAnsi="Cambria Math" w:cs="Times New Roman"/>
                      <w:sz w:val="24"/>
                      <w:szCs w:val="24"/>
                    </w:rPr>
                    <m:t>0, otherwise</m:t>
                  </m:r>
                </m:e>
              </m:eqArr>
            </m:e>
          </m:d>
        </m:oMath>
      </m:oMathPara>
    </w:p>
    <w:p w14:paraId="783A75F2" w14:textId="7C0AC47B" w:rsidR="00974DBB" w:rsidRDefault="00974DBB" w:rsidP="00974DBB">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track when and if a reinsurance program has been implemented in the state, </w:t>
      </w:r>
      <w:r w:rsidR="007E7C08">
        <w:rPr>
          <w:rFonts w:ascii="Times New Roman" w:eastAsiaTheme="minorEastAsia" w:hAnsi="Times New Roman" w:cs="Times New Roman"/>
          <w:sz w:val="24"/>
          <w:szCs w:val="24"/>
        </w:rPr>
        <w:t xml:space="preserve">we can introduce </w:t>
      </w:r>
      <w:r w:rsidR="00076558">
        <w:rPr>
          <w:rFonts w:ascii="Times New Roman" w:eastAsiaTheme="minorEastAsia" w:hAnsi="Times New Roman" w:cs="Times New Roman"/>
          <w:sz w:val="24"/>
          <w:szCs w:val="24"/>
        </w:rPr>
        <w:t>the</w:t>
      </w:r>
      <w:r w:rsidR="007E7C08">
        <w:rPr>
          <w:rFonts w:ascii="Times New Roman" w:eastAsiaTheme="minorEastAsia" w:hAnsi="Times New Roman" w:cs="Times New Roman"/>
          <w:sz w:val="24"/>
          <w:szCs w:val="24"/>
        </w:rPr>
        <w:t xml:space="preserve"> indicator variable</w:t>
      </w:r>
      <w:r w:rsidR="00076558">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w:t>
      </w:r>
    </w:p>
    <w:p w14:paraId="75CBAEEF" w14:textId="6A43EC9D" w:rsidR="00974DBB" w:rsidRPr="0076385B" w:rsidRDefault="00992029" w:rsidP="00974DBB">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1i</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1, if time is after or during early treatment implementation (2018 or later) </m:t>
                  </m:r>
                </m:e>
                <m:e>
                  <m:r>
                    <w:rPr>
                      <w:rFonts w:ascii="Cambria Math" w:hAnsi="Cambria Math" w:cs="Times New Roman"/>
                      <w:sz w:val="24"/>
                      <w:szCs w:val="24"/>
                    </w:rPr>
                    <m:t>0, if time is before early treatment implementation (2017 or earlier)</m:t>
                  </m:r>
                </m:e>
              </m:eqArr>
            </m:e>
          </m:d>
        </m:oMath>
      </m:oMathPara>
    </w:p>
    <w:p w14:paraId="5C8A542A" w14:textId="2956D537" w:rsidR="0076385B" w:rsidRPr="002B4D72" w:rsidRDefault="00992029" w:rsidP="00974DBB">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2i</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1, if time is after or during late treatment implementation (2019 or later) </m:t>
                  </m:r>
                </m:e>
                <m:e>
                  <m:r>
                    <w:rPr>
                      <w:rFonts w:ascii="Cambria Math" w:hAnsi="Cambria Math" w:cs="Times New Roman"/>
                      <w:sz w:val="24"/>
                      <w:szCs w:val="24"/>
                    </w:rPr>
                    <m:t>0, if time is before late treatment implementation (2018 or earlier)</m:t>
                  </m:r>
                </m:e>
              </m:eqArr>
            </m:e>
          </m:d>
        </m:oMath>
      </m:oMathPara>
    </w:p>
    <w:p w14:paraId="3A99C899" w14:textId="62F68BB9" w:rsidR="00B26F84" w:rsidRDefault="00B26F84" w:rsidP="000863A8">
      <w:pPr>
        <w:ind w:firstLine="720"/>
        <w:rPr>
          <w:rFonts w:ascii="Times New Roman" w:hAnsi="Times New Roman" w:cs="Times New Roman"/>
          <w:sz w:val="24"/>
          <w:szCs w:val="24"/>
        </w:rPr>
      </w:pPr>
      <w:r>
        <w:rPr>
          <w:rFonts w:ascii="Times New Roman" w:eastAsiaTheme="minorEastAsia" w:hAnsi="Times New Roman" w:cs="Times New Roman"/>
          <w:sz w:val="24"/>
          <w:szCs w:val="24"/>
        </w:rPr>
        <w:t>We now must clarify one c</w:t>
      </w:r>
      <w:r w:rsidR="00960ADE">
        <w:rPr>
          <w:rFonts w:ascii="Times New Roman" w:eastAsiaTheme="minorEastAsia" w:hAnsi="Times New Roman" w:cs="Times New Roman"/>
          <w:sz w:val="24"/>
          <w:szCs w:val="24"/>
        </w:rPr>
        <w:t xml:space="preserve">omponent of the DID model. </w:t>
      </w:r>
      <w:r w:rsidR="00107838">
        <w:rPr>
          <w:rFonts w:ascii="Times New Roman" w:hAnsi="Times New Roman" w:cs="Times New Roman"/>
          <w:sz w:val="24"/>
          <w:szCs w:val="24"/>
        </w:rPr>
        <w:t xml:space="preserve">The underlying assumption guiding the development of a DID model rests on the parallel </w:t>
      </w:r>
      <w:proofErr w:type="gramStart"/>
      <w:r w:rsidR="00107838">
        <w:rPr>
          <w:rFonts w:ascii="Times New Roman" w:hAnsi="Times New Roman" w:cs="Times New Roman"/>
          <w:sz w:val="24"/>
          <w:szCs w:val="24"/>
        </w:rPr>
        <w:t>trends</w:t>
      </w:r>
      <w:proofErr w:type="gramEnd"/>
      <w:r w:rsidR="00107838">
        <w:rPr>
          <w:rFonts w:ascii="Times New Roman" w:hAnsi="Times New Roman" w:cs="Times New Roman"/>
          <w:sz w:val="24"/>
          <w:szCs w:val="24"/>
        </w:rPr>
        <w:t xml:space="preserve"> assumption. The parallel trends assumption is predicated upon both control and treatment groups </w:t>
      </w:r>
      <w:r w:rsidR="00B64AD3">
        <w:rPr>
          <w:rFonts w:ascii="Times New Roman" w:hAnsi="Times New Roman" w:cs="Times New Roman"/>
          <w:sz w:val="24"/>
          <w:szCs w:val="24"/>
        </w:rPr>
        <w:t xml:space="preserve">linearly </w:t>
      </w:r>
      <w:r w:rsidR="00107838">
        <w:rPr>
          <w:rFonts w:ascii="Times New Roman" w:hAnsi="Times New Roman" w:cs="Times New Roman"/>
          <w:sz w:val="24"/>
          <w:szCs w:val="24"/>
        </w:rPr>
        <w:t xml:space="preserve">trending in a similar way with respect to the measured outcome prior to treatment being implemented, allowing for differences in the outcome levels between both groups, but relying on them to be tracking in the same direction, at a relatively similar rate and manner. Then, post-treatment, any additional change to the treatment group’s outcome which strays from the trendline that they were previously on can be chalked up to the intervention effect, captured by the DID estimator. </w:t>
      </w:r>
    </w:p>
    <w:p w14:paraId="275B1917" w14:textId="1E64F7AF" w:rsidR="000863A8" w:rsidRDefault="000863A8" w:rsidP="000863A8">
      <w:pPr>
        <w:rPr>
          <w:rFonts w:ascii="Times New Roman" w:hAnsi="Times New Roman" w:cs="Times New Roman"/>
          <w:sz w:val="24"/>
          <w:szCs w:val="24"/>
        </w:rPr>
      </w:pPr>
      <w:r>
        <w:rPr>
          <w:rFonts w:ascii="Times New Roman" w:hAnsi="Times New Roman" w:cs="Times New Roman"/>
          <w:sz w:val="24"/>
          <w:szCs w:val="24"/>
        </w:rPr>
        <w:tab/>
      </w:r>
      <w:r w:rsidR="00AE3B3E">
        <w:rPr>
          <w:rFonts w:ascii="Times New Roman" w:hAnsi="Times New Roman" w:cs="Times New Roman"/>
          <w:sz w:val="24"/>
          <w:szCs w:val="24"/>
        </w:rPr>
        <w:t>One complication with working with the BRFSS survey</w:t>
      </w:r>
      <w:r w:rsidR="00CB418A">
        <w:rPr>
          <w:rFonts w:ascii="Times New Roman" w:hAnsi="Times New Roman" w:cs="Times New Roman"/>
          <w:sz w:val="24"/>
          <w:szCs w:val="24"/>
        </w:rPr>
        <w:t xml:space="preserve"> exists in reconciling the categorical nature of the data to fit in with the linearity of a DID model. </w:t>
      </w:r>
      <w:r w:rsidR="00721B66">
        <w:rPr>
          <w:rFonts w:ascii="Times New Roman" w:hAnsi="Times New Roman" w:cs="Times New Roman"/>
          <w:sz w:val="24"/>
          <w:szCs w:val="24"/>
        </w:rPr>
        <w:t>Taking a cue from</w:t>
      </w:r>
      <w:r w:rsidR="00826C92">
        <w:rPr>
          <w:rFonts w:ascii="Times New Roman" w:hAnsi="Times New Roman" w:cs="Times New Roman"/>
          <w:sz w:val="24"/>
          <w:szCs w:val="24"/>
        </w:rPr>
        <w:t xml:space="preserve"> </w:t>
      </w:r>
      <w:r w:rsidR="00F97675">
        <w:rPr>
          <w:rFonts w:ascii="Times New Roman" w:hAnsi="Times New Roman" w:cs="Times New Roman"/>
          <w:sz w:val="24"/>
          <w:szCs w:val="24"/>
        </w:rPr>
        <w:t xml:space="preserve">other studies </w:t>
      </w:r>
      <w:r w:rsidR="001D79F5">
        <w:rPr>
          <w:rFonts w:ascii="Times New Roman" w:hAnsi="Times New Roman" w:cs="Times New Roman"/>
          <w:sz w:val="24"/>
          <w:szCs w:val="24"/>
        </w:rPr>
        <w:t>in pertinent literature</w:t>
      </w:r>
      <w:r w:rsidR="009D0A71">
        <w:rPr>
          <w:rFonts w:ascii="Times New Roman" w:hAnsi="Times New Roman" w:cs="Times New Roman"/>
          <w:sz w:val="24"/>
          <w:szCs w:val="24"/>
        </w:rPr>
        <w:t xml:space="preserve">, </w:t>
      </w:r>
      <w:r w:rsidR="00F97675">
        <w:rPr>
          <w:rFonts w:ascii="Times New Roman" w:hAnsi="Times New Roman" w:cs="Times New Roman"/>
          <w:sz w:val="24"/>
          <w:szCs w:val="24"/>
        </w:rPr>
        <w:t>one workaround</w:t>
      </w:r>
      <w:r w:rsidR="001D79F5">
        <w:rPr>
          <w:rFonts w:ascii="Times New Roman" w:hAnsi="Times New Roman" w:cs="Times New Roman"/>
          <w:sz w:val="24"/>
          <w:szCs w:val="24"/>
        </w:rPr>
        <w:t xml:space="preserve"> </w:t>
      </w:r>
      <w:r w:rsidR="009D0A71">
        <w:rPr>
          <w:rFonts w:ascii="Times New Roman" w:hAnsi="Times New Roman" w:cs="Times New Roman"/>
          <w:sz w:val="24"/>
          <w:szCs w:val="24"/>
        </w:rPr>
        <w:t xml:space="preserve">is to </w:t>
      </w:r>
      <w:r w:rsidR="006C0D96">
        <w:rPr>
          <w:rFonts w:ascii="Times New Roman" w:hAnsi="Times New Roman" w:cs="Times New Roman"/>
          <w:sz w:val="24"/>
          <w:szCs w:val="24"/>
        </w:rPr>
        <w:t>instead determine the proportion of individuals in the treatment and control groups that exhibited the outcome behavior</w:t>
      </w:r>
      <w:r w:rsidR="00D348D4">
        <w:rPr>
          <w:rFonts w:ascii="Times New Roman" w:hAnsi="Times New Roman" w:cs="Times New Roman"/>
          <w:sz w:val="24"/>
          <w:szCs w:val="24"/>
        </w:rPr>
        <w:t>; one</w:t>
      </w:r>
      <w:r w:rsidR="009D0A71">
        <w:rPr>
          <w:rFonts w:ascii="Times New Roman" w:hAnsi="Times New Roman" w:cs="Times New Roman"/>
          <w:sz w:val="24"/>
          <w:szCs w:val="24"/>
        </w:rPr>
        <w:t xml:space="preserve"> such</w:t>
      </w:r>
      <w:r w:rsidR="00D348D4">
        <w:rPr>
          <w:rFonts w:ascii="Times New Roman" w:hAnsi="Times New Roman" w:cs="Times New Roman"/>
          <w:sz w:val="24"/>
          <w:szCs w:val="24"/>
        </w:rPr>
        <w:t xml:space="preserve"> example is a study</w:t>
      </w:r>
      <w:r w:rsidR="009D0A71">
        <w:rPr>
          <w:rFonts w:ascii="Times New Roman" w:hAnsi="Times New Roman" w:cs="Times New Roman"/>
          <w:sz w:val="24"/>
          <w:szCs w:val="24"/>
        </w:rPr>
        <w:t xml:space="preserve"> that utilized BRFSS data to examine the effects of laws which permitted the denial of services to same-sex couples on </w:t>
      </w:r>
      <w:r w:rsidR="00480124">
        <w:rPr>
          <w:rFonts w:ascii="Times New Roman" w:hAnsi="Times New Roman" w:cs="Times New Roman"/>
          <w:sz w:val="24"/>
          <w:szCs w:val="24"/>
        </w:rPr>
        <w:t xml:space="preserve">sexual minority adults’ </w:t>
      </w:r>
      <w:r w:rsidR="009D0A71">
        <w:rPr>
          <w:rFonts w:ascii="Times New Roman" w:hAnsi="Times New Roman" w:cs="Times New Roman"/>
          <w:sz w:val="24"/>
          <w:szCs w:val="24"/>
        </w:rPr>
        <w:t>mental health (</w:t>
      </w:r>
      <w:proofErr w:type="spellStart"/>
      <w:r w:rsidR="009D0A71">
        <w:rPr>
          <w:rFonts w:ascii="Times New Roman" w:hAnsi="Times New Roman" w:cs="Times New Roman"/>
          <w:sz w:val="24"/>
          <w:szCs w:val="24"/>
        </w:rPr>
        <w:t>Raifman</w:t>
      </w:r>
      <w:proofErr w:type="spellEnd"/>
      <w:r w:rsidR="007D2B26">
        <w:rPr>
          <w:rFonts w:ascii="Times New Roman" w:hAnsi="Times New Roman" w:cs="Times New Roman"/>
          <w:sz w:val="24"/>
          <w:szCs w:val="24"/>
        </w:rPr>
        <w:t xml:space="preserve">, </w:t>
      </w:r>
      <w:r w:rsidR="001D7071">
        <w:rPr>
          <w:rFonts w:ascii="Times New Roman" w:hAnsi="Times New Roman" w:cs="Times New Roman"/>
          <w:sz w:val="24"/>
          <w:szCs w:val="24"/>
        </w:rPr>
        <w:t>2018</w:t>
      </w:r>
      <w:r w:rsidR="009D0A71">
        <w:rPr>
          <w:rFonts w:ascii="Times New Roman" w:hAnsi="Times New Roman" w:cs="Times New Roman"/>
          <w:sz w:val="24"/>
          <w:szCs w:val="24"/>
        </w:rPr>
        <w:t>)</w:t>
      </w:r>
      <w:r w:rsidR="00480124">
        <w:rPr>
          <w:rFonts w:ascii="Times New Roman" w:hAnsi="Times New Roman" w:cs="Times New Roman"/>
          <w:sz w:val="24"/>
          <w:szCs w:val="24"/>
        </w:rPr>
        <w:t xml:space="preserve">. </w:t>
      </w:r>
      <w:r w:rsidR="00690DAC">
        <w:rPr>
          <w:rFonts w:ascii="Times New Roman" w:hAnsi="Times New Roman" w:cs="Times New Roman"/>
          <w:sz w:val="24"/>
          <w:szCs w:val="24"/>
        </w:rPr>
        <w:t xml:space="preserve">Doing so </w:t>
      </w:r>
      <w:r w:rsidR="00893A5E">
        <w:rPr>
          <w:rFonts w:ascii="Times New Roman" w:hAnsi="Times New Roman" w:cs="Times New Roman"/>
          <w:sz w:val="24"/>
          <w:szCs w:val="24"/>
        </w:rPr>
        <w:t xml:space="preserve">coerces the data to fit a linear form much more naturally than its true binomial/multinomial form, giving an avenue with which to pursue a DID </w:t>
      </w:r>
      <w:r w:rsidR="003320C0">
        <w:rPr>
          <w:rFonts w:ascii="Times New Roman" w:hAnsi="Times New Roman" w:cs="Times New Roman"/>
          <w:sz w:val="24"/>
          <w:szCs w:val="24"/>
        </w:rPr>
        <w:t xml:space="preserve">research design. </w:t>
      </w:r>
    </w:p>
    <w:p w14:paraId="3EA97F67" w14:textId="31F2A39B" w:rsidR="00405D70" w:rsidRDefault="00405D70" w:rsidP="000863A8">
      <w:pPr>
        <w:rPr>
          <w:rFonts w:ascii="Times New Roman" w:hAnsi="Times New Roman" w:cs="Times New Roman"/>
          <w:sz w:val="24"/>
          <w:szCs w:val="24"/>
        </w:rPr>
      </w:pPr>
      <w:r>
        <w:rPr>
          <w:rFonts w:ascii="Times New Roman" w:hAnsi="Times New Roman" w:cs="Times New Roman"/>
          <w:sz w:val="24"/>
          <w:szCs w:val="24"/>
        </w:rPr>
        <w:tab/>
        <w:t xml:space="preserve">In this vein, </w:t>
      </w:r>
      <w:r w:rsidR="00A36C2A">
        <w:rPr>
          <w:rFonts w:ascii="Times New Roman" w:hAnsi="Times New Roman" w:cs="Times New Roman"/>
          <w:sz w:val="24"/>
          <w:szCs w:val="24"/>
        </w:rPr>
        <w:t xml:space="preserve">our research henceforth </w:t>
      </w:r>
      <w:r w:rsidR="00967A5A">
        <w:rPr>
          <w:rFonts w:ascii="Times New Roman" w:hAnsi="Times New Roman" w:cs="Times New Roman"/>
          <w:sz w:val="24"/>
          <w:szCs w:val="24"/>
        </w:rPr>
        <w:t xml:space="preserve">measures the previously identified outcomes </w:t>
      </w:r>
      <w:r w:rsidR="007E5389">
        <w:rPr>
          <w:rFonts w:ascii="Times New Roman" w:hAnsi="Times New Roman" w:cs="Times New Roman"/>
          <w:sz w:val="24"/>
          <w:szCs w:val="24"/>
        </w:rPr>
        <w:t xml:space="preserve">in terms of the proportion of individuals in the treatment and control groups that demonstrated that outcome. For example, rather than looking at </w:t>
      </w:r>
      <w:r w:rsidR="00293DC0">
        <w:rPr>
          <w:rFonts w:ascii="Times New Roman" w:hAnsi="Times New Roman" w:cs="Times New Roman"/>
          <w:sz w:val="24"/>
          <w:szCs w:val="24"/>
        </w:rPr>
        <w:t>an individual respondent’s self-reported health status, we instead look at the proportion of individuals per year</w:t>
      </w:r>
      <w:r w:rsidR="003E1FE0">
        <w:rPr>
          <w:rFonts w:ascii="Times New Roman" w:hAnsi="Times New Roman" w:cs="Times New Roman"/>
          <w:sz w:val="24"/>
          <w:szCs w:val="24"/>
        </w:rPr>
        <w:t>, in each group</w:t>
      </w:r>
      <w:r w:rsidR="00900C60">
        <w:rPr>
          <w:rFonts w:ascii="Times New Roman" w:hAnsi="Times New Roman" w:cs="Times New Roman"/>
          <w:sz w:val="24"/>
          <w:szCs w:val="24"/>
        </w:rPr>
        <w:t>,</w:t>
      </w:r>
      <w:r w:rsidR="00293DC0">
        <w:rPr>
          <w:rFonts w:ascii="Times New Roman" w:hAnsi="Times New Roman" w:cs="Times New Roman"/>
          <w:sz w:val="24"/>
          <w:szCs w:val="24"/>
        </w:rPr>
        <w:t xml:space="preserve"> </w:t>
      </w:r>
      <w:r w:rsidR="00771B8A">
        <w:rPr>
          <w:rFonts w:ascii="Times New Roman" w:hAnsi="Times New Roman" w:cs="Times New Roman"/>
          <w:sz w:val="24"/>
          <w:szCs w:val="24"/>
        </w:rPr>
        <w:t>who reported their health to be good,</w:t>
      </w:r>
      <w:r w:rsidR="003E1FE0">
        <w:rPr>
          <w:rFonts w:ascii="Times New Roman" w:hAnsi="Times New Roman" w:cs="Times New Roman"/>
          <w:sz w:val="24"/>
          <w:szCs w:val="24"/>
        </w:rPr>
        <w:t xml:space="preserve"> </w:t>
      </w:r>
      <w:proofErr w:type="gramStart"/>
      <w:r w:rsidR="003E1FE0">
        <w:rPr>
          <w:rFonts w:ascii="Times New Roman" w:hAnsi="Times New Roman" w:cs="Times New Roman"/>
          <w:sz w:val="24"/>
          <w:szCs w:val="24"/>
        </w:rPr>
        <w:t>very good</w:t>
      </w:r>
      <w:proofErr w:type="gramEnd"/>
      <w:r w:rsidR="003E1FE0">
        <w:rPr>
          <w:rFonts w:ascii="Times New Roman" w:hAnsi="Times New Roman" w:cs="Times New Roman"/>
          <w:sz w:val="24"/>
          <w:szCs w:val="24"/>
        </w:rPr>
        <w:t>, or excellent. This type of re-coding applies to other</w:t>
      </w:r>
      <w:r w:rsidR="00222E4B">
        <w:rPr>
          <w:rFonts w:ascii="Times New Roman" w:hAnsi="Times New Roman" w:cs="Times New Roman"/>
          <w:sz w:val="24"/>
          <w:szCs w:val="24"/>
        </w:rPr>
        <w:t xml:space="preserve"> outcome </w:t>
      </w:r>
      <w:r w:rsidR="003E1FE0">
        <w:rPr>
          <w:rFonts w:ascii="Times New Roman" w:hAnsi="Times New Roman" w:cs="Times New Roman"/>
          <w:sz w:val="24"/>
          <w:szCs w:val="24"/>
        </w:rPr>
        <w:t>variables in similar ways</w:t>
      </w:r>
      <w:r w:rsidR="00222E4B">
        <w:rPr>
          <w:rFonts w:ascii="Times New Roman" w:hAnsi="Times New Roman" w:cs="Times New Roman"/>
          <w:sz w:val="24"/>
          <w:szCs w:val="24"/>
        </w:rPr>
        <w:t xml:space="preserve"> [Feature variables retain their categorical nature in the model]</w:t>
      </w:r>
      <w:r w:rsidR="00387F63">
        <w:rPr>
          <w:rFonts w:ascii="Times New Roman" w:hAnsi="Times New Roman" w:cs="Times New Roman"/>
          <w:sz w:val="24"/>
          <w:szCs w:val="24"/>
        </w:rPr>
        <w:t xml:space="preserve">. </w:t>
      </w:r>
      <w:r w:rsidR="00A87C28">
        <w:rPr>
          <w:rFonts w:ascii="Times New Roman" w:hAnsi="Times New Roman" w:cs="Times New Roman"/>
          <w:sz w:val="24"/>
          <w:szCs w:val="24"/>
        </w:rPr>
        <w:t>Put another way, w</w:t>
      </w:r>
      <w:r w:rsidR="00387F63">
        <w:rPr>
          <w:rFonts w:ascii="Times New Roman" w:hAnsi="Times New Roman" w:cs="Times New Roman"/>
          <w:sz w:val="24"/>
          <w:szCs w:val="24"/>
        </w:rPr>
        <w:t>e now look at the proportion of individuals who</w:t>
      </w:r>
      <w:r w:rsidR="003E1FE0">
        <w:rPr>
          <w:rFonts w:ascii="Times New Roman" w:hAnsi="Times New Roman" w:cs="Times New Roman"/>
          <w:sz w:val="24"/>
          <w:szCs w:val="24"/>
        </w:rPr>
        <w:t xml:space="preserve">: </w:t>
      </w:r>
    </w:p>
    <w:p w14:paraId="602F8039" w14:textId="77777777" w:rsidR="00A35CB0" w:rsidRDefault="00A35CB0" w:rsidP="000863A8">
      <w:pPr>
        <w:rPr>
          <w:rFonts w:ascii="Times New Roman" w:hAnsi="Times New Roman" w:cs="Times New Roman"/>
          <w:sz w:val="24"/>
          <w:szCs w:val="24"/>
        </w:rPr>
      </w:pPr>
    </w:p>
    <w:p w14:paraId="1503EAD7" w14:textId="6DF68A2A" w:rsidR="003F0D35" w:rsidRDefault="008D058E" w:rsidP="003F0D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H</w:t>
      </w:r>
      <w:r w:rsidR="0005037C">
        <w:rPr>
          <w:rFonts w:ascii="Times New Roman" w:hAnsi="Times New Roman" w:cs="Times New Roman"/>
          <w:sz w:val="24"/>
          <w:szCs w:val="24"/>
        </w:rPr>
        <w:t>ave had poor physical health for 14 or more days in the previous month (referred to as being in physical distress)</w:t>
      </w:r>
      <w:r w:rsidR="00FB0DE5">
        <w:rPr>
          <w:rFonts w:ascii="Times New Roman" w:hAnsi="Times New Roman" w:cs="Times New Roman"/>
          <w:sz w:val="24"/>
          <w:szCs w:val="24"/>
        </w:rPr>
        <w:t>.</w:t>
      </w:r>
    </w:p>
    <w:p w14:paraId="56240970" w14:textId="7BDA398E" w:rsidR="0005037C" w:rsidRDefault="008D058E" w:rsidP="003F0D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w:t>
      </w:r>
      <w:r w:rsidR="0005037C">
        <w:rPr>
          <w:rFonts w:ascii="Times New Roman" w:hAnsi="Times New Roman" w:cs="Times New Roman"/>
          <w:sz w:val="24"/>
          <w:szCs w:val="24"/>
        </w:rPr>
        <w:t>ad poor mental health for 14 or more days in the previous month (referred to as being in mental distress)</w:t>
      </w:r>
      <w:r w:rsidR="00FB0DE5">
        <w:rPr>
          <w:rFonts w:ascii="Times New Roman" w:hAnsi="Times New Roman" w:cs="Times New Roman"/>
          <w:sz w:val="24"/>
          <w:szCs w:val="24"/>
        </w:rPr>
        <w:t>.</w:t>
      </w:r>
    </w:p>
    <w:p w14:paraId="7BE72246" w14:textId="4D8934E6" w:rsidR="0005037C" w:rsidRDefault="008D058E" w:rsidP="003F0D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w:t>
      </w:r>
      <w:r w:rsidR="00387F63">
        <w:rPr>
          <w:rFonts w:ascii="Times New Roman" w:hAnsi="Times New Roman" w:cs="Times New Roman"/>
          <w:sz w:val="24"/>
          <w:szCs w:val="24"/>
        </w:rPr>
        <w:t>ave had poor physical or mental health inhibit their usual activities for 14 or more days in the previous month (referred to as poor overall health)</w:t>
      </w:r>
      <w:r w:rsidR="00FB0DE5">
        <w:rPr>
          <w:rFonts w:ascii="Times New Roman" w:hAnsi="Times New Roman" w:cs="Times New Roman"/>
          <w:sz w:val="24"/>
          <w:szCs w:val="24"/>
        </w:rPr>
        <w:t>.</w:t>
      </w:r>
    </w:p>
    <w:p w14:paraId="2558CF27" w14:textId="769D76C9" w:rsidR="00387F63" w:rsidRDefault="008D058E" w:rsidP="003F0D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w:t>
      </w:r>
      <w:r w:rsidR="00FB0DE5">
        <w:rPr>
          <w:rFonts w:ascii="Times New Roman" w:hAnsi="Times New Roman" w:cs="Times New Roman"/>
          <w:sz w:val="24"/>
          <w:szCs w:val="24"/>
        </w:rPr>
        <w:t>ave some form of health coverage.</w:t>
      </w:r>
    </w:p>
    <w:p w14:paraId="160E25EC" w14:textId="637F4CBC" w:rsidR="00FB0DE5" w:rsidRDefault="005200CC" w:rsidP="003F0D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Have at least one personal doctor.</w:t>
      </w:r>
    </w:p>
    <w:p w14:paraId="57CE5E08" w14:textId="520424F3" w:rsidR="005200CC" w:rsidRDefault="008D058E" w:rsidP="003F0D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Have </w:t>
      </w:r>
      <w:r w:rsidR="00415F7C">
        <w:rPr>
          <w:rFonts w:ascii="Times New Roman" w:hAnsi="Times New Roman" w:cs="Times New Roman"/>
          <w:sz w:val="24"/>
          <w:szCs w:val="24"/>
        </w:rPr>
        <w:t>had an annual checkup within the past 12 months.</w:t>
      </w:r>
    </w:p>
    <w:p w14:paraId="040A66CE" w14:textId="105F7854" w:rsidR="00415F7C" w:rsidRPr="003F0D35" w:rsidRDefault="00415F7C" w:rsidP="003F0D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Have had to delay or forgo needed medical care due to excessive costs in the past 12 months.</w:t>
      </w:r>
    </w:p>
    <w:p w14:paraId="68055E4D" w14:textId="05E9BE7C" w:rsidR="00F85E42" w:rsidRDefault="00974DBB" w:rsidP="00974DBB">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Let any of the</w:t>
      </w:r>
      <w:r w:rsidR="0002697D">
        <w:rPr>
          <w:rFonts w:ascii="Times New Roman" w:eastAsiaTheme="minorEastAsia" w:hAnsi="Times New Roman" w:cs="Times New Roman"/>
          <w:sz w:val="24"/>
          <w:szCs w:val="24"/>
        </w:rPr>
        <w:t>se proportional</w:t>
      </w:r>
      <w:r>
        <w:rPr>
          <w:rFonts w:ascii="Times New Roman" w:eastAsiaTheme="minorEastAsia" w:hAnsi="Times New Roman" w:cs="Times New Roman"/>
          <w:sz w:val="24"/>
          <w:szCs w:val="24"/>
        </w:rPr>
        <w:t xml:space="preserve"> outcomes listed above be given by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it</m:t>
            </m:r>
          </m:sub>
        </m:sSub>
      </m:oMath>
      <w:r>
        <w:rPr>
          <w:rFonts w:ascii="Times New Roman" w:eastAsiaTheme="minorEastAsia" w:hAnsi="Times New Roman" w:cs="Times New Roman"/>
          <w:sz w:val="24"/>
          <w:szCs w:val="24"/>
        </w:rPr>
        <w:t xml:space="preserve">, so that we can measure each outcome at separate times for differing individuals. </w:t>
      </w:r>
      <w:r w:rsidR="009E3500">
        <w:rPr>
          <w:rFonts w:ascii="Times New Roman" w:eastAsiaTheme="minorEastAsia" w:hAnsi="Times New Roman" w:cs="Times New Roman"/>
          <w:sz w:val="24"/>
          <w:szCs w:val="24"/>
        </w:rPr>
        <w:t xml:space="preserve">One common method to accounting for </w:t>
      </w:r>
      <w:r w:rsidR="009F1E67">
        <w:rPr>
          <w:rFonts w:ascii="Times New Roman" w:eastAsiaTheme="minorEastAsia" w:hAnsi="Times New Roman" w:cs="Times New Roman"/>
          <w:sz w:val="24"/>
          <w:szCs w:val="24"/>
        </w:rPr>
        <w:t xml:space="preserve">omitted variable bias in a DID design </w:t>
      </w:r>
      <w:r w:rsidR="00071D54">
        <w:rPr>
          <w:rFonts w:ascii="Times New Roman" w:eastAsiaTheme="minorEastAsia" w:hAnsi="Times New Roman" w:cs="Times New Roman"/>
          <w:sz w:val="24"/>
          <w:szCs w:val="24"/>
        </w:rPr>
        <w:t xml:space="preserve">is </w:t>
      </w:r>
      <w:r w:rsidR="009F1E67">
        <w:rPr>
          <w:rFonts w:ascii="Times New Roman" w:eastAsiaTheme="minorEastAsia" w:hAnsi="Times New Roman" w:cs="Times New Roman"/>
          <w:sz w:val="24"/>
          <w:szCs w:val="24"/>
        </w:rPr>
        <w:t>to introduce a vector of fixed effects which represents time-invariant characteristics that</w:t>
      </w:r>
      <w:r w:rsidR="009A6D13">
        <w:rPr>
          <w:rFonts w:ascii="Times New Roman" w:eastAsiaTheme="minorEastAsia" w:hAnsi="Times New Roman" w:cs="Times New Roman"/>
          <w:sz w:val="24"/>
          <w:szCs w:val="24"/>
        </w:rPr>
        <w:t xml:space="preserve"> </w:t>
      </w:r>
      <w:r w:rsidR="00B50EDA">
        <w:rPr>
          <w:rFonts w:ascii="Times New Roman" w:eastAsiaTheme="minorEastAsia" w:hAnsi="Times New Roman" w:cs="Times New Roman"/>
          <w:sz w:val="24"/>
          <w:szCs w:val="24"/>
        </w:rPr>
        <w:t>measure any potential heterogeneity that may exist between respondents</w:t>
      </w:r>
      <w:r w:rsidR="007C555A">
        <w:rPr>
          <w:rFonts w:ascii="Times New Roman" w:eastAsiaTheme="minorEastAsia" w:hAnsi="Times New Roman" w:cs="Times New Roman"/>
          <w:sz w:val="24"/>
          <w:szCs w:val="24"/>
        </w:rPr>
        <w:t xml:space="preserve"> and, in turn, impact research findings.</w:t>
      </w:r>
      <w:r w:rsidR="00500083">
        <w:rPr>
          <w:rFonts w:ascii="Times New Roman" w:eastAsiaTheme="minorEastAsia" w:hAnsi="Times New Roman" w:cs="Times New Roman"/>
          <w:sz w:val="24"/>
          <w:szCs w:val="24"/>
        </w:rPr>
        <w:t xml:space="preserve"> In many </w:t>
      </w:r>
      <w:r w:rsidR="00CE49DB">
        <w:rPr>
          <w:rFonts w:ascii="Times New Roman" w:eastAsiaTheme="minorEastAsia" w:hAnsi="Times New Roman" w:cs="Times New Roman"/>
          <w:sz w:val="24"/>
          <w:szCs w:val="24"/>
        </w:rPr>
        <w:t xml:space="preserve">instances </w:t>
      </w:r>
      <w:r w:rsidR="004512D3">
        <w:rPr>
          <w:rFonts w:ascii="Times New Roman" w:eastAsiaTheme="minorEastAsia" w:hAnsi="Times New Roman" w:cs="Times New Roman"/>
          <w:sz w:val="24"/>
          <w:szCs w:val="24"/>
        </w:rPr>
        <w:t xml:space="preserve">with designs </w:t>
      </w:r>
      <w:r w:rsidR="00F3167F">
        <w:rPr>
          <w:rFonts w:ascii="Times New Roman" w:eastAsiaTheme="minorEastAsia" w:hAnsi="Times New Roman" w:cs="Times New Roman"/>
          <w:sz w:val="24"/>
          <w:szCs w:val="24"/>
        </w:rPr>
        <w:t>like</w:t>
      </w:r>
      <w:r w:rsidR="004512D3">
        <w:rPr>
          <w:rFonts w:ascii="Times New Roman" w:eastAsiaTheme="minorEastAsia" w:hAnsi="Times New Roman" w:cs="Times New Roman"/>
          <w:sz w:val="24"/>
          <w:szCs w:val="24"/>
        </w:rPr>
        <w:t xml:space="preserve"> ours</w:t>
      </w:r>
      <w:r w:rsidR="00500083">
        <w:rPr>
          <w:rFonts w:ascii="Times New Roman" w:eastAsiaTheme="minorEastAsia" w:hAnsi="Times New Roman" w:cs="Times New Roman"/>
          <w:sz w:val="24"/>
          <w:szCs w:val="24"/>
        </w:rPr>
        <w:t>, the fixed effects are simply dummy variables for each state</w:t>
      </w:r>
      <w:r w:rsidR="004512D3">
        <w:rPr>
          <w:rFonts w:ascii="Times New Roman" w:eastAsiaTheme="minorEastAsia" w:hAnsi="Times New Roman" w:cs="Times New Roman"/>
          <w:sz w:val="24"/>
          <w:szCs w:val="24"/>
        </w:rPr>
        <w:t xml:space="preserve">, </w:t>
      </w:r>
      <w:r w:rsidR="001B1B4F">
        <w:rPr>
          <w:rFonts w:ascii="Times New Roman" w:eastAsiaTheme="minorEastAsia" w:hAnsi="Times New Roman" w:cs="Times New Roman"/>
          <w:sz w:val="24"/>
          <w:szCs w:val="24"/>
        </w:rPr>
        <w:t>attributing any potential</w:t>
      </w:r>
      <w:r w:rsidR="00932E34">
        <w:rPr>
          <w:rFonts w:ascii="Times New Roman" w:eastAsiaTheme="minorEastAsia" w:hAnsi="Times New Roman" w:cs="Times New Roman"/>
          <w:sz w:val="24"/>
          <w:szCs w:val="24"/>
        </w:rPr>
        <w:t xml:space="preserve"> noise in the data</w:t>
      </w:r>
      <w:r w:rsidR="001B1B4F">
        <w:rPr>
          <w:rFonts w:ascii="Times New Roman" w:eastAsiaTheme="minorEastAsia" w:hAnsi="Times New Roman" w:cs="Times New Roman"/>
          <w:sz w:val="24"/>
          <w:szCs w:val="24"/>
        </w:rPr>
        <w:t xml:space="preserve"> to the nature of differing state conditions.</w:t>
      </w:r>
      <w:r w:rsidR="00932E34">
        <w:rPr>
          <w:rFonts w:ascii="Times New Roman" w:eastAsiaTheme="minorEastAsia" w:hAnsi="Times New Roman" w:cs="Times New Roman"/>
          <w:sz w:val="24"/>
          <w:szCs w:val="24"/>
        </w:rPr>
        <w:t xml:space="preserve"> </w:t>
      </w:r>
      <w:r w:rsidR="000572EB">
        <w:rPr>
          <w:rFonts w:ascii="Times New Roman" w:eastAsiaTheme="minorEastAsia" w:hAnsi="Times New Roman" w:cs="Times New Roman"/>
          <w:sz w:val="24"/>
          <w:szCs w:val="24"/>
        </w:rPr>
        <w:t>However, in this case</w:t>
      </w:r>
      <w:r w:rsidR="00500083">
        <w:rPr>
          <w:rFonts w:ascii="Times New Roman" w:eastAsiaTheme="minorEastAsia" w:hAnsi="Times New Roman" w:cs="Times New Roman"/>
          <w:sz w:val="24"/>
          <w:szCs w:val="24"/>
        </w:rPr>
        <w:t xml:space="preserve">, </w:t>
      </w:r>
      <w:proofErr w:type="gramStart"/>
      <w:r w:rsidR="00500083">
        <w:rPr>
          <w:rFonts w:ascii="Times New Roman" w:eastAsiaTheme="minorEastAsia" w:hAnsi="Times New Roman" w:cs="Times New Roman"/>
          <w:sz w:val="24"/>
          <w:szCs w:val="24"/>
        </w:rPr>
        <w:t>by definition of</w:t>
      </w:r>
      <w:proofErr w:type="gramEnd"/>
      <w:r w:rsidR="00500083">
        <w:rPr>
          <w:rFonts w:ascii="Times New Roman" w:eastAsiaTheme="minorEastAsia" w:hAnsi="Times New Roman" w:cs="Times New Roman"/>
          <w:sz w:val="24"/>
          <w:szCs w:val="24"/>
        </w:rPr>
        <w:t xml:space="preserve"> our treatment</w:t>
      </w:r>
      <w:r w:rsidR="00932E34">
        <w:rPr>
          <w:rFonts w:ascii="Times New Roman" w:eastAsiaTheme="minorEastAsia" w:hAnsi="Times New Roman" w:cs="Times New Roman"/>
          <w:sz w:val="24"/>
          <w:szCs w:val="24"/>
        </w:rPr>
        <w:t xml:space="preserve"> variable as state residence, introduction of state dummy variables would subsequently invoke multicollinearity within our model</w:t>
      </w:r>
      <w:r>
        <w:rPr>
          <w:rFonts w:ascii="Times New Roman" w:eastAsiaTheme="minorEastAsia" w:hAnsi="Times New Roman" w:cs="Times New Roman"/>
          <w:sz w:val="24"/>
          <w:szCs w:val="24"/>
        </w:rPr>
        <w:t>.</w:t>
      </w:r>
      <w:r w:rsidR="00932E34">
        <w:rPr>
          <w:rFonts w:ascii="Times New Roman" w:eastAsiaTheme="minorEastAsia" w:hAnsi="Times New Roman" w:cs="Times New Roman"/>
          <w:sz w:val="24"/>
          <w:szCs w:val="24"/>
        </w:rPr>
        <w:t xml:space="preserve"> Due to this fact, </w:t>
      </w:r>
      <w:r w:rsidR="00F85E42">
        <w:rPr>
          <w:rFonts w:ascii="Times New Roman" w:eastAsiaTheme="minorEastAsia" w:hAnsi="Times New Roman" w:cs="Times New Roman"/>
          <w:sz w:val="24"/>
          <w:szCs w:val="24"/>
        </w:rPr>
        <w:t>a fixed effects vector is omitted from our analysis.</w:t>
      </w:r>
    </w:p>
    <w:p w14:paraId="6953E7BC" w14:textId="12653FCE" w:rsidR="00974DBB" w:rsidRPr="00AE3022" w:rsidRDefault="00974DBB" w:rsidP="00AE3022">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F85E42">
        <w:rPr>
          <w:rFonts w:ascii="Times New Roman" w:eastAsiaTheme="minorEastAsia" w:hAnsi="Times New Roman" w:cs="Times New Roman"/>
          <w:sz w:val="24"/>
          <w:szCs w:val="24"/>
        </w:rPr>
        <w:t>Finally</w:t>
      </w:r>
      <w:r>
        <w:rPr>
          <w:rFonts w:ascii="Times New Roman" w:eastAsiaTheme="minorEastAsia" w:hAnsi="Times New Roman" w:cs="Times New Roman"/>
          <w:sz w:val="24"/>
          <w:szCs w:val="24"/>
        </w:rPr>
        <w:t>,</w:t>
      </w:r>
      <w:r w:rsidR="00F85E42">
        <w:rPr>
          <w:rFonts w:ascii="Times New Roman" w:eastAsiaTheme="minorEastAsia" w:hAnsi="Times New Roman" w:cs="Times New Roman"/>
          <w:sz w:val="24"/>
          <w:szCs w:val="24"/>
        </w:rPr>
        <w:t xml:space="preserve"> with the above variables defined,</w:t>
      </w:r>
      <w:r w:rsidR="00AE3022">
        <w:rPr>
          <w:rFonts w:ascii="Times New Roman" w:eastAsiaTheme="minorEastAsia" w:hAnsi="Times New Roman" w:cs="Times New Roman"/>
          <w:sz w:val="24"/>
          <w:szCs w:val="24"/>
        </w:rPr>
        <w:t xml:space="preserve"> and the addition of</w:t>
      </w:r>
      <w:r>
        <w:rPr>
          <w:rFonts w:ascii="Times New Roman" w:eastAsiaTheme="minorEastAsia" w:hAnsi="Times New Roman" w:cs="Times New Roman"/>
          <w:sz w:val="24"/>
          <w:szCs w:val="24"/>
        </w:rPr>
        <w:t xml:space="preserve"> an intercept, </w:t>
      </w:r>
      <m:oMath>
        <m:r>
          <w:rPr>
            <w:rFonts w:ascii="Cambria Math" w:eastAsiaTheme="minorEastAsia" w:hAnsi="Cambria Math" w:cs="Times New Roman"/>
            <w:sz w:val="24"/>
            <w:szCs w:val="24"/>
          </w:rPr>
          <m:t>α</m:t>
        </m:r>
      </m:oMath>
      <w:r w:rsidR="00AE302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and an error term,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for each individually predicted outcome</w:t>
      </w:r>
      <w:r w:rsidR="00AE302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we can now define our model to be:</w:t>
      </w:r>
    </w:p>
    <w:p w14:paraId="52EE12ED" w14:textId="7B6E87F1" w:rsidR="00974DBB" w:rsidRPr="000A7279" w:rsidRDefault="00992029" w:rsidP="00974DBB">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r>
            <w:rPr>
              <w:rFonts w:ascii="Cambria Math" w:hAnsi="Cambria Math" w:cs="Times New Roman"/>
              <w:sz w:val="24"/>
              <w:szCs w:val="24"/>
            </w:rPr>
            <m:t>= α+β</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1i</m:t>
              </m:r>
            </m:sub>
          </m:sSub>
          <m:r>
            <w:rPr>
              <w:rFonts w:ascii="Cambria Math" w:hAnsi="Cambria Math" w:cs="Times New Roman"/>
              <w:sz w:val="24"/>
              <w:szCs w:val="24"/>
            </w:rPr>
            <m:t>+γ</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1i</m:t>
              </m:r>
            </m:sub>
          </m:sSub>
          <m:r>
            <w:rPr>
              <w:rFonts w:ascii="Cambria Math" w:hAnsi="Cambria Math" w:cs="Times New Roman"/>
              <w:sz w:val="24"/>
              <w:szCs w:val="24"/>
            </w:rPr>
            <m:t>+ δ</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2i</m:t>
              </m:r>
            </m:sub>
          </m:sSub>
          <m:r>
            <w:rPr>
              <w:rFonts w:ascii="Cambria Math" w:hAnsi="Cambria Math" w:cs="Times New Roman"/>
              <w:sz w:val="24"/>
              <w:szCs w:val="24"/>
            </w:rPr>
            <m:t>+τ</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2i</m:t>
              </m:r>
            </m:sub>
          </m:sSub>
          <m:r>
            <w:rPr>
              <w:rFonts w:ascii="Cambria Math" w:hAnsi="Cambria Math" w:cs="Times New Roman"/>
              <w:sz w:val="24"/>
              <w:szCs w:val="24"/>
            </w:rPr>
            <m:t>+ρ</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1i</m:t>
                  </m:r>
                </m:sub>
              </m:sSub>
            </m:e>
          </m:d>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2i</m:t>
              </m:r>
            </m:sub>
          </m:sSub>
          <m:r>
            <w:rPr>
              <w:rFonts w:ascii="Cambria Math"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r>
            <w:rPr>
              <w:rFonts w:ascii="Cambria Math" w:hAnsi="Cambria Math" w:cs="Times New Roman"/>
              <w:sz w:val="24"/>
              <w:szCs w:val="24"/>
            </w:rPr>
            <m:t>+θfixed+</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oMath>
      </m:oMathPara>
    </w:p>
    <w:p w14:paraId="4166B2B0" w14:textId="277F48D6" w:rsidR="00FF1A3B" w:rsidRDefault="00974DBB" w:rsidP="00FF1A3B">
      <w:pPr>
        <w:ind w:firstLine="720"/>
        <w:rPr>
          <w:rFonts w:ascii="Times New Roman" w:eastAsiaTheme="minorEastAsia" w:hAnsi="Times New Roman" w:cs="Times New Roman"/>
          <w:sz w:val="24"/>
          <w:szCs w:val="24"/>
        </w:rPr>
      </w:pPr>
      <w:r>
        <w:rPr>
          <w:rFonts w:ascii="Times New Roman" w:hAnsi="Times New Roman" w:cs="Times New Roman"/>
          <w:sz w:val="24"/>
          <w:szCs w:val="24"/>
        </w:rPr>
        <w:t>The main takeaway and major point of interest from this model lie</w:t>
      </w:r>
      <w:r w:rsidR="00F64136">
        <w:rPr>
          <w:rFonts w:ascii="Times New Roman" w:hAnsi="Times New Roman" w:cs="Times New Roman"/>
          <w:sz w:val="24"/>
          <w:szCs w:val="24"/>
        </w:rPr>
        <w:t>s</w:t>
      </w:r>
      <w:r>
        <w:rPr>
          <w:rFonts w:ascii="Times New Roman" w:hAnsi="Times New Roman" w:cs="Times New Roman"/>
          <w:sz w:val="24"/>
          <w:szCs w:val="24"/>
        </w:rPr>
        <w:t xml:space="preserve"> in the </w:t>
      </w:r>
      <m:oMath>
        <m:r>
          <w:rPr>
            <w:rFonts w:ascii="Cambria Math" w:hAnsi="Cambria Math" w:cs="Times New Roman"/>
            <w:sz w:val="24"/>
            <w:szCs w:val="24"/>
          </w:rPr>
          <m:t>ρ</m:t>
        </m:r>
      </m:oMath>
      <w:r>
        <w:rPr>
          <w:rFonts w:ascii="Times New Roman" w:eastAsiaTheme="minorEastAsia" w:hAnsi="Times New Roman" w:cs="Times New Roman"/>
          <w:sz w:val="24"/>
          <w:szCs w:val="24"/>
        </w:rPr>
        <w:t xml:space="preserve"> term</w:t>
      </w:r>
      <w:r w:rsidR="00F64136">
        <w:rPr>
          <w:rFonts w:ascii="Times New Roman" w:eastAsiaTheme="minorEastAsia" w:hAnsi="Times New Roman" w:cs="Times New Roman"/>
          <w:sz w:val="24"/>
          <w:szCs w:val="24"/>
        </w:rPr>
        <w:t xml:space="preserve"> and the </w:t>
      </w:r>
      <m:oMath>
        <m:r>
          <w:rPr>
            <w:rFonts w:ascii="Cambria Math" w:eastAsiaTheme="minorEastAsia" w:hAnsi="Cambria Math" w:cs="Times New Roman"/>
            <w:sz w:val="24"/>
            <w:szCs w:val="24"/>
          </w:rPr>
          <m:t>φ</m:t>
        </m:r>
      </m:oMath>
      <w:r w:rsidR="00F64136">
        <w:rPr>
          <w:rFonts w:ascii="Times New Roman" w:eastAsiaTheme="minorEastAsia" w:hAnsi="Times New Roman" w:cs="Times New Roman"/>
          <w:sz w:val="24"/>
          <w:szCs w:val="24"/>
        </w:rPr>
        <w:t xml:space="preserve"> term</w:t>
      </w:r>
      <w:r w:rsidR="009C209A">
        <w:rPr>
          <w:rFonts w:ascii="Times New Roman" w:eastAsiaTheme="minorEastAsia" w:hAnsi="Times New Roman" w:cs="Times New Roman"/>
          <w:sz w:val="24"/>
          <w:szCs w:val="24"/>
        </w:rPr>
        <w:t xml:space="preserve">, which are the DID estimators, with the former representing the impact of reinsurance on the proportion of individuals who experience outcome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it</m:t>
            </m:r>
          </m:sub>
        </m:sSub>
      </m:oMath>
      <w:r w:rsidR="00471A53">
        <w:rPr>
          <w:rFonts w:ascii="Times New Roman" w:eastAsiaTheme="minorEastAsia" w:hAnsi="Times New Roman" w:cs="Times New Roman"/>
          <w:sz w:val="24"/>
          <w:szCs w:val="24"/>
        </w:rPr>
        <w:t xml:space="preserve"> in </w:t>
      </w:r>
      <w:r w:rsidR="006B2A9F">
        <w:rPr>
          <w:rFonts w:ascii="Times New Roman" w:eastAsiaTheme="minorEastAsia" w:hAnsi="Times New Roman" w:cs="Times New Roman"/>
          <w:sz w:val="24"/>
          <w:szCs w:val="24"/>
        </w:rPr>
        <w:t>those states which implemented reinsurance in 2018</w:t>
      </w:r>
      <w:r w:rsidR="009C209A">
        <w:rPr>
          <w:rFonts w:ascii="Times New Roman" w:eastAsiaTheme="minorEastAsia" w:hAnsi="Times New Roman" w:cs="Times New Roman"/>
          <w:sz w:val="24"/>
          <w:szCs w:val="24"/>
        </w:rPr>
        <w:t xml:space="preserve">, </w:t>
      </w:r>
      <w:r w:rsidR="00471A53">
        <w:rPr>
          <w:rFonts w:ascii="Times New Roman" w:eastAsiaTheme="minorEastAsia" w:hAnsi="Times New Roman" w:cs="Times New Roman"/>
          <w:sz w:val="24"/>
          <w:szCs w:val="24"/>
        </w:rPr>
        <w:t>whereas the latter</w:t>
      </w:r>
      <w:r w:rsidR="006B2A9F">
        <w:rPr>
          <w:rFonts w:ascii="Times New Roman" w:eastAsiaTheme="minorEastAsia" w:hAnsi="Times New Roman" w:cs="Times New Roman"/>
          <w:sz w:val="24"/>
          <w:szCs w:val="24"/>
        </w:rPr>
        <w:t xml:space="preserve"> represents </w:t>
      </w:r>
      <w:r w:rsidR="00FC3437">
        <w:rPr>
          <w:rFonts w:ascii="Times New Roman" w:eastAsiaTheme="minorEastAsia" w:hAnsi="Times New Roman" w:cs="Times New Roman"/>
          <w:sz w:val="24"/>
          <w:szCs w:val="24"/>
        </w:rPr>
        <w:t xml:space="preserve">the impact of reinsurance on the proportion of individuals who experience outcome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it</m:t>
            </m:r>
          </m:sub>
        </m:sSub>
      </m:oMath>
      <w:r w:rsidR="00FC3437">
        <w:rPr>
          <w:rFonts w:ascii="Times New Roman" w:eastAsiaTheme="minorEastAsia" w:hAnsi="Times New Roman" w:cs="Times New Roman"/>
          <w:sz w:val="24"/>
          <w:szCs w:val="24"/>
        </w:rPr>
        <w:t xml:space="preserve"> in states which implemented </w:t>
      </w:r>
      <w:r w:rsidR="00FF1A3B">
        <w:rPr>
          <w:rFonts w:ascii="Times New Roman" w:eastAsiaTheme="minorEastAsia" w:hAnsi="Times New Roman" w:cs="Times New Roman"/>
          <w:sz w:val="24"/>
          <w:szCs w:val="24"/>
        </w:rPr>
        <w:t>reinsurance in 2019</w:t>
      </w:r>
      <w:r>
        <w:rPr>
          <w:rFonts w:ascii="Times New Roman" w:eastAsiaTheme="minorEastAsia" w:hAnsi="Times New Roman" w:cs="Times New Roman"/>
          <w:sz w:val="24"/>
          <w:szCs w:val="24"/>
        </w:rPr>
        <w:t>.</w:t>
      </w:r>
      <w:r w:rsidR="00FF1A3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noting, of course, </w:t>
      </w:r>
      <w:r w:rsidR="00630AC6">
        <w:rPr>
          <w:rFonts w:ascii="Times New Roman" w:eastAsiaTheme="minorEastAsia" w:hAnsi="Times New Roman" w:cs="Times New Roman"/>
          <w:sz w:val="24"/>
          <w:szCs w:val="24"/>
        </w:rPr>
        <w:t>that:</w:t>
      </w:r>
    </w:p>
    <w:p w14:paraId="63F8C58C" w14:textId="77777777" w:rsidR="00630AC6" w:rsidRDefault="00992029" w:rsidP="00FF1A3B">
      <w:pPr>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2i</m:t>
            </m:r>
          </m:sub>
        </m:sSub>
        <m:r>
          <w:rPr>
            <w:rFonts w:ascii="Cambria Math" w:eastAsiaTheme="minorEastAsia" w:hAnsi="Cambria Math" w:cs="Times New Roman"/>
            <w:sz w:val="24"/>
            <w:szCs w:val="24"/>
          </w:rPr>
          <m:t xml:space="preserve">&gt;0 if and only if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1i</m:t>
            </m:r>
          </m:sub>
        </m:sSub>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2i</m:t>
            </m:r>
          </m:sub>
        </m:sSub>
      </m:oMath>
      <w:r w:rsidR="00974DBB">
        <w:rPr>
          <w:rFonts w:ascii="Times New Roman" w:eastAsiaTheme="minorEastAsia" w:hAnsi="Times New Roman" w:cs="Times New Roman"/>
          <w:sz w:val="24"/>
          <w:szCs w:val="24"/>
        </w:rPr>
        <w:t xml:space="preserve">, </w:t>
      </w:r>
    </w:p>
    <w:p w14:paraId="7BD7450A" w14:textId="78FE4224" w:rsidR="00974DBB" w:rsidRDefault="00974DBB" w:rsidP="00630AC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 that the individual </w:t>
      </w:r>
      <w:r w:rsidR="00FE0DF8">
        <w:rPr>
          <w:rFonts w:ascii="Times New Roman" w:eastAsiaTheme="minorEastAsia" w:hAnsi="Times New Roman" w:cs="Times New Roman"/>
          <w:sz w:val="24"/>
          <w:szCs w:val="24"/>
        </w:rPr>
        <w:t xml:space="preserve">in each treatment group </w:t>
      </w:r>
      <w:r>
        <w:rPr>
          <w:rFonts w:ascii="Times New Roman" w:eastAsiaTheme="minorEastAsia" w:hAnsi="Times New Roman" w:cs="Times New Roman"/>
          <w:sz w:val="24"/>
          <w:szCs w:val="24"/>
        </w:rPr>
        <w:t>resides in a state that has already implemented reinsurance</w:t>
      </w:r>
      <w:r w:rsidR="00630AC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14:paraId="278BDF12" w14:textId="15FF087D" w:rsidR="005A4C05" w:rsidRDefault="00E87F9D" w:rsidP="00B14D26">
      <w:pPr>
        <w:rPr>
          <w:rFonts w:ascii="Times New Roman" w:hAnsi="Times New Roman" w:cs="Times New Roman"/>
          <w:sz w:val="24"/>
          <w:szCs w:val="24"/>
        </w:rPr>
      </w:pPr>
      <w:r>
        <w:rPr>
          <w:rFonts w:ascii="Times New Roman" w:hAnsi="Times New Roman" w:cs="Times New Roman"/>
          <w:sz w:val="24"/>
          <w:szCs w:val="24"/>
        </w:rPr>
        <w:tab/>
      </w:r>
      <w:r w:rsidR="007D130E">
        <w:rPr>
          <w:rFonts w:ascii="Times New Roman" w:hAnsi="Times New Roman" w:cs="Times New Roman"/>
          <w:sz w:val="24"/>
          <w:szCs w:val="24"/>
        </w:rPr>
        <w:t xml:space="preserve">We now explicitly check the </w:t>
      </w:r>
      <w:r w:rsidR="008D3113">
        <w:rPr>
          <w:rFonts w:ascii="Times New Roman" w:hAnsi="Times New Roman" w:cs="Times New Roman"/>
          <w:sz w:val="24"/>
          <w:szCs w:val="24"/>
        </w:rPr>
        <w:t xml:space="preserve">parallel trends assumption for our analysis. </w:t>
      </w:r>
      <w:r w:rsidR="00A9310E">
        <w:rPr>
          <w:rFonts w:ascii="Times New Roman" w:hAnsi="Times New Roman" w:cs="Times New Roman"/>
          <w:sz w:val="24"/>
          <w:szCs w:val="24"/>
        </w:rPr>
        <w:t>8 graphs are given below, each representing the trends of the treatment and control groups for each of the detailed proportional outcomes</w:t>
      </w:r>
      <w:r w:rsidR="00317E7F">
        <w:rPr>
          <w:rFonts w:ascii="Times New Roman" w:hAnsi="Times New Roman" w:cs="Times New Roman"/>
          <w:sz w:val="24"/>
          <w:szCs w:val="24"/>
        </w:rPr>
        <w:t>:</w:t>
      </w:r>
    </w:p>
    <w:p w14:paraId="6FDC5149" w14:textId="77777777" w:rsidR="00004B19" w:rsidRDefault="00511CA6" w:rsidP="00004B19">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4384" behindDoc="0" locked="0" layoutInCell="1" allowOverlap="1" wp14:anchorId="67F92E32" wp14:editId="443C5035">
            <wp:simplePos x="0" y="0"/>
            <wp:positionH relativeFrom="margin">
              <wp:align>left</wp:align>
            </wp:positionH>
            <wp:positionV relativeFrom="paragraph">
              <wp:posOffset>4207648</wp:posOffset>
            </wp:positionV>
            <wp:extent cx="2783205" cy="1988185"/>
            <wp:effectExtent l="0" t="0" r="0" b="0"/>
            <wp:wrapSquare wrapText="bothSides"/>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3205" cy="1988185"/>
                    </a:xfrm>
                    <a:prstGeom prst="rect">
                      <a:avLst/>
                    </a:prstGeom>
                  </pic:spPr>
                </pic:pic>
              </a:graphicData>
            </a:graphic>
            <wp14:sizeRelH relativeFrom="margin">
              <wp14:pctWidth>0</wp14:pctWidth>
            </wp14:sizeRelH>
            <wp14:sizeRelV relativeFrom="margin">
              <wp14:pctHeight>0</wp14:pctHeight>
            </wp14:sizeRelV>
          </wp:anchor>
        </w:drawing>
      </w:r>
      <w:r w:rsidR="00796BF9">
        <w:rPr>
          <w:rFonts w:ascii="Times New Roman" w:hAnsi="Times New Roman" w:cs="Times New Roman"/>
          <w:noProof/>
          <w:sz w:val="24"/>
          <w:szCs w:val="24"/>
        </w:rPr>
        <w:drawing>
          <wp:anchor distT="0" distB="0" distL="114300" distR="114300" simplePos="0" relativeHeight="251665408" behindDoc="1" locked="0" layoutInCell="1" allowOverlap="1" wp14:anchorId="6C666225" wp14:editId="4801D9AA">
            <wp:simplePos x="0" y="0"/>
            <wp:positionH relativeFrom="margin">
              <wp:posOffset>2927792</wp:posOffset>
            </wp:positionH>
            <wp:positionV relativeFrom="paragraph">
              <wp:posOffset>6204737</wp:posOffset>
            </wp:positionV>
            <wp:extent cx="2823210" cy="2016760"/>
            <wp:effectExtent l="0" t="0" r="0" b="2540"/>
            <wp:wrapTight wrapText="bothSides">
              <wp:wrapPolygon edited="0">
                <wp:start x="0" y="0"/>
                <wp:lineTo x="0" y="21423"/>
                <wp:lineTo x="21425" y="21423"/>
                <wp:lineTo x="21425" y="0"/>
                <wp:lineTo x="0" y="0"/>
              </wp:wrapPolygon>
            </wp:wrapTight>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3210" cy="2016760"/>
                    </a:xfrm>
                    <a:prstGeom prst="rect">
                      <a:avLst/>
                    </a:prstGeom>
                  </pic:spPr>
                </pic:pic>
              </a:graphicData>
            </a:graphic>
            <wp14:sizeRelH relativeFrom="margin">
              <wp14:pctWidth>0</wp14:pctWidth>
            </wp14:sizeRelH>
            <wp14:sizeRelV relativeFrom="margin">
              <wp14:pctHeight>0</wp14:pctHeight>
            </wp14:sizeRelV>
          </wp:anchor>
        </w:drawing>
      </w:r>
      <w:r w:rsidR="00796BF9">
        <w:rPr>
          <w:rFonts w:ascii="Times New Roman" w:hAnsi="Times New Roman" w:cs="Times New Roman"/>
          <w:noProof/>
          <w:sz w:val="24"/>
          <w:szCs w:val="24"/>
        </w:rPr>
        <w:drawing>
          <wp:anchor distT="0" distB="0" distL="114300" distR="114300" simplePos="0" relativeHeight="251663360" behindDoc="0" locked="0" layoutInCell="1" allowOverlap="1" wp14:anchorId="03BEE9BA" wp14:editId="260146AB">
            <wp:simplePos x="0" y="0"/>
            <wp:positionH relativeFrom="column">
              <wp:posOffset>2916555</wp:posOffset>
            </wp:positionH>
            <wp:positionV relativeFrom="paragraph">
              <wp:posOffset>4189730</wp:posOffset>
            </wp:positionV>
            <wp:extent cx="2823845" cy="2017395"/>
            <wp:effectExtent l="0" t="0" r="0" b="1905"/>
            <wp:wrapThrough wrapText="bothSides">
              <wp:wrapPolygon edited="0">
                <wp:start x="0" y="0"/>
                <wp:lineTo x="0" y="21416"/>
                <wp:lineTo x="21420" y="21416"/>
                <wp:lineTo x="21420" y="0"/>
                <wp:lineTo x="0" y="0"/>
              </wp:wrapPolygon>
            </wp:wrapThrough>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23845" cy="20173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inline distT="0" distB="0" distL="0" distR="0" wp14:anchorId="3E2606C1" wp14:editId="0647F6CC">
            <wp:extent cx="2807621" cy="2005529"/>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7750" cy="2062767"/>
                    </a:xfrm>
                    <a:prstGeom prst="rect">
                      <a:avLst/>
                    </a:prstGeom>
                  </pic:spPr>
                </pic:pic>
              </a:graphicData>
            </a:graphic>
          </wp:inline>
        </w:drawing>
      </w:r>
      <w:r w:rsidR="00796BF9">
        <w:rPr>
          <w:rFonts w:ascii="Times New Roman" w:hAnsi="Times New Roman" w:cs="Times New Roman"/>
          <w:noProof/>
          <w:sz w:val="24"/>
          <w:szCs w:val="24"/>
        </w:rPr>
        <w:drawing>
          <wp:anchor distT="0" distB="0" distL="114300" distR="114300" simplePos="0" relativeHeight="251661312" behindDoc="0" locked="0" layoutInCell="1" allowOverlap="1" wp14:anchorId="0BF985A2" wp14:editId="219C9BAB">
            <wp:simplePos x="0" y="0"/>
            <wp:positionH relativeFrom="column">
              <wp:posOffset>3009265</wp:posOffset>
            </wp:positionH>
            <wp:positionV relativeFrom="paragraph">
              <wp:posOffset>2059940</wp:posOffset>
            </wp:positionV>
            <wp:extent cx="2684780" cy="1917065"/>
            <wp:effectExtent l="0" t="0" r="1270" b="6985"/>
            <wp:wrapThrough wrapText="bothSides">
              <wp:wrapPolygon edited="0">
                <wp:start x="0" y="0"/>
                <wp:lineTo x="0" y="21464"/>
                <wp:lineTo x="21457" y="21464"/>
                <wp:lineTo x="21457" y="0"/>
                <wp:lineTo x="0" y="0"/>
              </wp:wrapPolygon>
            </wp:wrapThrough>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84780" cy="1917065"/>
                    </a:xfrm>
                    <a:prstGeom prst="rect">
                      <a:avLst/>
                    </a:prstGeom>
                  </pic:spPr>
                </pic:pic>
              </a:graphicData>
            </a:graphic>
            <wp14:sizeRelH relativeFrom="margin">
              <wp14:pctWidth>0</wp14:pctWidth>
            </wp14:sizeRelH>
            <wp14:sizeRelV relativeFrom="margin">
              <wp14:pctHeight>0</wp14:pctHeight>
            </wp14:sizeRelV>
          </wp:anchor>
        </w:drawing>
      </w:r>
      <w:r w:rsidR="00796BF9">
        <w:rPr>
          <w:rFonts w:ascii="Times New Roman" w:hAnsi="Times New Roman" w:cs="Times New Roman"/>
          <w:noProof/>
          <w:sz w:val="24"/>
          <w:szCs w:val="24"/>
        </w:rPr>
        <w:drawing>
          <wp:anchor distT="0" distB="0" distL="114300" distR="114300" simplePos="0" relativeHeight="251660288" behindDoc="0" locked="0" layoutInCell="1" allowOverlap="1" wp14:anchorId="3A6ACB91" wp14:editId="082D24B5">
            <wp:simplePos x="0" y="0"/>
            <wp:positionH relativeFrom="margin">
              <wp:align>left</wp:align>
            </wp:positionH>
            <wp:positionV relativeFrom="paragraph">
              <wp:posOffset>2083435</wp:posOffset>
            </wp:positionV>
            <wp:extent cx="2713990" cy="1938020"/>
            <wp:effectExtent l="0" t="0" r="0" b="5080"/>
            <wp:wrapThrough wrapText="bothSides">
              <wp:wrapPolygon edited="0">
                <wp:start x="0" y="0"/>
                <wp:lineTo x="0" y="21444"/>
                <wp:lineTo x="21378" y="21444"/>
                <wp:lineTo x="21378" y="0"/>
                <wp:lineTo x="0" y="0"/>
              </wp:wrapPolygon>
            </wp:wrapThrough>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13990" cy="1938020"/>
                    </a:xfrm>
                    <a:prstGeom prst="rect">
                      <a:avLst/>
                    </a:prstGeom>
                  </pic:spPr>
                </pic:pic>
              </a:graphicData>
            </a:graphic>
            <wp14:sizeRelH relativeFrom="margin">
              <wp14:pctWidth>0</wp14:pctWidth>
            </wp14:sizeRelH>
            <wp14:sizeRelV relativeFrom="margin">
              <wp14:pctHeight>0</wp14:pctHeight>
            </wp14:sizeRelV>
          </wp:anchor>
        </w:drawing>
      </w:r>
      <w:r w:rsidR="00796BF9">
        <w:rPr>
          <w:rFonts w:ascii="Times New Roman" w:hAnsi="Times New Roman" w:cs="Times New Roman"/>
          <w:noProof/>
          <w:sz w:val="24"/>
          <w:szCs w:val="24"/>
        </w:rPr>
        <w:drawing>
          <wp:anchor distT="0" distB="0" distL="114300" distR="114300" simplePos="0" relativeHeight="251659264" behindDoc="0" locked="0" layoutInCell="1" allowOverlap="1" wp14:anchorId="39E47721" wp14:editId="223B7AAA">
            <wp:simplePos x="0" y="0"/>
            <wp:positionH relativeFrom="column">
              <wp:posOffset>2951480</wp:posOffset>
            </wp:positionH>
            <wp:positionV relativeFrom="paragraph">
              <wp:posOffset>0</wp:posOffset>
            </wp:positionV>
            <wp:extent cx="2713990" cy="1938020"/>
            <wp:effectExtent l="0" t="0" r="0" b="5080"/>
            <wp:wrapThrough wrapText="bothSides">
              <wp:wrapPolygon edited="0">
                <wp:start x="0" y="0"/>
                <wp:lineTo x="0" y="21444"/>
                <wp:lineTo x="21378" y="21444"/>
                <wp:lineTo x="21378" y="0"/>
                <wp:lineTo x="0" y="0"/>
              </wp:wrapPolygon>
            </wp:wrapThrough>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13990" cy="1938020"/>
                    </a:xfrm>
                    <a:prstGeom prst="rect">
                      <a:avLst/>
                    </a:prstGeom>
                  </pic:spPr>
                </pic:pic>
              </a:graphicData>
            </a:graphic>
            <wp14:sizeRelH relativeFrom="margin">
              <wp14:pctWidth>0</wp14:pctWidth>
            </wp14:sizeRelH>
            <wp14:sizeRelV relativeFrom="margin">
              <wp14:pctHeight>0</wp14:pctHeight>
            </wp14:sizeRelV>
          </wp:anchor>
        </w:drawing>
      </w:r>
      <w:r w:rsidR="00796BF9">
        <w:rPr>
          <w:rFonts w:ascii="Times New Roman" w:hAnsi="Times New Roman" w:cs="Times New Roman"/>
          <w:noProof/>
          <w:sz w:val="24"/>
          <w:szCs w:val="24"/>
        </w:rPr>
        <w:drawing>
          <wp:anchor distT="0" distB="0" distL="114300" distR="114300" simplePos="0" relativeHeight="251658240" behindDoc="0" locked="0" layoutInCell="1" allowOverlap="1" wp14:anchorId="3E1544A0" wp14:editId="1AC80E2F">
            <wp:simplePos x="0" y="0"/>
            <wp:positionH relativeFrom="margin">
              <wp:align>left</wp:align>
            </wp:positionH>
            <wp:positionV relativeFrom="paragraph">
              <wp:posOffset>145</wp:posOffset>
            </wp:positionV>
            <wp:extent cx="2713990" cy="1938655"/>
            <wp:effectExtent l="0" t="0" r="0" b="4445"/>
            <wp:wrapThrough wrapText="bothSides">
              <wp:wrapPolygon edited="0">
                <wp:start x="0" y="0"/>
                <wp:lineTo x="0" y="21437"/>
                <wp:lineTo x="21378" y="21437"/>
                <wp:lineTo x="21378" y="0"/>
                <wp:lineTo x="0" y="0"/>
              </wp:wrapPolygon>
            </wp:wrapThrough>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13990" cy="1938655"/>
                    </a:xfrm>
                    <a:prstGeom prst="rect">
                      <a:avLst/>
                    </a:prstGeom>
                  </pic:spPr>
                </pic:pic>
              </a:graphicData>
            </a:graphic>
            <wp14:sizeRelH relativeFrom="margin">
              <wp14:pctWidth>0</wp14:pctWidth>
            </wp14:sizeRelH>
            <wp14:sizeRelV relativeFrom="margin">
              <wp14:pctHeight>0</wp14:pctHeight>
            </wp14:sizeRelV>
          </wp:anchor>
        </w:drawing>
      </w:r>
    </w:p>
    <w:p w14:paraId="52E9BB72" w14:textId="1EE47D59" w:rsidR="005A4C05" w:rsidRPr="00004B19" w:rsidRDefault="005A4C05" w:rsidP="00004B19">
      <w:pPr>
        <w:ind w:firstLine="720"/>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The </w:t>
      </w:r>
      <w:r w:rsidR="004141F2">
        <w:rPr>
          <w:rFonts w:ascii="Times New Roman" w:eastAsiaTheme="minorEastAsia" w:hAnsi="Times New Roman" w:cs="Times New Roman"/>
          <w:sz w:val="24"/>
          <w:szCs w:val="24"/>
        </w:rPr>
        <w:t xml:space="preserve">graphing of the trendlines for each outcome </w:t>
      </w:r>
      <w:r w:rsidR="00C50A69">
        <w:rPr>
          <w:rFonts w:ascii="Times New Roman" w:eastAsiaTheme="minorEastAsia" w:hAnsi="Times New Roman" w:cs="Times New Roman"/>
          <w:sz w:val="24"/>
          <w:szCs w:val="24"/>
        </w:rPr>
        <w:t xml:space="preserve">shows, by and large, a violation of the parallel </w:t>
      </w:r>
      <w:proofErr w:type="gramStart"/>
      <w:r w:rsidR="00C50A69">
        <w:rPr>
          <w:rFonts w:ascii="Times New Roman" w:eastAsiaTheme="minorEastAsia" w:hAnsi="Times New Roman" w:cs="Times New Roman"/>
          <w:sz w:val="24"/>
          <w:szCs w:val="24"/>
        </w:rPr>
        <w:t>trends</w:t>
      </w:r>
      <w:proofErr w:type="gramEnd"/>
      <w:r w:rsidR="00D01FE6">
        <w:rPr>
          <w:rFonts w:ascii="Times New Roman" w:eastAsiaTheme="minorEastAsia" w:hAnsi="Times New Roman" w:cs="Times New Roman"/>
          <w:sz w:val="24"/>
          <w:szCs w:val="24"/>
        </w:rPr>
        <w:t xml:space="preserve"> assumption</w:t>
      </w:r>
      <w:r w:rsidR="00C50A69">
        <w:rPr>
          <w:rFonts w:ascii="Times New Roman" w:eastAsiaTheme="minorEastAsia" w:hAnsi="Times New Roman" w:cs="Times New Roman"/>
          <w:sz w:val="24"/>
          <w:szCs w:val="24"/>
        </w:rPr>
        <w:t xml:space="preserve">. </w:t>
      </w:r>
      <w:r w:rsidR="00600E7C">
        <w:rPr>
          <w:rFonts w:ascii="Times New Roman" w:eastAsiaTheme="minorEastAsia" w:hAnsi="Times New Roman" w:cs="Times New Roman"/>
          <w:sz w:val="24"/>
          <w:szCs w:val="24"/>
        </w:rPr>
        <w:t>While linearity does appear to be present in most of the outcomes, in several instances there are points in time at which the trendlines between the treatment group [corresponding to treat being 1] and those of the control group [corresponding to treat being 0]</w:t>
      </w:r>
      <w:r w:rsidR="00684CCD">
        <w:rPr>
          <w:rFonts w:ascii="Times New Roman" w:eastAsiaTheme="minorEastAsia" w:hAnsi="Times New Roman" w:cs="Times New Roman"/>
          <w:sz w:val="24"/>
          <w:szCs w:val="24"/>
        </w:rPr>
        <w:t xml:space="preserve"> overlap and seem to move in opposing directions. Even in outcomes where the trendlines a</w:t>
      </w:r>
      <w:r w:rsidR="00AB32CC">
        <w:rPr>
          <w:rFonts w:ascii="Times New Roman" w:eastAsiaTheme="minorEastAsia" w:hAnsi="Times New Roman" w:cs="Times New Roman"/>
          <w:sz w:val="24"/>
          <w:szCs w:val="24"/>
        </w:rPr>
        <w:t xml:space="preserve">re more parallel with one another, such as the proportion of individuals who </w:t>
      </w:r>
      <w:r w:rsidR="00FC27EA">
        <w:rPr>
          <w:rFonts w:ascii="Times New Roman" w:eastAsiaTheme="minorEastAsia" w:hAnsi="Times New Roman" w:cs="Times New Roman"/>
          <w:sz w:val="24"/>
          <w:szCs w:val="24"/>
        </w:rPr>
        <w:t xml:space="preserve">did not see a doctor due to cost or the proportion of individuals who reported good general health, </w:t>
      </w:r>
      <w:r w:rsidR="00A921E4">
        <w:rPr>
          <w:rFonts w:ascii="Times New Roman" w:eastAsiaTheme="minorEastAsia" w:hAnsi="Times New Roman" w:cs="Times New Roman"/>
          <w:sz w:val="24"/>
          <w:szCs w:val="24"/>
        </w:rPr>
        <w:t>the differences between the outcomes for the two groups are relatively minor.</w:t>
      </w:r>
    </w:p>
    <w:p w14:paraId="721B0EEF" w14:textId="40DE3127" w:rsidR="00763E79" w:rsidRDefault="00A921E4" w:rsidP="0023267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EB7954">
        <w:rPr>
          <w:rFonts w:ascii="Times New Roman" w:eastAsiaTheme="minorEastAsia" w:hAnsi="Times New Roman" w:cs="Times New Roman"/>
          <w:sz w:val="24"/>
          <w:szCs w:val="24"/>
        </w:rPr>
        <w:t xml:space="preserve">With the basic assumption of the DID model not being satisfied, </w:t>
      </w:r>
      <w:r w:rsidR="008226E4">
        <w:rPr>
          <w:rFonts w:ascii="Times New Roman" w:eastAsiaTheme="minorEastAsia" w:hAnsi="Times New Roman" w:cs="Times New Roman"/>
          <w:sz w:val="24"/>
          <w:szCs w:val="24"/>
        </w:rPr>
        <w:t xml:space="preserve">how can we rectify the non-parallel nature of the trends to still conduct DID analysis? </w:t>
      </w:r>
      <w:r w:rsidR="00A04067">
        <w:rPr>
          <w:rFonts w:ascii="Times New Roman" w:eastAsiaTheme="minorEastAsia" w:hAnsi="Times New Roman" w:cs="Times New Roman"/>
          <w:sz w:val="24"/>
          <w:szCs w:val="24"/>
        </w:rPr>
        <w:t xml:space="preserve">One of the </w:t>
      </w:r>
      <w:r w:rsidR="00EB418A">
        <w:rPr>
          <w:rFonts w:ascii="Times New Roman" w:eastAsiaTheme="minorEastAsia" w:hAnsi="Times New Roman" w:cs="Times New Roman"/>
          <w:sz w:val="24"/>
          <w:szCs w:val="24"/>
        </w:rPr>
        <w:t xml:space="preserve">recently emerging methods to </w:t>
      </w:r>
      <w:r w:rsidR="00AE5838">
        <w:rPr>
          <w:rFonts w:ascii="Times New Roman" w:eastAsiaTheme="minorEastAsia" w:hAnsi="Times New Roman" w:cs="Times New Roman"/>
          <w:sz w:val="24"/>
          <w:szCs w:val="24"/>
        </w:rPr>
        <w:t>combat this violation and still p</w:t>
      </w:r>
      <w:r w:rsidR="008875C5">
        <w:rPr>
          <w:rFonts w:ascii="Times New Roman" w:eastAsiaTheme="minorEastAsia" w:hAnsi="Times New Roman" w:cs="Times New Roman"/>
          <w:sz w:val="24"/>
          <w:szCs w:val="24"/>
        </w:rPr>
        <w:t xml:space="preserve">roceed with a DID model to ascertain causality </w:t>
      </w:r>
      <w:r w:rsidR="00FA2BDC">
        <w:rPr>
          <w:rFonts w:ascii="Times New Roman" w:eastAsiaTheme="minorEastAsia" w:hAnsi="Times New Roman" w:cs="Times New Roman"/>
          <w:sz w:val="24"/>
          <w:szCs w:val="24"/>
        </w:rPr>
        <w:t>is to use propensity score matching [PSM]</w:t>
      </w:r>
      <w:r w:rsidR="00247DF9">
        <w:rPr>
          <w:rFonts w:ascii="Times New Roman" w:eastAsiaTheme="minorEastAsia" w:hAnsi="Times New Roman" w:cs="Times New Roman"/>
          <w:sz w:val="24"/>
          <w:szCs w:val="24"/>
        </w:rPr>
        <w:t xml:space="preserve">; </w:t>
      </w:r>
      <w:r w:rsidR="00A46C67">
        <w:rPr>
          <w:rFonts w:ascii="Times New Roman" w:eastAsiaTheme="minorEastAsia" w:hAnsi="Times New Roman" w:cs="Times New Roman"/>
          <w:sz w:val="24"/>
          <w:szCs w:val="24"/>
        </w:rPr>
        <w:t xml:space="preserve">PSM is a way of </w:t>
      </w:r>
      <w:r w:rsidR="00663E56">
        <w:rPr>
          <w:rFonts w:ascii="Times New Roman" w:eastAsiaTheme="minorEastAsia" w:hAnsi="Times New Roman" w:cs="Times New Roman"/>
          <w:sz w:val="24"/>
          <w:szCs w:val="24"/>
        </w:rPr>
        <w:t xml:space="preserve">reducing selection bias present within observational data </w:t>
      </w:r>
      <w:r w:rsidR="00DB4CE1">
        <w:rPr>
          <w:rFonts w:ascii="Times New Roman" w:eastAsiaTheme="minorEastAsia" w:hAnsi="Times New Roman" w:cs="Times New Roman"/>
          <w:sz w:val="24"/>
          <w:szCs w:val="24"/>
        </w:rPr>
        <w:t xml:space="preserve">by matching </w:t>
      </w:r>
      <w:r w:rsidR="00007DC1">
        <w:rPr>
          <w:rFonts w:ascii="Times New Roman" w:eastAsiaTheme="minorEastAsia" w:hAnsi="Times New Roman" w:cs="Times New Roman"/>
          <w:sz w:val="24"/>
          <w:szCs w:val="24"/>
        </w:rPr>
        <w:t xml:space="preserve">members of the control group and the treatment according to their covariate characteristics. </w:t>
      </w:r>
      <w:r w:rsidR="000F7891">
        <w:rPr>
          <w:rFonts w:ascii="Times New Roman" w:eastAsiaTheme="minorEastAsia" w:hAnsi="Times New Roman" w:cs="Times New Roman"/>
          <w:sz w:val="24"/>
          <w:szCs w:val="24"/>
        </w:rPr>
        <w:t xml:space="preserve">With these covariates, our survey respondents can be given propensity scores that represent their probability of </w:t>
      </w:r>
      <w:r w:rsidR="006746DF">
        <w:rPr>
          <w:rFonts w:ascii="Times New Roman" w:eastAsiaTheme="minorEastAsia" w:hAnsi="Times New Roman" w:cs="Times New Roman"/>
          <w:sz w:val="24"/>
          <w:szCs w:val="24"/>
        </w:rPr>
        <w:t>being assigned to the treatment group</w:t>
      </w:r>
      <w:r w:rsidR="00793067">
        <w:rPr>
          <w:rFonts w:ascii="Times New Roman" w:eastAsiaTheme="minorEastAsia" w:hAnsi="Times New Roman" w:cs="Times New Roman"/>
          <w:sz w:val="24"/>
          <w:szCs w:val="24"/>
        </w:rPr>
        <w:t>. We can then match participants in the control group to those in the treatment group</w:t>
      </w:r>
      <w:r w:rsidR="00C128B4">
        <w:rPr>
          <w:rFonts w:ascii="Times New Roman" w:eastAsiaTheme="minorEastAsia" w:hAnsi="Times New Roman" w:cs="Times New Roman"/>
          <w:sz w:val="24"/>
          <w:szCs w:val="24"/>
        </w:rPr>
        <w:t xml:space="preserve"> by pairing together subjects with similar propensity scores, helping to balance the covariates throughout our data</w:t>
      </w:r>
      <w:r w:rsidR="00763E79">
        <w:rPr>
          <w:rFonts w:ascii="Times New Roman" w:eastAsiaTheme="minorEastAsia" w:hAnsi="Times New Roman" w:cs="Times New Roman"/>
          <w:sz w:val="24"/>
          <w:szCs w:val="24"/>
        </w:rPr>
        <w:t>, thereby reducing the confounding nature of observational data</w:t>
      </w:r>
      <w:r w:rsidR="0031764C">
        <w:rPr>
          <w:rFonts w:ascii="Times New Roman" w:eastAsiaTheme="minorEastAsia" w:hAnsi="Times New Roman" w:cs="Times New Roman"/>
          <w:sz w:val="24"/>
          <w:szCs w:val="24"/>
        </w:rPr>
        <w:t>, and providing a reasonable avenue by which to ascribe causality.</w:t>
      </w:r>
    </w:p>
    <w:p w14:paraId="18BCD0BA" w14:textId="7FE0D979" w:rsidR="00A921E4" w:rsidRDefault="00740BCD" w:rsidP="00763E79">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Relatively new research has begun to assess the impact of utilizing PSM within the context of DID analyses. </w:t>
      </w:r>
      <w:r w:rsidR="003F5AD2">
        <w:rPr>
          <w:rFonts w:ascii="Times New Roman" w:eastAsiaTheme="minorEastAsia" w:hAnsi="Times New Roman" w:cs="Times New Roman"/>
          <w:sz w:val="24"/>
          <w:szCs w:val="24"/>
        </w:rPr>
        <w:t>One such study tested the performance of standard DID estimators</w:t>
      </w:r>
      <w:r w:rsidR="005400EA">
        <w:rPr>
          <w:rFonts w:ascii="Times New Roman" w:eastAsiaTheme="minorEastAsia" w:hAnsi="Times New Roman" w:cs="Times New Roman"/>
          <w:sz w:val="24"/>
          <w:szCs w:val="24"/>
        </w:rPr>
        <w:t>,</w:t>
      </w:r>
      <w:r w:rsidR="003F5AD2">
        <w:rPr>
          <w:rFonts w:ascii="Times New Roman" w:eastAsiaTheme="minorEastAsia" w:hAnsi="Times New Roman" w:cs="Times New Roman"/>
          <w:sz w:val="24"/>
          <w:szCs w:val="24"/>
        </w:rPr>
        <w:t xml:space="preserve"> time-series analysis </w:t>
      </w:r>
      <w:r w:rsidR="005400EA">
        <w:rPr>
          <w:rFonts w:ascii="Times New Roman" w:eastAsiaTheme="minorEastAsia" w:hAnsi="Times New Roman" w:cs="Times New Roman"/>
          <w:sz w:val="24"/>
          <w:szCs w:val="24"/>
        </w:rPr>
        <w:t xml:space="preserve">and DID </w:t>
      </w:r>
      <w:r w:rsidR="00BC7E9C">
        <w:rPr>
          <w:rFonts w:ascii="Times New Roman" w:eastAsiaTheme="minorEastAsia" w:hAnsi="Times New Roman" w:cs="Times New Roman"/>
          <w:sz w:val="24"/>
          <w:szCs w:val="24"/>
        </w:rPr>
        <w:t xml:space="preserve">with PSM </w:t>
      </w:r>
      <w:r w:rsidR="005400EA">
        <w:rPr>
          <w:rFonts w:ascii="Times New Roman" w:eastAsiaTheme="minorEastAsia" w:hAnsi="Times New Roman" w:cs="Times New Roman"/>
          <w:sz w:val="24"/>
          <w:szCs w:val="24"/>
        </w:rPr>
        <w:t>estimator</w:t>
      </w:r>
      <w:r w:rsidR="00BC7E9C">
        <w:rPr>
          <w:rFonts w:ascii="Times New Roman" w:eastAsiaTheme="minorEastAsia" w:hAnsi="Times New Roman" w:cs="Times New Roman"/>
          <w:sz w:val="24"/>
          <w:szCs w:val="24"/>
        </w:rPr>
        <w:t xml:space="preserve">s in a setting where the parallel trends assumption did not hold. Their findings demonstrated that </w:t>
      </w:r>
      <w:r w:rsidR="00BC073D">
        <w:rPr>
          <w:rFonts w:ascii="Times New Roman" w:eastAsiaTheme="minorEastAsia" w:hAnsi="Times New Roman" w:cs="Times New Roman"/>
          <w:sz w:val="24"/>
          <w:szCs w:val="24"/>
        </w:rPr>
        <w:t>the DID</w:t>
      </w:r>
      <w:r w:rsidR="001C264D">
        <w:rPr>
          <w:rFonts w:ascii="Times New Roman" w:eastAsiaTheme="minorEastAsia" w:hAnsi="Times New Roman" w:cs="Times New Roman"/>
          <w:sz w:val="24"/>
          <w:szCs w:val="24"/>
        </w:rPr>
        <w:t xml:space="preserve"> </w:t>
      </w:r>
      <w:r w:rsidR="001E32C4">
        <w:rPr>
          <w:rFonts w:ascii="Times New Roman" w:eastAsiaTheme="minorEastAsia" w:hAnsi="Times New Roman" w:cs="Times New Roman"/>
          <w:sz w:val="24"/>
          <w:szCs w:val="24"/>
        </w:rPr>
        <w:t xml:space="preserve">model </w:t>
      </w:r>
      <w:r w:rsidR="001C264D">
        <w:rPr>
          <w:rFonts w:ascii="Times New Roman" w:eastAsiaTheme="minorEastAsia" w:hAnsi="Times New Roman" w:cs="Times New Roman"/>
          <w:sz w:val="24"/>
          <w:szCs w:val="24"/>
        </w:rPr>
        <w:t xml:space="preserve">with PSM yielded better mean squared error results than </w:t>
      </w:r>
      <w:r w:rsidR="00F2470A">
        <w:rPr>
          <w:rFonts w:ascii="Times New Roman" w:eastAsiaTheme="minorEastAsia" w:hAnsi="Times New Roman" w:cs="Times New Roman"/>
          <w:sz w:val="24"/>
          <w:szCs w:val="24"/>
        </w:rPr>
        <w:t xml:space="preserve">either of the other estimators and had a superior estimator coverage [i.e., </w:t>
      </w:r>
      <w:r w:rsidR="00956293">
        <w:rPr>
          <w:rFonts w:ascii="Times New Roman" w:eastAsiaTheme="minorEastAsia" w:hAnsi="Times New Roman" w:cs="Times New Roman"/>
          <w:sz w:val="24"/>
          <w:szCs w:val="24"/>
        </w:rPr>
        <w:t>the true treatment effect was contained within the confidence interval of the estimator</w:t>
      </w:r>
      <w:r w:rsidR="00F2470A">
        <w:rPr>
          <w:rFonts w:ascii="Times New Roman" w:eastAsiaTheme="minorEastAsia" w:hAnsi="Times New Roman" w:cs="Times New Roman"/>
          <w:sz w:val="24"/>
          <w:szCs w:val="24"/>
        </w:rPr>
        <w:t>]</w:t>
      </w:r>
      <w:r w:rsidR="00956293">
        <w:rPr>
          <w:rFonts w:ascii="Times New Roman" w:eastAsiaTheme="minorEastAsia" w:hAnsi="Times New Roman" w:cs="Times New Roman"/>
          <w:sz w:val="24"/>
          <w:szCs w:val="24"/>
        </w:rPr>
        <w:t xml:space="preserve"> </w:t>
      </w:r>
      <w:r w:rsidR="00CB0652">
        <w:rPr>
          <w:rFonts w:ascii="Times New Roman" w:eastAsiaTheme="minorEastAsia" w:hAnsi="Times New Roman" w:cs="Times New Roman"/>
          <w:sz w:val="24"/>
          <w:szCs w:val="24"/>
        </w:rPr>
        <w:t>(Ryan</w:t>
      </w:r>
      <w:r w:rsidR="00956293">
        <w:rPr>
          <w:rFonts w:ascii="Times New Roman" w:eastAsiaTheme="minorEastAsia" w:hAnsi="Times New Roman" w:cs="Times New Roman"/>
          <w:sz w:val="24"/>
          <w:szCs w:val="24"/>
        </w:rPr>
        <w:t>, 2018</w:t>
      </w:r>
      <w:r w:rsidR="00CB0652">
        <w:rPr>
          <w:rFonts w:ascii="Times New Roman" w:eastAsiaTheme="minorEastAsia" w:hAnsi="Times New Roman" w:cs="Times New Roman"/>
          <w:sz w:val="24"/>
          <w:szCs w:val="24"/>
        </w:rPr>
        <w:t>)</w:t>
      </w:r>
      <w:r w:rsidR="00B82538">
        <w:rPr>
          <w:rFonts w:ascii="Times New Roman" w:eastAsiaTheme="minorEastAsia" w:hAnsi="Times New Roman" w:cs="Times New Roman"/>
          <w:sz w:val="24"/>
          <w:szCs w:val="24"/>
        </w:rPr>
        <w:t>.</w:t>
      </w:r>
      <w:r w:rsidR="00F45FDD">
        <w:rPr>
          <w:rFonts w:ascii="Times New Roman" w:eastAsiaTheme="minorEastAsia" w:hAnsi="Times New Roman" w:cs="Times New Roman"/>
          <w:sz w:val="24"/>
          <w:szCs w:val="24"/>
        </w:rPr>
        <w:t xml:space="preserve"> An interesting point of </w:t>
      </w:r>
      <w:r w:rsidR="00D977CE">
        <w:rPr>
          <w:rFonts w:ascii="Times New Roman" w:eastAsiaTheme="minorEastAsia" w:hAnsi="Times New Roman" w:cs="Times New Roman"/>
          <w:sz w:val="24"/>
          <w:szCs w:val="24"/>
        </w:rPr>
        <w:t xml:space="preserve">PSM is that, when running the model after performing matching, the covariates used to balance the groups can either be included in the model or not; </w:t>
      </w:r>
      <w:r w:rsidR="00531A1C">
        <w:rPr>
          <w:rFonts w:ascii="Times New Roman" w:eastAsiaTheme="minorEastAsia" w:hAnsi="Times New Roman" w:cs="Times New Roman"/>
          <w:sz w:val="24"/>
          <w:szCs w:val="24"/>
        </w:rPr>
        <w:t>the primary analysis of this paper did include those covariates in the final model, but sensitivity analysis without the</w:t>
      </w:r>
      <w:r w:rsidR="00B53C75">
        <w:rPr>
          <w:rFonts w:ascii="Times New Roman" w:eastAsiaTheme="minorEastAsia" w:hAnsi="Times New Roman" w:cs="Times New Roman"/>
          <w:sz w:val="24"/>
          <w:szCs w:val="24"/>
        </w:rPr>
        <w:t xml:space="preserve">m was also ran and tables for those results </w:t>
      </w:r>
      <w:r w:rsidR="00D54FE9">
        <w:rPr>
          <w:rFonts w:ascii="Times New Roman" w:eastAsiaTheme="minorEastAsia" w:hAnsi="Times New Roman" w:cs="Times New Roman"/>
          <w:sz w:val="24"/>
          <w:szCs w:val="24"/>
        </w:rPr>
        <w:t>are in</w:t>
      </w:r>
      <w:r w:rsidR="003A1B91">
        <w:rPr>
          <w:rFonts w:ascii="Times New Roman" w:eastAsiaTheme="minorEastAsia" w:hAnsi="Times New Roman" w:cs="Times New Roman"/>
          <w:sz w:val="24"/>
          <w:szCs w:val="24"/>
        </w:rPr>
        <w:t xml:space="preserve"> the appendix</w:t>
      </w:r>
      <w:r w:rsidR="00B53C75">
        <w:rPr>
          <w:rFonts w:ascii="Times New Roman" w:eastAsiaTheme="minorEastAsia" w:hAnsi="Times New Roman" w:cs="Times New Roman"/>
          <w:sz w:val="24"/>
          <w:szCs w:val="24"/>
        </w:rPr>
        <w:t>.</w:t>
      </w:r>
      <w:r w:rsidR="00B82538">
        <w:rPr>
          <w:rFonts w:ascii="Times New Roman" w:eastAsiaTheme="minorEastAsia" w:hAnsi="Times New Roman" w:cs="Times New Roman"/>
          <w:sz w:val="24"/>
          <w:szCs w:val="24"/>
        </w:rPr>
        <w:t xml:space="preserve"> </w:t>
      </w:r>
      <w:r w:rsidR="00B32724">
        <w:rPr>
          <w:rFonts w:ascii="Times New Roman" w:eastAsiaTheme="minorEastAsia" w:hAnsi="Times New Roman" w:cs="Times New Roman"/>
          <w:sz w:val="24"/>
          <w:szCs w:val="24"/>
        </w:rPr>
        <w:t>Considering</w:t>
      </w:r>
      <w:r w:rsidR="00B82538">
        <w:rPr>
          <w:rFonts w:ascii="Times New Roman" w:eastAsiaTheme="minorEastAsia" w:hAnsi="Times New Roman" w:cs="Times New Roman"/>
          <w:sz w:val="24"/>
          <w:szCs w:val="24"/>
        </w:rPr>
        <w:t xml:space="preserve"> this research, we can conduct analyses using both the standard DID approach</w:t>
      </w:r>
      <w:r w:rsidR="00D73BEC">
        <w:rPr>
          <w:rFonts w:ascii="Times New Roman" w:eastAsiaTheme="minorEastAsia" w:hAnsi="Times New Roman" w:cs="Times New Roman"/>
          <w:sz w:val="24"/>
          <w:szCs w:val="24"/>
        </w:rPr>
        <w:t xml:space="preserve"> </w:t>
      </w:r>
      <w:r w:rsidR="00B82538">
        <w:rPr>
          <w:rFonts w:ascii="Times New Roman" w:eastAsiaTheme="minorEastAsia" w:hAnsi="Times New Roman" w:cs="Times New Roman"/>
          <w:sz w:val="24"/>
          <w:szCs w:val="24"/>
        </w:rPr>
        <w:t xml:space="preserve">and an approach utilizing </w:t>
      </w:r>
      <w:r w:rsidR="00B32724">
        <w:rPr>
          <w:rFonts w:ascii="Times New Roman" w:eastAsiaTheme="minorEastAsia" w:hAnsi="Times New Roman" w:cs="Times New Roman"/>
          <w:sz w:val="24"/>
          <w:szCs w:val="24"/>
        </w:rPr>
        <w:t>PSM and</w:t>
      </w:r>
      <w:r w:rsidR="002A78EA">
        <w:rPr>
          <w:rFonts w:ascii="Times New Roman" w:eastAsiaTheme="minorEastAsia" w:hAnsi="Times New Roman" w:cs="Times New Roman"/>
          <w:sz w:val="24"/>
          <w:szCs w:val="24"/>
        </w:rPr>
        <w:t xml:space="preserve"> have more confidence that the latter method will yield a</w:t>
      </w:r>
      <w:r w:rsidR="003C3775">
        <w:rPr>
          <w:rFonts w:ascii="Times New Roman" w:eastAsiaTheme="minorEastAsia" w:hAnsi="Times New Roman" w:cs="Times New Roman"/>
          <w:sz w:val="24"/>
          <w:szCs w:val="24"/>
        </w:rPr>
        <w:t>n estimator which is closer to the true effect of reinsurance implementation on individual health outcomes.</w:t>
      </w:r>
      <w:r w:rsidR="00BB0D05">
        <w:rPr>
          <w:rFonts w:ascii="Times New Roman" w:eastAsiaTheme="minorEastAsia" w:hAnsi="Times New Roman" w:cs="Times New Roman"/>
          <w:sz w:val="24"/>
          <w:szCs w:val="24"/>
        </w:rPr>
        <w:t xml:space="preserve"> </w:t>
      </w:r>
    </w:p>
    <w:p w14:paraId="13ED9A82" w14:textId="66BC8C4E" w:rsidR="00B32724" w:rsidRDefault="009E3C06" w:rsidP="00763E79">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this analysis, </w:t>
      </w:r>
      <w:r w:rsidR="00D05309">
        <w:rPr>
          <w:rFonts w:ascii="Times New Roman" w:eastAsiaTheme="minorEastAsia" w:hAnsi="Times New Roman" w:cs="Times New Roman"/>
          <w:sz w:val="24"/>
          <w:szCs w:val="24"/>
        </w:rPr>
        <w:t>multiple linear regression models were tested</w:t>
      </w:r>
      <w:r w:rsidR="00755435">
        <w:rPr>
          <w:rFonts w:ascii="Times New Roman" w:eastAsiaTheme="minorEastAsia" w:hAnsi="Times New Roman" w:cs="Times New Roman"/>
          <w:sz w:val="24"/>
          <w:szCs w:val="24"/>
        </w:rPr>
        <w:t>.</w:t>
      </w:r>
      <w:r w:rsidR="00AC3FC8">
        <w:rPr>
          <w:rFonts w:ascii="Times New Roman" w:eastAsiaTheme="minorEastAsia" w:hAnsi="Times New Roman" w:cs="Times New Roman"/>
          <w:sz w:val="24"/>
          <w:szCs w:val="24"/>
        </w:rPr>
        <w:t xml:space="preserve"> </w:t>
      </w:r>
      <w:r w:rsidR="00174498">
        <w:rPr>
          <w:rFonts w:ascii="Times New Roman" w:eastAsiaTheme="minorEastAsia" w:hAnsi="Times New Roman" w:cs="Times New Roman"/>
          <w:sz w:val="24"/>
          <w:szCs w:val="24"/>
        </w:rPr>
        <w:t>O</w:t>
      </w:r>
      <w:r w:rsidR="009C35C3">
        <w:rPr>
          <w:rFonts w:ascii="Times New Roman" w:eastAsiaTheme="minorEastAsia" w:hAnsi="Times New Roman" w:cs="Times New Roman"/>
          <w:sz w:val="24"/>
          <w:szCs w:val="24"/>
        </w:rPr>
        <w:t>ne point to note is that</w:t>
      </w:r>
      <w:r w:rsidR="00FD32D3">
        <w:rPr>
          <w:rFonts w:ascii="Times New Roman" w:eastAsiaTheme="minorEastAsia" w:hAnsi="Times New Roman" w:cs="Times New Roman"/>
          <w:sz w:val="24"/>
          <w:szCs w:val="24"/>
        </w:rPr>
        <w:t xml:space="preserve"> </w:t>
      </w:r>
      <w:r w:rsidR="005B0055">
        <w:rPr>
          <w:rFonts w:ascii="Times New Roman" w:eastAsiaTheme="minorEastAsia" w:hAnsi="Times New Roman" w:cs="Times New Roman"/>
          <w:sz w:val="24"/>
          <w:szCs w:val="24"/>
        </w:rPr>
        <w:t xml:space="preserve">usage of weights within machine learning is a grey area in the field, with some recommendations to utilize them and some to </w:t>
      </w:r>
      <w:r w:rsidR="001417C6">
        <w:rPr>
          <w:rFonts w:ascii="Times New Roman" w:eastAsiaTheme="minorEastAsia" w:hAnsi="Times New Roman" w:cs="Times New Roman"/>
          <w:sz w:val="24"/>
          <w:szCs w:val="24"/>
        </w:rPr>
        <w:t>stray from introducing weighting, instead letting the model determine the details on its own in an algorithmic manner</w:t>
      </w:r>
      <w:r w:rsidR="00FD32D3">
        <w:rPr>
          <w:rFonts w:ascii="Times New Roman" w:eastAsiaTheme="minorEastAsia" w:hAnsi="Times New Roman" w:cs="Times New Roman"/>
          <w:sz w:val="24"/>
          <w:szCs w:val="24"/>
        </w:rPr>
        <w:t>.</w:t>
      </w:r>
      <w:r w:rsidR="001417C6">
        <w:rPr>
          <w:rFonts w:ascii="Times New Roman" w:eastAsiaTheme="minorEastAsia" w:hAnsi="Times New Roman" w:cs="Times New Roman"/>
          <w:sz w:val="24"/>
          <w:szCs w:val="24"/>
        </w:rPr>
        <w:t xml:space="preserve"> In accordance with </w:t>
      </w:r>
      <w:r w:rsidR="00814CF9">
        <w:rPr>
          <w:rFonts w:ascii="Times New Roman" w:eastAsiaTheme="minorEastAsia" w:hAnsi="Times New Roman" w:cs="Times New Roman"/>
          <w:sz w:val="24"/>
          <w:szCs w:val="24"/>
        </w:rPr>
        <w:t xml:space="preserve">the BRFSS outlines on </w:t>
      </w:r>
      <w:r w:rsidR="004D4CD2">
        <w:rPr>
          <w:rFonts w:ascii="Times New Roman" w:eastAsiaTheme="minorEastAsia" w:hAnsi="Times New Roman" w:cs="Times New Roman"/>
          <w:sz w:val="24"/>
          <w:szCs w:val="24"/>
        </w:rPr>
        <w:t>utilizing the</w:t>
      </w:r>
      <w:r w:rsidR="00B56C2D">
        <w:rPr>
          <w:rFonts w:ascii="Times New Roman" w:eastAsiaTheme="minorEastAsia" w:hAnsi="Times New Roman" w:cs="Times New Roman"/>
          <w:sz w:val="24"/>
          <w:szCs w:val="24"/>
        </w:rPr>
        <w:t xml:space="preserve"> survey</w:t>
      </w:r>
      <w:r w:rsidR="004D4CD2">
        <w:rPr>
          <w:rFonts w:ascii="Times New Roman" w:eastAsiaTheme="minorEastAsia" w:hAnsi="Times New Roman" w:cs="Times New Roman"/>
          <w:sz w:val="24"/>
          <w:szCs w:val="24"/>
        </w:rPr>
        <w:t xml:space="preserve"> data for analytical purposes, </w:t>
      </w:r>
      <w:r w:rsidR="007E5E1E">
        <w:rPr>
          <w:rFonts w:ascii="Times New Roman" w:eastAsiaTheme="minorEastAsia" w:hAnsi="Times New Roman" w:cs="Times New Roman"/>
          <w:sz w:val="24"/>
          <w:szCs w:val="24"/>
        </w:rPr>
        <w:t xml:space="preserve">since our dataset was comprised of several years’ worth of BRFSS data, </w:t>
      </w:r>
      <w:r w:rsidR="003A4D7C">
        <w:rPr>
          <w:rFonts w:ascii="Times New Roman" w:eastAsiaTheme="minorEastAsia" w:hAnsi="Times New Roman" w:cs="Times New Roman"/>
          <w:sz w:val="24"/>
          <w:szCs w:val="24"/>
        </w:rPr>
        <w:t xml:space="preserve">we </w:t>
      </w:r>
      <w:r w:rsidR="00A81CD4">
        <w:rPr>
          <w:rFonts w:ascii="Times New Roman" w:eastAsiaTheme="minorEastAsia" w:hAnsi="Times New Roman" w:cs="Times New Roman"/>
          <w:sz w:val="24"/>
          <w:szCs w:val="24"/>
        </w:rPr>
        <w:t xml:space="preserve">constructed </w:t>
      </w:r>
      <w:r w:rsidR="007E5E1E">
        <w:rPr>
          <w:rFonts w:ascii="Times New Roman" w:eastAsiaTheme="minorEastAsia" w:hAnsi="Times New Roman" w:cs="Times New Roman"/>
          <w:sz w:val="24"/>
          <w:szCs w:val="24"/>
        </w:rPr>
        <w:t xml:space="preserve">complex sampling weights </w:t>
      </w:r>
      <w:r w:rsidR="00261264">
        <w:rPr>
          <w:rFonts w:ascii="Times New Roman" w:eastAsiaTheme="minorEastAsia" w:hAnsi="Times New Roman" w:cs="Times New Roman"/>
          <w:sz w:val="24"/>
          <w:szCs w:val="24"/>
        </w:rPr>
        <w:t>by adjusting each annual</w:t>
      </w:r>
      <w:r w:rsidR="00D869FC">
        <w:rPr>
          <w:rFonts w:ascii="Times New Roman" w:eastAsiaTheme="minorEastAsia" w:hAnsi="Times New Roman" w:cs="Times New Roman"/>
          <w:sz w:val="24"/>
          <w:szCs w:val="24"/>
        </w:rPr>
        <w:t xml:space="preserve"> observation’s</w:t>
      </w:r>
      <w:r w:rsidR="00261264">
        <w:rPr>
          <w:rFonts w:ascii="Times New Roman" w:eastAsiaTheme="minorEastAsia" w:hAnsi="Times New Roman" w:cs="Times New Roman"/>
          <w:sz w:val="24"/>
          <w:szCs w:val="24"/>
        </w:rPr>
        <w:t xml:space="preserve"> weight according to the proportion of its prevalence within the data</w:t>
      </w:r>
      <w:r w:rsidR="00B56C2D">
        <w:rPr>
          <w:rFonts w:ascii="Times New Roman" w:eastAsiaTheme="minorEastAsia" w:hAnsi="Times New Roman" w:cs="Times New Roman"/>
          <w:sz w:val="24"/>
          <w:szCs w:val="24"/>
        </w:rPr>
        <w:t>.</w:t>
      </w:r>
      <w:r w:rsidR="00D869FC">
        <w:rPr>
          <w:rFonts w:ascii="Times New Roman" w:eastAsiaTheme="minorEastAsia" w:hAnsi="Times New Roman" w:cs="Times New Roman"/>
          <w:sz w:val="24"/>
          <w:szCs w:val="24"/>
        </w:rPr>
        <w:t xml:space="preserve"> These weights were employed in the primary analysis, but sensitivity analysis was conducted </w:t>
      </w:r>
      <w:r w:rsidR="00797EC5">
        <w:rPr>
          <w:rFonts w:ascii="Times New Roman" w:eastAsiaTheme="minorEastAsia" w:hAnsi="Times New Roman" w:cs="Times New Roman"/>
          <w:sz w:val="24"/>
          <w:szCs w:val="24"/>
        </w:rPr>
        <w:t xml:space="preserve">by </w:t>
      </w:r>
      <w:r w:rsidR="00106BC7">
        <w:rPr>
          <w:rFonts w:ascii="Times New Roman" w:eastAsiaTheme="minorEastAsia" w:hAnsi="Times New Roman" w:cs="Times New Roman"/>
          <w:sz w:val="24"/>
          <w:szCs w:val="24"/>
        </w:rPr>
        <w:t>omitting any weighting, and</w:t>
      </w:r>
      <w:r w:rsidR="00096ACA">
        <w:rPr>
          <w:rFonts w:ascii="Times New Roman" w:eastAsiaTheme="minorEastAsia" w:hAnsi="Times New Roman" w:cs="Times New Roman"/>
          <w:sz w:val="24"/>
          <w:szCs w:val="24"/>
        </w:rPr>
        <w:t xml:space="preserve"> the corresponding regression results</w:t>
      </w:r>
      <w:r w:rsidR="00106BC7">
        <w:rPr>
          <w:rFonts w:ascii="Times New Roman" w:eastAsiaTheme="minorEastAsia" w:hAnsi="Times New Roman" w:cs="Times New Roman"/>
          <w:sz w:val="24"/>
          <w:szCs w:val="24"/>
        </w:rPr>
        <w:t xml:space="preserve"> are in the appendix.</w:t>
      </w:r>
      <w:r w:rsidR="009E51D4">
        <w:rPr>
          <w:rFonts w:ascii="Times New Roman" w:eastAsiaTheme="minorEastAsia" w:hAnsi="Times New Roman" w:cs="Times New Roman"/>
          <w:sz w:val="24"/>
          <w:szCs w:val="24"/>
        </w:rPr>
        <w:t xml:space="preserve"> Furthermore, studies </w:t>
      </w:r>
      <w:r w:rsidR="009E51D4">
        <w:rPr>
          <w:rFonts w:ascii="Times New Roman" w:eastAsiaTheme="minorEastAsia" w:hAnsi="Times New Roman" w:cs="Times New Roman"/>
          <w:sz w:val="24"/>
          <w:szCs w:val="24"/>
        </w:rPr>
        <w:lastRenderedPageBreak/>
        <w:t xml:space="preserve">have shown that using sampling weights for matching, and then using a product of the sampling weights and the propensity score weights as a final weight measure for modeling gives far more robust results (Ridgeway, 2015). </w:t>
      </w:r>
      <w:r w:rsidR="00AB4823">
        <w:rPr>
          <w:rFonts w:ascii="Times New Roman" w:eastAsiaTheme="minorEastAsia" w:hAnsi="Times New Roman" w:cs="Times New Roman"/>
          <w:sz w:val="24"/>
          <w:szCs w:val="24"/>
        </w:rPr>
        <w:t>Considering</w:t>
      </w:r>
      <w:r w:rsidR="005F3892">
        <w:rPr>
          <w:rFonts w:ascii="Times New Roman" w:eastAsiaTheme="minorEastAsia" w:hAnsi="Times New Roman" w:cs="Times New Roman"/>
          <w:sz w:val="24"/>
          <w:szCs w:val="24"/>
        </w:rPr>
        <w:t xml:space="preserve"> these findings, we conducted a standard DID approach and a</w:t>
      </w:r>
      <w:r w:rsidR="0025093E">
        <w:rPr>
          <w:rFonts w:ascii="Times New Roman" w:eastAsiaTheme="minorEastAsia" w:hAnsi="Times New Roman" w:cs="Times New Roman"/>
          <w:sz w:val="24"/>
          <w:szCs w:val="24"/>
        </w:rPr>
        <w:t xml:space="preserve"> DID</w:t>
      </w:r>
      <w:r w:rsidR="005F3892">
        <w:rPr>
          <w:rFonts w:ascii="Times New Roman" w:eastAsiaTheme="minorEastAsia" w:hAnsi="Times New Roman" w:cs="Times New Roman"/>
          <w:sz w:val="24"/>
          <w:szCs w:val="24"/>
        </w:rPr>
        <w:t xml:space="preserve"> approach utilizing PSM </w:t>
      </w:r>
      <w:r w:rsidR="003960DA">
        <w:rPr>
          <w:rFonts w:ascii="Times New Roman" w:eastAsiaTheme="minorEastAsia" w:hAnsi="Times New Roman" w:cs="Times New Roman"/>
          <w:sz w:val="24"/>
          <w:szCs w:val="24"/>
        </w:rPr>
        <w:t xml:space="preserve">with a weighting scheme that follows the methodology outlined by Ridgeway. </w:t>
      </w:r>
      <w:r w:rsidR="00FD32D3">
        <w:rPr>
          <w:rFonts w:ascii="Times New Roman" w:eastAsiaTheme="minorEastAsia" w:hAnsi="Times New Roman" w:cs="Times New Roman"/>
          <w:sz w:val="24"/>
          <w:szCs w:val="24"/>
        </w:rPr>
        <w:t>T</w:t>
      </w:r>
      <w:r w:rsidR="00AC3FC8">
        <w:rPr>
          <w:rFonts w:ascii="Times New Roman" w:eastAsiaTheme="minorEastAsia" w:hAnsi="Times New Roman" w:cs="Times New Roman"/>
          <w:sz w:val="24"/>
          <w:szCs w:val="24"/>
        </w:rPr>
        <w:t>h</w:t>
      </w:r>
      <w:r w:rsidR="00106BC7">
        <w:rPr>
          <w:rFonts w:ascii="Times New Roman" w:eastAsiaTheme="minorEastAsia" w:hAnsi="Times New Roman" w:cs="Times New Roman"/>
          <w:sz w:val="24"/>
          <w:szCs w:val="24"/>
        </w:rPr>
        <w:t>e</w:t>
      </w:r>
      <w:r w:rsidR="00AC3FC8">
        <w:rPr>
          <w:rFonts w:ascii="Times New Roman" w:eastAsiaTheme="minorEastAsia" w:hAnsi="Times New Roman" w:cs="Times New Roman"/>
          <w:sz w:val="24"/>
          <w:szCs w:val="24"/>
        </w:rPr>
        <w:t xml:space="preserve"> models</w:t>
      </w:r>
      <w:r w:rsidR="00106BC7">
        <w:rPr>
          <w:rFonts w:ascii="Times New Roman" w:eastAsiaTheme="minorEastAsia" w:hAnsi="Times New Roman" w:cs="Times New Roman"/>
          <w:sz w:val="24"/>
          <w:szCs w:val="24"/>
        </w:rPr>
        <w:t xml:space="preserve"> </w:t>
      </w:r>
      <w:r w:rsidR="00C65139">
        <w:rPr>
          <w:rFonts w:ascii="Times New Roman" w:eastAsiaTheme="minorEastAsia" w:hAnsi="Times New Roman" w:cs="Times New Roman"/>
          <w:sz w:val="24"/>
          <w:szCs w:val="24"/>
        </w:rPr>
        <w:t>built</w:t>
      </w:r>
      <w:r w:rsidR="00AC3FC8">
        <w:rPr>
          <w:rFonts w:ascii="Times New Roman" w:eastAsiaTheme="minorEastAsia" w:hAnsi="Times New Roman" w:cs="Times New Roman"/>
          <w:sz w:val="24"/>
          <w:szCs w:val="24"/>
        </w:rPr>
        <w:t xml:space="preserve"> were</w:t>
      </w:r>
      <w:r w:rsidR="00D05309">
        <w:rPr>
          <w:rFonts w:ascii="Times New Roman" w:eastAsiaTheme="minorEastAsia" w:hAnsi="Times New Roman" w:cs="Times New Roman"/>
          <w:sz w:val="24"/>
          <w:szCs w:val="24"/>
        </w:rPr>
        <w:t xml:space="preserve"> </w:t>
      </w:r>
      <w:r w:rsidR="00AC3FC8">
        <w:rPr>
          <w:rFonts w:ascii="Times New Roman" w:eastAsiaTheme="minorEastAsia" w:hAnsi="Times New Roman" w:cs="Times New Roman"/>
          <w:sz w:val="24"/>
          <w:szCs w:val="24"/>
        </w:rPr>
        <w:t>standard OLS,</w:t>
      </w:r>
      <w:r w:rsidR="00410F0C">
        <w:rPr>
          <w:rFonts w:ascii="Times New Roman" w:eastAsiaTheme="minorEastAsia" w:hAnsi="Times New Roman" w:cs="Times New Roman"/>
          <w:sz w:val="24"/>
          <w:szCs w:val="24"/>
        </w:rPr>
        <w:t xml:space="preserve"> both by using </w:t>
      </w:r>
      <w:r w:rsidR="00561F28">
        <w:rPr>
          <w:rFonts w:ascii="Times New Roman" w:eastAsiaTheme="minorEastAsia" w:hAnsi="Times New Roman" w:cs="Times New Roman"/>
          <w:sz w:val="24"/>
          <w:szCs w:val="24"/>
        </w:rPr>
        <w:t>the weights directly and by creating a survey design object based on the complex weights via the “Survey” package in R</w:t>
      </w:r>
      <w:r w:rsidR="008B516B">
        <w:rPr>
          <w:rFonts w:ascii="Times New Roman" w:eastAsiaTheme="minorEastAsia" w:hAnsi="Times New Roman" w:cs="Times New Roman"/>
          <w:sz w:val="24"/>
          <w:szCs w:val="24"/>
        </w:rPr>
        <w:t xml:space="preserve">, </w:t>
      </w:r>
      <w:r w:rsidR="00AC3FC8">
        <w:rPr>
          <w:rFonts w:ascii="Times New Roman" w:eastAsiaTheme="minorEastAsia" w:hAnsi="Times New Roman" w:cs="Times New Roman"/>
          <w:sz w:val="24"/>
          <w:szCs w:val="24"/>
        </w:rPr>
        <w:t>LASSO</w:t>
      </w:r>
      <w:r w:rsidR="00FD0192">
        <w:rPr>
          <w:rFonts w:ascii="Times New Roman" w:eastAsiaTheme="minorEastAsia" w:hAnsi="Times New Roman" w:cs="Times New Roman"/>
          <w:sz w:val="24"/>
          <w:szCs w:val="24"/>
        </w:rPr>
        <w:t xml:space="preserve"> linear models, </w:t>
      </w:r>
      <w:r w:rsidR="00561F28">
        <w:rPr>
          <w:rFonts w:ascii="Times New Roman" w:eastAsiaTheme="minorEastAsia" w:hAnsi="Times New Roman" w:cs="Times New Roman"/>
          <w:sz w:val="24"/>
          <w:szCs w:val="24"/>
        </w:rPr>
        <w:t xml:space="preserve">and </w:t>
      </w:r>
      <w:r w:rsidR="00FD0192">
        <w:rPr>
          <w:rFonts w:ascii="Times New Roman" w:eastAsiaTheme="minorEastAsia" w:hAnsi="Times New Roman" w:cs="Times New Roman"/>
          <w:sz w:val="24"/>
          <w:szCs w:val="24"/>
        </w:rPr>
        <w:t>Elastic-net linear models</w:t>
      </w:r>
      <w:r w:rsidR="00187922">
        <w:rPr>
          <w:rFonts w:ascii="Times New Roman" w:eastAsiaTheme="minorEastAsia" w:hAnsi="Times New Roman" w:cs="Times New Roman"/>
          <w:sz w:val="24"/>
          <w:szCs w:val="24"/>
        </w:rPr>
        <w:t xml:space="preserve">. The benefit of </w:t>
      </w:r>
      <w:r w:rsidR="0091551D">
        <w:rPr>
          <w:rFonts w:ascii="Times New Roman" w:eastAsiaTheme="minorEastAsia" w:hAnsi="Times New Roman" w:cs="Times New Roman"/>
          <w:sz w:val="24"/>
          <w:szCs w:val="24"/>
        </w:rPr>
        <w:t xml:space="preserve">using LASSO and Elastic-net regularization methods were to reduce overfitting of the model </w:t>
      </w:r>
      <w:r w:rsidR="00167380">
        <w:rPr>
          <w:rFonts w:ascii="Times New Roman" w:eastAsiaTheme="minorEastAsia" w:hAnsi="Times New Roman" w:cs="Times New Roman"/>
          <w:sz w:val="24"/>
          <w:szCs w:val="24"/>
        </w:rPr>
        <w:t>and identify the primary predictors of the proportional outcomes</w:t>
      </w:r>
      <w:r w:rsidR="00074295">
        <w:rPr>
          <w:rFonts w:ascii="Times New Roman" w:eastAsiaTheme="minorEastAsia" w:hAnsi="Times New Roman" w:cs="Times New Roman"/>
          <w:sz w:val="24"/>
          <w:szCs w:val="24"/>
        </w:rPr>
        <w:t xml:space="preserve">. The additional </w:t>
      </w:r>
      <w:r w:rsidR="00275063">
        <w:rPr>
          <w:rFonts w:ascii="Times New Roman" w:eastAsiaTheme="minorEastAsia" w:hAnsi="Times New Roman" w:cs="Times New Roman"/>
          <w:sz w:val="24"/>
          <w:szCs w:val="24"/>
        </w:rPr>
        <w:t xml:space="preserve">advantage to </w:t>
      </w:r>
      <w:r w:rsidR="007031C4">
        <w:rPr>
          <w:rFonts w:ascii="Times New Roman" w:eastAsiaTheme="minorEastAsia" w:hAnsi="Times New Roman" w:cs="Times New Roman"/>
          <w:sz w:val="24"/>
          <w:szCs w:val="24"/>
        </w:rPr>
        <w:t xml:space="preserve">employing </w:t>
      </w:r>
      <w:r w:rsidR="00B772C9">
        <w:rPr>
          <w:rFonts w:ascii="Times New Roman" w:eastAsiaTheme="minorEastAsia" w:hAnsi="Times New Roman" w:cs="Times New Roman"/>
          <w:sz w:val="24"/>
          <w:szCs w:val="24"/>
        </w:rPr>
        <w:t>an</w:t>
      </w:r>
      <w:r w:rsidR="007031C4">
        <w:rPr>
          <w:rFonts w:ascii="Times New Roman" w:eastAsiaTheme="minorEastAsia" w:hAnsi="Times New Roman" w:cs="Times New Roman"/>
          <w:sz w:val="24"/>
          <w:szCs w:val="24"/>
        </w:rPr>
        <w:t xml:space="preserve"> Elastic-net model is that it </w:t>
      </w:r>
      <w:r w:rsidR="004C48A0">
        <w:rPr>
          <w:rFonts w:ascii="Times New Roman" w:eastAsiaTheme="minorEastAsia" w:hAnsi="Times New Roman" w:cs="Times New Roman"/>
          <w:sz w:val="24"/>
          <w:szCs w:val="24"/>
        </w:rPr>
        <w:t xml:space="preserve">combines the penalty terms of both Ridge and LASSO regression, where the former </w:t>
      </w:r>
      <w:r w:rsidR="00CC1532">
        <w:rPr>
          <w:rFonts w:ascii="Times New Roman" w:eastAsiaTheme="minorEastAsia" w:hAnsi="Times New Roman" w:cs="Times New Roman"/>
          <w:sz w:val="24"/>
          <w:szCs w:val="24"/>
        </w:rPr>
        <w:t>drives non-significant predictor coefficients towards 0</w:t>
      </w:r>
      <w:r w:rsidR="00C16012">
        <w:rPr>
          <w:rFonts w:ascii="Times New Roman" w:eastAsiaTheme="minorEastAsia" w:hAnsi="Times New Roman" w:cs="Times New Roman"/>
          <w:sz w:val="24"/>
          <w:szCs w:val="24"/>
        </w:rPr>
        <w:t xml:space="preserve">, but never </w:t>
      </w:r>
      <w:proofErr w:type="gramStart"/>
      <w:r w:rsidR="0043341D">
        <w:rPr>
          <w:rFonts w:ascii="Times New Roman" w:eastAsiaTheme="minorEastAsia" w:hAnsi="Times New Roman" w:cs="Times New Roman"/>
          <w:sz w:val="24"/>
          <w:szCs w:val="24"/>
        </w:rPr>
        <w:t>completely eliminates</w:t>
      </w:r>
      <w:proofErr w:type="gramEnd"/>
      <w:r w:rsidR="0043341D">
        <w:rPr>
          <w:rFonts w:ascii="Times New Roman" w:eastAsiaTheme="minorEastAsia" w:hAnsi="Times New Roman" w:cs="Times New Roman"/>
          <w:sz w:val="24"/>
          <w:szCs w:val="24"/>
        </w:rPr>
        <w:t xml:space="preserve"> them</w:t>
      </w:r>
      <w:r w:rsidR="00C16012">
        <w:rPr>
          <w:rFonts w:ascii="Times New Roman" w:eastAsiaTheme="minorEastAsia" w:hAnsi="Times New Roman" w:cs="Times New Roman"/>
          <w:sz w:val="24"/>
          <w:szCs w:val="24"/>
        </w:rPr>
        <w:t>,</w:t>
      </w:r>
      <w:r w:rsidR="00CC1532">
        <w:rPr>
          <w:rFonts w:ascii="Times New Roman" w:eastAsiaTheme="minorEastAsia" w:hAnsi="Times New Roman" w:cs="Times New Roman"/>
          <w:sz w:val="24"/>
          <w:szCs w:val="24"/>
        </w:rPr>
        <w:t xml:space="preserve"> while the LASSO penalty </w:t>
      </w:r>
      <w:r w:rsidR="00C16012">
        <w:rPr>
          <w:rFonts w:ascii="Times New Roman" w:eastAsiaTheme="minorEastAsia" w:hAnsi="Times New Roman" w:cs="Times New Roman"/>
          <w:sz w:val="24"/>
          <w:szCs w:val="24"/>
        </w:rPr>
        <w:t xml:space="preserve">completely crushes </w:t>
      </w:r>
      <w:r w:rsidR="006471D1">
        <w:rPr>
          <w:rFonts w:ascii="Times New Roman" w:eastAsiaTheme="minorEastAsia" w:hAnsi="Times New Roman" w:cs="Times New Roman"/>
          <w:sz w:val="24"/>
          <w:szCs w:val="24"/>
        </w:rPr>
        <w:t>some</w:t>
      </w:r>
      <w:r w:rsidR="00C16012">
        <w:rPr>
          <w:rFonts w:ascii="Times New Roman" w:eastAsiaTheme="minorEastAsia" w:hAnsi="Times New Roman" w:cs="Times New Roman"/>
          <w:sz w:val="24"/>
          <w:szCs w:val="24"/>
        </w:rPr>
        <w:t xml:space="preserve"> coefficients to 0. </w:t>
      </w:r>
      <w:r w:rsidR="00523422">
        <w:rPr>
          <w:rFonts w:ascii="Times New Roman" w:eastAsiaTheme="minorEastAsia" w:hAnsi="Times New Roman" w:cs="Times New Roman"/>
          <w:sz w:val="24"/>
          <w:szCs w:val="24"/>
        </w:rPr>
        <w:t>The Elastic-</w:t>
      </w:r>
      <w:r w:rsidR="00BA28DE">
        <w:rPr>
          <w:rFonts w:ascii="Times New Roman" w:eastAsiaTheme="minorEastAsia" w:hAnsi="Times New Roman" w:cs="Times New Roman"/>
          <w:sz w:val="24"/>
          <w:szCs w:val="24"/>
        </w:rPr>
        <w:t>net method thus offers a happy medium between the two, still providing a form of regularization, but not quite as aggressively as the LASSO does.</w:t>
      </w:r>
      <w:r w:rsidR="007031C4">
        <w:rPr>
          <w:rFonts w:ascii="Times New Roman" w:eastAsiaTheme="minorEastAsia" w:hAnsi="Times New Roman" w:cs="Times New Roman"/>
          <w:sz w:val="24"/>
          <w:szCs w:val="24"/>
        </w:rPr>
        <w:t xml:space="preserve"> </w:t>
      </w:r>
    </w:p>
    <w:p w14:paraId="39A4FE2B" w14:textId="09B79A9B" w:rsidR="0009084C" w:rsidRDefault="0009084C" w:rsidP="00763E79">
      <w:pPr>
        <w:ind w:firstLine="720"/>
        <w:rPr>
          <w:rFonts w:ascii="Times New Roman" w:eastAsiaTheme="minorEastAsia" w:hAnsi="Times New Roman" w:cs="Times New Roman"/>
          <w:sz w:val="24"/>
          <w:szCs w:val="24"/>
        </w:rPr>
      </w:pPr>
    </w:p>
    <w:p w14:paraId="63B2DDC2" w14:textId="5FF2572E" w:rsidR="0009084C" w:rsidRDefault="0009084C" w:rsidP="00763E79">
      <w:pPr>
        <w:ind w:firstLine="720"/>
        <w:rPr>
          <w:rFonts w:ascii="Times New Roman" w:eastAsiaTheme="minorEastAsia" w:hAnsi="Times New Roman" w:cs="Times New Roman"/>
          <w:sz w:val="24"/>
          <w:szCs w:val="24"/>
        </w:rPr>
      </w:pPr>
    </w:p>
    <w:p w14:paraId="6F077BA4" w14:textId="0D1F2D0E" w:rsidR="0009084C" w:rsidRDefault="0009084C" w:rsidP="00763E79">
      <w:pPr>
        <w:ind w:firstLine="720"/>
        <w:rPr>
          <w:rFonts w:ascii="Times New Roman" w:eastAsiaTheme="minorEastAsia" w:hAnsi="Times New Roman" w:cs="Times New Roman"/>
          <w:sz w:val="24"/>
          <w:szCs w:val="24"/>
        </w:rPr>
      </w:pPr>
    </w:p>
    <w:p w14:paraId="001029E9" w14:textId="07248F7D" w:rsidR="0009084C" w:rsidRDefault="0009084C" w:rsidP="00763E79">
      <w:pPr>
        <w:ind w:firstLine="720"/>
        <w:rPr>
          <w:rFonts w:ascii="Times New Roman" w:eastAsiaTheme="minorEastAsia" w:hAnsi="Times New Roman" w:cs="Times New Roman"/>
          <w:sz w:val="24"/>
          <w:szCs w:val="24"/>
        </w:rPr>
      </w:pPr>
    </w:p>
    <w:p w14:paraId="20A15899" w14:textId="68D0B0D4" w:rsidR="0009084C" w:rsidRDefault="0009084C" w:rsidP="00763E79">
      <w:pPr>
        <w:ind w:firstLine="720"/>
        <w:rPr>
          <w:rFonts w:ascii="Times New Roman" w:eastAsiaTheme="minorEastAsia" w:hAnsi="Times New Roman" w:cs="Times New Roman"/>
          <w:sz w:val="24"/>
          <w:szCs w:val="24"/>
        </w:rPr>
      </w:pPr>
    </w:p>
    <w:p w14:paraId="291C9513" w14:textId="488FCE7F" w:rsidR="0009084C" w:rsidRDefault="0009084C" w:rsidP="00763E79">
      <w:pPr>
        <w:ind w:firstLine="720"/>
        <w:rPr>
          <w:rFonts w:ascii="Times New Roman" w:eastAsiaTheme="minorEastAsia" w:hAnsi="Times New Roman" w:cs="Times New Roman"/>
          <w:sz w:val="24"/>
          <w:szCs w:val="24"/>
        </w:rPr>
      </w:pPr>
    </w:p>
    <w:p w14:paraId="4FF1BABF" w14:textId="07961EB6" w:rsidR="0009084C" w:rsidRDefault="0009084C" w:rsidP="00763E79">
      <w:pPr>
        <w:ind w:firstLine="720"/>
        <w:rPr>
          <w:rFonts w:ascii="Times New Roman" w:eastAsiaTheme="minorEastAsia" w:hAnsi="Times New Roman" w:cs="Times New Roman"/>
          <w:sz w:val="24"/>
          <w:szCs w:val="24"/>
        </w:rPr>
      </w:pPr>
    </w:p>
    <w:p w14:paraId="2524E01F" w14:textId="12B6BAFD" w:rsidR="0009084C" w:rsidRDefault="0009084C" w:rsidP="00763E79">
      <w:pPr>
        <w:ind w:firstLine="720"/>
        <w:rPr>
          <w:rFonts w:ascii="Times New Roman" w:eastAsiaTheme="minorEastAsia" w:hAnsi="Times New Roman" w:cs="Times New Roman"/>
          <w:sz w:val="24"/>
          <w:szCs w:val="24"/>
        </w:rPr>
      </w:pPr>
    </w:p>
    <w:p w14:paraId="07303875" w14:textId="5FF28AFD" w:rsidR="0009084C" w:rsidRDefault="0009084C" w:rsidP="00763E79">
      <w:pPr>
        <w:ind w:firstLine="720"/>
        <w:rPr>
          <w:rFonts w:ascii="Times New Roman" w:eastAsiaTheme="minorEastAsia" w:hAnsi="Times New Roman" w:cs="Times New Roman"/>
          <w:sz w:val="24"/>
          <w:szCs w:val="24"/>
        </w:rPr>
      </w:pPr>
    </w:p>
    <w:p w14:paraId="76CAE55F" w14:textId="60CE6911" w:rsidR="0009084C" w:rsidRDefault="0009084C" w:rsidP="00763E79">
      <w:pPr>
        <w:ind w:firstLine="720"/>
        <w:rPr>
          <w:rFonts w:ascii="Times New Roman" w:eastAsiaTheme="minorEastAsia" w:hAnsi="Times New Roman" w:cs="Times New Roman"/>
          <w:sz w:val="24"/>
          <w:szCs w:val="24"/>
        </w:rPr>
      </w:pPr>
    </w:p>
    <w:p w14:paraId="69A19F3E" w14:textId="78670734" w:rsidR="0009084C" w:rsidRDefault="0009084C" w:rsidP="00763E79">
      <w:pPr>
        <w:ind w:firstLine="720"/>
        <w:rPr>
          <w:rFonts w:ascii="Times New Roman" w:eastAsiaTheme="minorEastAsia" w:hAnsi="Times New Roman" w:cs="Times New Roman"/>
          <w:sz w:val="24"/>
          <w:szCs w:val="24"/>
        </w:rPr>
      </w:pPr>
    </w:p>
    <w:p w14:paraId="238C557F" w14:textId="59B8A980" w:rsidR="0009084C" w:rsidRDefault="0009084C" w:rsidP="00763E79">
      <w:pPr>
        <w:ind w:firstLine="720"/>
        <w:rPr>
          <w:rFonts w:ascii="Times New Roman" w:eastAsiaTheme="minorEastAsia" w:hAnsi="Times New Roman" w:cs="Times New Roman"/>
          <w:sz w:val="24"/>
          <w:szCs w:val="24"/>
        </w:rPr>
      </w:pPr>
    </w:p>
    <w:p w14:paraId="1C4B6E77" w14:textId="14D99257" w:rsidR="0009084C" w:rsidRDefault="0009084C" w:rsidP="00763E79">
      <w:pPr>
        <w:ind w:firstLine="720"/>
        <w:rPr>
          <w:rFonts w:ascii="Times New Roman" w:eastAsiaTheme="minorEastAsia" w:hAnsi="Times New Roman" w:cs="Times New Roman"/>
          <w:sz w:val="24"/>
          <w:szCs w:val="24"/>
        </w:rPr>
      </w:pPr>
    </w:p>
    <w:p w14:paraId="79CFD58A" w14:textId="35400958" w:rsidR="0009084C" w:rsidRDefault="0009084C" w:rsidP="00763E79">
      <w:pPr>
        <w:ind w:firstLine="720"/>
        <w:rPr>
          <w:rFonts w:ascii="Times New Roman" w:eastAsiaTheme="minorEastAsia" w:hAnsi="Times New Roman" w:cs="Times New Roman"/>
          <w:sz w:val="24"/>
          <w:szCs w:val="24"/>
        </w:rPr>
      </w:pPr>
    </w:p>
    <w:p w14:paraId="74B33255" w14:textId="199EDE04" w:rsidR="0009084C" w:rsidRDefault="0009084C" w:rsidP="00763E79">
      <w:pPr>
        <w:ind w:firstLine="720"/>
        <w:rPr>
          <w:rFonts w:ascii="Times New Roman" w:eastAsiaTheme="minorEastAsia" w:hAnsi="Times New Roman" w:cs="Times New Roman"/>
          <w:sz w:val="24"/>
          <w:szCs w:val="24"/>
        </w:rPr>
      </w:pPr>
    </w:p>
    <w:p w14:paraId="711760AE" w14:textId="198340BA" w:rsidR="0009084C" w:rsidRDefault="0009084C" w:rsidP="00FE2BD1">
      <w:pPr>
        <w:rPr>
          <w:rFonts w:ascii="Times New Roman" w:eastAsiaTheme="minorEastAsia" w:hAnsi="Times New Roman" w:cs="Times New Roman"/>
          <w:sz w:val="24"/>
          <w:szCs w:val="24"/>
        </w:rPr>
      </w:pPr>
    </w:p>
    <w:p w14:paraId="5B56DB10" w14:textId="77777777" w:rsidR="00FE2BD1" w:rsidRDefault="00FE2BD1" w:rsidP="00FE2BD1">
      <w:pPr>
        <w:rPr>
          <w:rFonts w:ascii="Times New Roman" w:eastAsiaTheme="minorEastAsia" w:hAnsi="Times New Roman" w:cs="Times New Roman"/>
          <w:sz w:val="24"/>
          <w:szCs w:val="24"/>
        </w:rPr>
      </w:pPr>
    </w:p>
    <w:p w14:paraId="4E26092C" w14:textId="0065C987" w:rsidR="00004B19" w:rsidRDefault="00004B19" w:rsidP="006B2C9D">
      <w:pPr>
        <w:rPr>
          <w:rFonts w:ascii="Times New Roman" w:eastAsiaTheme="minorEastAsia" w:hAnsi="Times New Roman" w:cs="Times New Roman"/>
          <w:sz w:val="24"/>
          <w:szCs w:val="24"/>
        </w:rPr>
      </w:pPr>
    </w:p>
    <w:p w14:paraId="5BF0FF81" w14:textId="77777777" w:rsidR="00DC2492" w:rsidRDefault="00DC2492" w:rsidP="006B2C9D">
      <w:pPr>
        <w:rPr>
          <w:rFonts w:ascii="Times New Roman" w:eastAsiaTheme="minorEastAsia" w:hAnsi="Times New Roman" w:cs="Times New Roman"/>
          <w:sz w:val="24"/>
          <w:szCs w:val="24"/>
        </w:rPr>
      </w:pPr>
    </w:p>
    <w:p w14:paraId="79A82367" w14:textId="70FEEEF8" w:rsidR="00F735C2" w:rsidRDefault="0045363D" w:rsidP="00232673">
      <w:pPr>
        <w:rPr>
          <w:rFonts w:ascii="Times New Roman" w:eastAsiaTheme="minorEastAsia" w:hAnsi="Times New Roman" w:cs="Times New Roman"/>
          <w:b/>
          <w:bCs/>
          <w:sz w:val="28"/>
          <w:szCs w:val="28"/>
          <w:u w:val="single"/>
        </w:rPr>
      </w:pPr>
      <w:r>
        <w:rPr>
          <w:rFonts w:ascii="Times New Roman" w:eastAsiaTheme="minorEastAsia" w:hAnsi="Times New Roman" w:cs="Times New Roman"/>
          <w:b/>
          <w:bCs/>
          <w:sz w:val="28"/>
          <w:szCs w:val="28"/>
          <w:u w:val="single"/>
        </w:rPr>
        <w:lastRenderedPageBreak/>
        <w:t xml:space="preserve">Section 5: </w:t>
      </w:r>
      <w:r w:rsidR="00F735C2">
        <w:rPr>
          <w:rFonts w:ascii="Times New Roman" w:eastAsiaTheme="minorEastAsia" w:hAnsi="Times New Roman" w:cs="Times New Roman"/>
          <w:b/>
          <w:bCs/>
          <w:sz w:val="28"/>
          <w:szCs w:val="28"/>
          <w:u w:val="single"/>
        </w:rPr>
        <w:t>Results</w:t>
      </w:r>
    </w:p>
    <w:p w14:paraId="262FC378" w14:textId="32C8265A" w:rsidR="00B60568" w:rsidRDefault="00B66949" w:rsidP="00B6056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840F71">
        <w:rPr>
          <w:rFonts w:ascii="Times New Roman" w:eastAsiaTheme="minorEastAsia" w:hAnsi="Times New Roman" w:cs="Times New Roman"/>
          <w:sz w:val="24"/>
          <w:szCs w:val="24"/>
        </w:rPr>
        <w:t xml:space="preserve">Below are the regression results that were derived from our analyses. </w:t>
      </w:r>
      <w:r w:rsidR="007738E3">
        <w:rPr>
          <w:rFonts w:ascii="Times New Roman" w:eastAsiaTheme="minorEastAsia" w:hAnsi="Times New Roman" w:cs="Times New Roman"/>
          <w:sz w:val="24"/>
          <w:szCs w:val="24"/>
        </w:rPr>
        <w:t>Each table represents the results for a different proportional outcome</w:t>
      </w:r>
      <w:r w:rsidR="00B45B69">
        <w:rPr>
          <w:rFonts w:ascii="Times New Roman" w:eastAsiaTheme="minorEastAsia" w:hAnsi="Times New Roman" w:cs="Times New Roman"/>
          <w:sz w:val="24"/>
          <w:szCs w:val="24"/>
        </w:rPr>
        <w:t>, containing</w:t>
      </w:r>
      <w:r w:rsidR="00F83E78">
        <w:rPr>
          <w:rFonts w:ascii="Times New Roman" w:eastAsiaTheme="minorEastAsia" w:hAnsi="Times New Roman" w:cs="Times New Roman"/>
          <w:sz w:val="24"/>
          <w:szCs w:val="24"/>
        </w:rPr>
        <w:t xml:space="preserve"> estimates</w:t>
      </w:r>
      <w:r w:rsidR="004D7F65">
        <w:rPr>
          <w:rFonts w:ascii="Times New Roman" w:eastAsiaTheme="minorEastAsia" w:hAnsi="Times New Roman" w:cs="Times New Roman"/>
          <w:sz w:val="24"/>
          <w:szCs w:val="24"/>
        </w:rPr>
        <w:t xml:space="preserve"> for the</w:t>
      </w:r>
      <w:r w:rsidR="00541BA3">
        <w:rPr>
          <w:rFonts w:ascii="Times New Roman" w:eastAsiaTheme="minorEastAsia" w:hAnsi="Times New Roman" w:cs="Times New Roman"/>
          <w:sz w:val="24"/>
          <w:szCs w:val="24"/>
        </w:rPr>
        <w:t xml:space="preserve"> standard</w:t>
      </w:r>
      <w:r w:rsidR="00061AF0">
        <w:rPr>
          <w:rFonts w:ascii="Times New Roman" w:eastAsiaTheme="minorEastAsia" w:hAnsi="Times New Roman" w:cs="Times New Roman"/>
          <w:sz w:val="24"/>
          <w:szCs w:val="24"/>
        </w:rPr>
        <w:t xml:space="preserve"> DID </w:t>
      </w:r>
      <w:r w:rsidR="004D7F65">
        <w:rPr>
          <w:rFonts w:ascii="Times New Roman" w:eastAsiaTheme="minorEastAsia" w:hAnsi="Times New Roman" w:cs="Times New Roman"/>
          <w:sz w:val="24"/>
          <w:szCs w:val="24"/>
        </w:rPr>
        <w:t xml:space="preserve">weighted OLS coefficients and standard errors, </w:t>
      </w:r>
      <w:r w:rsidR="008309B6">
        <w:rPr>
          <w:rFonts w:ascii="Times New Roman" w:eastAsiaTheme="minorEastAsia" w:hAnsi="Times New Roman" w:cs="Times New Roman"/>
          <w:sz w:val="24"/>
          <w:szCs w:val="24"/>
        </w:rPr>
        <w:t xml:space="preserve">the survey design’s OLS coefficients and standard errors, the coefficients for the weighted Elastic-net </w:t>
      </w:r>
      <w:r w:rsidR="00061AF0">
        <w:rPr>
          <w:rFonts w:ascii="Times New Roman" w:eastAsiaTheme="minorEastAsia" w:hAnsi="Times New Roman" w:cs="Times New Roman"/>
          <w:sz w:val="24"/>
          <w:szCs w:val="24"/>
        </w:rPr>
        <w:t>and LASSO models, and the equivalent set of results for the DID with PSM</w:t>
      </w:r>
      <w:r w:rsidR="000E020E">
        <w:rPr>
          <w:rFonts w:ascii="Times New Roman" w:eastAsiaTheme="minorEastAsia" w:hAnsi="Times New Roman" w:cs="Times New Roman"/>
          <w:sz w:val="24"/>
          <w:szCs w:val="24"/>
        </w:rPr>
        <w:t xml:space="preserve"> [with the inclusion of covariates]</w:t>
      </w:r>
      <w:r w:rsidR="00061AF0">
        <w:rPr>
          <w:rFonts w:ascii="Times New Roman" w:eastAsiaTheme="minorEastAsia" w:hAnsi="Times New Roman" w:cs="Times New Roman"/>
          <w:sz w:val="24"/>
          <w:szCs w:val="24"/>
        </w:rPr>
        <w:t xml:space="preserve">. </w:t>
      </w:r>
      <w:r w:rsidR="00A67C43">
        <w:rPr>
          <w:rFonts w:ascii="Times New Roman" w:eastAsiaTheme="minorEastAsia" w:hAnsi="Times New Roman" w:cs="Times New Roman"/>
          <w:sz w:val="24"/>
          <w:szCs w:val="24"/>
        </w:rPr>
        <w:t xml:space="preserve">The estimator results given in the tables </w:t>
      </w:r>
      <w:r w:rsidR="00387C3A">
        <w:rPr>
          <w:rFonts w:ascii="Times New Roman" w:eastAsiaTheme="minorEastAsia" w:hAnsi="Times New Roman" w:cs="Times New Roman"/>
          <w:sz w:val="24"/>
          <w:szCs w:val="24"/>
        </w:rPr>
        <w:t xml:space="preserve">are for both the early treatment estimator [corresponding to the </w:t>
      </w:r>
      <m:oMath>
        <m:r>
          <w:rPr>
            <w:rFonts w:ascii="Cambria Math" w:eastAsiaTheme="minorEastAsia" w:hAnsi="Cambria Math" w:cs="Times New Roman"/>
            <w:sz w:val="24"/>
            <w:szCs w:val="24"/>
          </w:rPr>
          <m:t>ρ</m:t>
        </m:r>
      </m:oMath>
      <w:r w:rsidR="007B47A6">
        <w:rPr>
          <w:rFonts w:ascii="Times New Roman" w:eastAsiaTheme="minorEastAsia" w:hAnsi="Times New Roman" w:cs="Times New Roman"/>
          <w:sz w:val="24"/>
          <w:szCs w:val="24"/>
        </w:rPr>
        <w:t xml:space="preserve"> term in our model’s definition</w:t>
      </w:r>
      <w:r w:rsidR="00387C3A">
        <w:rPr>
          <w:rFonts w:ascii="Times New Roman" w:eastAsiaTheme="minorEastAsia" w:hAnsi="Times New Roman" w:cs="Times New Roman"/>
          <w:sz w:val="24"/>
          <w:szCs w:val="24"/>
        </w:rPr>
        <w:t>]</w:t>
      </w:r>
      <w:r w:rsidR="007B47A6">
        <w:rPr>
          <w:rFonts w:ascii="Times New Roman" w:eastAsiaTheme="minorEastAsia" w:hAnsi="Times New Roman" w:cs="Times New Roman"/>
          <w:sz w:val="24"/>
          <w:szCs w:val="24"/>
        </w:rPr>
        <w:t xml:space="preserve"> and the late treatment estimator [corresponding to the </w:t>
      </w:r>
      <m:oMath>
        <m:r>
          <w:rPr>
            <w:rFonts w:ascii="Cambria Math" w:eastAsiaTheme="minorEastAsia" w:hAnsi="Cambria Math" w:cs="Times New Roman"/>
            <w:sz w:val="24"/>
            <w:szCs w:val="24"/>
          </w:rPr>
          <m:t>φ</m:t>
        </m:r>
      </m:oMath>
      <w:r w:rsidR="00AB7263">
        <w:rPr>
          <w:rFonts w:ascii="Times New Roman" w:eastAsiaTheme="minorEastAsia" w:hAnsi="Times New Roman" w:cs="Times New Roman"/>
          <w:sz w:val="24"/>
          <w:szCs w:val="24"/>
        </w:rPr>
        <w:t xml:space="preserve"> term in our model’s definition</w:t>
      </w:r>
      <w:r w:rsidR="007B47A6">
        <w:rPr>
          <w:rFonts w:ascii="Times New Roman" w:eastAsiaTheme="minorEastAsia" w:hAnsi="Times New Roman" w:cs="Times New Roman"/>
          <w:sz w:val="24"/>
          <w:szCs w:val="24"/>
        </w:rPr>
        <w:t>]</w:t>
      </w:r>
      <w:r w:rsidR="00AB7263">
        <w:rPr>
          <w:rFonts w:ascii="Times New Roman" w:eastAsiaTheme="minorEastAsia" w:hAnsi="Times New Roman" w:cs="Times New Roman"/>
          <w:sz w:val="24"/>
          <w:szCs w:val="24"/>
        </w:rPr>
        <w:t>,</w:t>
      </w:r>
      <w:r w:rsidR="00A10E03">
        <w:rPr>
          <w:rFonts w:ascii="Times New Roman" w:eastAsiaTheme="minorEastAsia" w:hAnsi="Times New Roman" w:cs="Times New Roman"/>
          <w:sz w:val="24"/>
          <w:szCs w:val="24"/>
        </w:rPr>
        <w:t xml:space="preserve"> for</w:t>
      </w:r>
      <w:r w:rsidR="0050514E">
        <w:rPr>
          <w:rFonts w:ascii="Times New Roman" w:eastAsiaTheme="minorEastAsia" w:hAnsi="Times New Roman" w:cs="Times New Roman"/>
          <w:sz w:val="24"/>
          <w:szCs w:val="24"/>
        </w:rPr>
        <w:t xml:space="preserve"> the analysis including</w:t>
      </w:r>
      <w:r w:rsidR="00AB7263">
        <w:rPr>
          <w:rFonts w:ascii="Times New Roman" w:eastAsiaTheme="minorEastAsia" w:hAnsi="Times New Roman" w:cs="Times New Roman"/>
          <w:sz w:val="24"/>
          <w:szCs w:val="24"/>
        </w:rPr>
        <w:t xml:space="preserve"> all states and </w:t>
      </w:r>
      <w:r w:rsidR="00A10E03">
        <w:rPr>
          <w:rFonts w:ascii="Times New Roman" w:eastAsiaTheme="minorEastAsia" w:hAnsi="Times New Roman" w:cs="Times New Roman"/>
          <w:sz w:val="24"/>
          <w:szCs w:val="24"/>
        </w:rPr>
        <w:t>for</w:t>
      </w:r>
      <w:r w:rsidR="0050514E">
        <w:rPr>
          <w:rFonts w:ascii="Times New Roman" w:eastAsiaTheme="minorEastAsia" w:hAnsi="Times New Roman" w:cs="Times New Roman"/>
          <w:sz w:val="24"/>
          <w:szCs w:val="24"/>
        </w:rPr>
        <w:t xml:space="preserve"> the analysis consisting</w:t>
      </w:r>
      <w:r w:rsidR="00AB7263">
        <w:rPr>
          <w:rFonts w:ascii="Times New Roman" w:eastAsiaTheme="minorEastAsia" w:hAnsi="Times New Roman" w:cs="Times New Roman"/>
          <w:sz w:val="24"/>
          <w:szCs w:val="24"/>
        </w:rPr>
        <w:t xml:space="preserve"> strictly</w:t>
      </w:r>
      <w:r w:rsidR="0050514E">
        <w:rPr>
          <w:rFonts w:ascii="Times New Roman" w:eastAsiaTheme="minorEastAsia" w:hAnsi="Times New Roman" w:cs="Times New Roman"/>
          <w:sz w:val="24"/>
          <w:szCs w:val="24"/>
        </w:rPr>
        <w:t xml:space="preserve"> of</w:t>
      </w:r>
      <w:r w:rsidR="00AB7263">
        <w:rPr>
          <w:rFonts w:ascii="Times New Roman" w:eastAsiaTheme="minorEastAsia" w:hAnsi="Times New Roman" w:cs="Times New Roman"/>
          <w:sz w:val="24"/>
          <w:szCs w:val="24"/>
        </w:rPr>
        <w:t xml:space="preserve"> the Medicaid Expansion states, as previously detailed. </w:t>
      </w:r>
      <w:r w:rsidR="0055247C">
        <w:rPr>
          <w:rFonts w:ascii="Times New Roman" w:eastAsiaTheme="minorEastAsia" w:hAnsi="Times New Roman" w:cs="Times New Roman"/>
          <w:sz w:val="24"/>
          <w:szCs w:val="24"/>
        </w:rPr>
        <w:t xml:space="preserve">All </w:t>
      </w:r>
      <w:r w:rsidR="00111288">
        <w:rPr>
          <w:rFonts w:ascii="Times New Roman" w:eastAsiaTheme="minorEastAsia" w:hAnsi="Times New Roman" w:cs="Times New Roman"/>
          <w:sz w:val="24"/>
          <w:szCs w:val="24"/>
        </w:rPr>
        <w:t xml:space="preserve">models were developed with the use of robust standard errors to </w:t>
      </w:r>
      <w:r w:rsidR="004A4300">
        <w:rPr>
          <w:rFonts w:ascii="Times New Roman" w:eastAsiaTheme="minorEastAsia" w:hAnsi="Times New Roman" w:cs="Times New Roman"/>
          <w:sz w:val="24"/>
          <w:szCs w:val="24"/>
        </w:rPr>
        <w:t>circumnavigate any heteroskedastic</w:t>
      </w:r>
      <w:r w:rsidR="00B45B69">
        <w:rPr>
          <w:rFonts w:ascii="Times New Roman" w:eastAsiaTheme="minorEastAsia" w:hAnsi="Times New Roman" w:cs="Times New Roman"/>
          <w:sz w:val="24"/>
          <w:szCs w:val="24"/>
        </w:rPr>
        <w:t>ity.</w:t>
      </w:r>
    </w:p>
    <w:p w14:paraId="7791795B" w14:textId="77777777" w:rsidR="002D0ACF" w:rsidRDefault="00781FFC" w:rsidP="002D0ACF">
      <w:pPr>
        <w:pStyle w:val="Caption"/>
        <w:jc w:val="center"/>
        <w:rPr>
          <w:noProof/>
        </w:rPr>
      </w:pPr>
      <w:r w:rsidRPr="00B60568">
        <w:t xml:space="preserve">Table </w:t>
      </w:r>
      <w:fldSimple w:instr=" SEQ Table \* ARABIC ">
        <w:r w:rsidR="00503E29" w:rsidRPr="00B60568">
          <w:rPr>
            <w:noProof/>
          </w:rPr>
          <w:t>1</w:t>
        </w:r>
      </w:fldSimple>
      <w:r w:rsidR="005D3A19" w:rsidRPr="00B60568">
        <w:rPr>
          <w:noProof/>
        </w:rPr>
        <w:t>a</w:t>
      </w:r>
      <w:r w:rsidRPr="00B60568">
        <w:t xml:space="preserve">. Regression Results for </w:t>
      </w:r>
      <w:r w:rsidRPr="00B60568">
        <w:rPr>
          <w:noProof/>
        </w:rPr>
        <w:t>the proportion of individuals who reported good general health</w:t>
      </w:r>
      <w:r w:rsidR="000B79F6" w:rsidRPr="00B60568">
        <w:rPr>
          <w:noProof/>
        </w:rPr>
        <w:t xml:space="preserve"> (weighted, PSM</w:t>
      </w:r>
      <w:r w:rsidR="007974AB" w:rsidRPr="00B60568">
        <w:rPr>
          <w:noProof/>
        </w:rPr>
        <w:t xml:space="preserve"> with covariates</w:t>
      </w:r>
      <w:r w:rsidR="000B79F6" w:rsidRPr="00B60568">
        <w:rPr>
          <w:noProof/>
        </w:rPr>
        <w:t>)</w:t>
      </w:r>
      <w:r w:rsidR="002D0ACF" w:rsidRPr="002D0ACF">
        <w:rPr>
          <w:noProof/>
        </w:rPr>
        <w:t xml:space="preserve"> </w:t>
      </w:r>
    </w:p>
    <w:p w14:paraId="58ADE5D3" w14:textId="32DA30DE" w:rsidR="002D0ACF" w:rsidRPr="002D0ACF" w:rsidRDefault="002D0ACF" w:rsidP="002D0ACF">
      <w:pPr>
        <w:pStyle w:val="Caption"/>
        <w:jc w:val="center"/>
        <w:rPr>
          <w:noProof/>
        </w:rPr>
      </w:pPr>
      <w:r>
        <w:rPr>
          <w:noProof/>
        </w:rPr>
        <w:drawing>
          <wp:inline distT="0" distB="0" distL="0" distR="0" wp14:anchorId="74FE48CB" wp14:editId="6DDFC7A7">
            <wp:extent cx="4629150" cy="3461857"/>
            <wp:effectExtent l="0" t="0" r="0" b="571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37150" cy="3467840"/>
                    </a:xfrm>
                    <a:prstGeom prst="rect">
                      <a:avLst/>
                    </a:prstGeom>
                  </pic:spPr>
                </pic:pic>
              </a:graphicData>
            </a:graphic>
          </wp:inline>
        </w:drawing>
      </w:r>
    </w:p>
    <w:p w14:paraId="0A52744E" w14:textId="660BC04A" w:rsidR="00202D62" w:rsidRPr="00202D62" w:rsidRDefault="00202D62" w:rsidP="00FA7EE6">
      <w:pPr>
        <w:pStyle w:val="Caption"/>
        <w:keepNext/>
        <w:jc w:val="center"/>
      </w:pPr>
    </w:p>
    <w:p w14:paraId="488BA7A1" w14:textId="7588B8FF" w:rsidR="00781FFC" w:rsidRDefault="00781FFC" w:rsidP="00781FFC">
      <w:pPr>
        <w:pStyle w:val="Caption"/>
        <w:keepNext/>
      </w:pPr>
      <w:r>
        <w:t xml:space="preserve">Table </w:t>
      </w:r>
      <w:r w:rsidR="00992029">
        <w:fldChar w:fldCharType="begin"/>
      </w:r>
      <w:r w:rsidR="00992029">
        <w:instrText xml:space="preserve"> SEQ Table \* ARABIC </w:instrText>
      </w:r>
      <w:r w:rsidR="00992029">
        <w:fldChar w:fldCharType="separate"/>
      </w:r>
      <w:r w:rsidR="00503E29">
        <w:rPr>
          <w:noProof/>
        </w:rPr>
        <w:t>2</w:t>
      </w:r>
      <w:r w:rsidR="00992029">
        <w:rPr>
          <w:noProof/>
        </w:rPr>
        <w:fldChar w:fldCharType="end"/>
      </w:r>
      <w:r w:rsidR="000B79F6">
        <w:rPr>
          <w:noProof/>
        </w:rPr>
        <w:t>a</w:t>
      </w:r>
      <w:r>
        <w:t>. Regression results for proportion of individuals t</w:t>
      </w:r>
      <w:r w:rsidR="004B3AAE">
        <w:t>hat reported</w:t>
      </w:r>
      <w:r w:rsidR="00CC02E1">
        <w:t xml:space="preserve"> having poor overall health in the past month</w:t>
      </w:r>
      <w:r w:rsidR="000B79F6">
        <w:t xml:space="preserve"> (weighted, PSM with covariates)</w:t>
      </w:r>
    </w:p>
    <w:p w14:paraId="192E0C5E" w14:textId="348B1160" w:rsidR="00B60568" w:rsidRDefault="00B60568" w:rsidP="002D0ACF">
      <w:pPr>
        <w:jc w:val="center"/>
      </w:pPr>
      <w:r>
        <w:rPr>
          <w:noProof/>
        </w:rPr>
        <w:drawing>
          <wp:inline distT="0" distB="0" distL="0" distR="0" wp14:anchorId="0E96FAE5" wp14:editId="5AAFC0F0">
            <wp:extent cx="4406900" cy="3295650"/>
            <wp:effectExtent l="0" t="0" r="2540" b="635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406900" cy="3295650"/>
                    </a:xfrm>
                    <a:prstGeom prst="rect">
                      <a:avLst/>
                    </a:prstGeom>
                  </pic:spPr>
                </pic:pic>
              </a:graphicData>
            </a:graphic>
          </wp:inline>
        </w:drawing>
      </w:r>
    </w:p>
    <w:p w14:paraId="5BD004EB" w14:textId="03BEFE0E" w:rsidR="00064411" w:rsidRDefault="00064411" w:rsidP="0003377C">
      <w:pPr>
        <w:pStyle w:val="Caption"/>
        <w:keepNext/>
      </w:pPr>
    </w:p>
    <w:p w14:paraId="383BC2D1" w14:textId="70A397AC" w:rsidR="0003377C" w:rsidRDefault="0003377C" w:rsidP="0003377C">
      <w:pPr>
        <w:pStyle w:val="Caption"/>
        <w:keepNext/>
      </w:pPr>
      <w:r>
        <w:t xml:space="preserve">Table </w:t>
      </w:r>
      <w:r w:rsidR="00992029">
        <w:fldChar w:fldCharType="begin"/>
      </w:r>
      <w:r w:rsidR="00992029">
        <w:instrText xml:space="preserve"> SEQ Table \* ARABIC </w:instrText>
      </w:r>
      <w:r w:rsidR="00992029">
        <w:fldChar w:fldCharType="separate"/>
      </w:r>
      <w:r w:rsidR="00503E29">
        <w:rPr>
          <w:noProof/>
        </w:rPr>
        <w:t>3</w:t>
      </w:r>
      <w:r w:rsidR="00992029">
        <w:rPr>
          <w:noProof/>
        </w:rPr>
        <w:fldChar w:fldCharType="end"/>
      </w:r>
      <w:r w:rsidR="000B79F6">
        <w:rPr>
          <w:noProof/>
        </w:rPr>
        <w:t>a</w:t>
      </w:r>
      <w:r>
        <w:t>. Regression results for the proportion of individuals that suffered from mental distress in the past month</w:t>
      </w:r>
      <w:r w:rsidR="000B79F6">
        <w:t xml:space="preserve"> (weighted, PSM with covariates)</w:t>
      </w:r>
    </w:p>
    <w:p w14:paraId="2903DF70" w14:textId="4B34CB22" w:rsidR="00064411" w:rsidRDefault="002D0ACF" w:rsidP="002D0ACF">
      <w:pPr>
        <w:jc w:val="center"/>
      </w:pPr>
      <w:r>
        <w:rPr>
          <w:noProof/>
        </w:rPr>
        <w:drawing>
          <wp:inline distT="0" distB="0" distL="0" distR="0" wp14:anchorId="444AC2D7" wp14:editId="66743A94">
            <wp:extent cx="4559300" cy="3409621"/>
            <wp:effectExtent l="0" t="0" r="0" b="63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67038" cy="3415408"/>
                    </a:xfrm>
                    <a:prstGeom prst="rect">
                      <a:avLst/>
                    </a:prstGeom>
                  </pic:spPr>
                </pic:pic>
              </a:graphicData>
            </a:graphic>
          </wp:inline>
        </w:drawing>
      </w:r>
    </w:p>
    <w:p w14:paraId="38150B39" w14:textId="19E6AAD8" w:rsidR="0003377C" w:rsidRDefault="0003377C" w:rsidP="0003377C">
      <w:pPr>
        <w:pStyle w:val="Caption"/>
        <w:keepNext/>
      </w:pPr>
      <w:r>
        <w:lastRenderedPageBreak/>
        <w:t xml:space="preserve">Table </w:t>
      </w:r>
      <w:r w:rsidR="00992029">
        <w:fldChar w:fldCharType="begin"/>
      </w:r>
      <w:r w:rsidR="00992029">
        <w:instrText xml:space="preserve"> SEQ Table \* ARABIC </w:instrText>
      </w:r>
      <w:r w:rsidR="00992029">
        <w:fldChar w:fldCharType="separate"/>
      </w:r>
      <w:r w:rsidR="00503E29">
        <w:rPr>
          <w:noProof/>
        </w:rPr>
        <w:t>4</w:t>
      </w:r>
      <w:r w:rsidR="00992029">
        <w:rPr>
          <w:noProof/>
        </w:rPr>
        <w:fldChar w:fldCharType="end"/>
      </w:r>
      <w:r w:rsidR="000B79F6">
        <w:rPr>
          <w:noProof/>
        </w:rPr>
        <w:t>a</w:t>
      </w:r>
      <w:r>
        <w:t xml:space="preserve">. Regression results for proportion of individuals </w:t>
      </w:r>
      <w:r w:rsidR="006D5F7D">
        <w:t>that suffered from physical distress in the past month</w:t>
      </w:r>
      <w:r w:rsidR="000B79F6">
        <w:t>. (weighted, PSM with covariates)</w:t>
      </w:r>
    </w:p>
    <w:p w14:paraId="7C8137A2" w14:textId="5E6DEDA6" w:rsidR="00666133" w:rsidRPr="002D0ACF" w:rsidRDefault="002D0ACF" w:rsidP="002D0ACF">
      <w:pPr>
        <w:jc w:val="center"/>
      </w:pPr>
      <w:r>
        <w:rPr>
          <w:noProof/>
        </w:rPr>
        <w:drawing>
          <wp:inline distT="0" distB="0" distL="0" distR="0" wp14:anchorId="4DD20D51" wp14:editId="25BB57B7">
            <wp:extent cx="4508794" cy="3371850"/>
            <wp:effectExtent l="0" t="0" r="635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14339" cy="3375997"/>
                    </a:xfrm>
                    <a:prstGeom prst="rect">
                      <a:avLst/>
                    </a:prstGeom>
                  </pic:spPr>
                </pic:pic>
              </a:graphicData>
            </a:graphic>
          </wp:inline>
        </w:drawing>
      </w:r>
    </w:p>
    <w:p w14:paraId="68FB57BC" w14:textId="3A42EE1E" w:rsidR="0003377C" w:rsidRDefault="0003377C" w:rsidP="0003377C">
      <w:pPr>
        <w:pStyle w:val="Caption"/>
        <w:keepNext/>
      </w:pPr>
      <w:r>
        <w:t xml:space="preserve">Table </w:t>
      </w:r>
      <w:r w:rsidR="00992029">
        <w:fldChar w:fldCharType="begin"/>
      </w:r>
      <w:r w:rsidR="00992029">
        <w:instrText xml:space="preserve"> SEQ Table \* ARABIC </w:instrText>
      </w:r>
      <w:r w:rsidR="00992029">
        <w:fldChar w:fldCharType="separate"/>
      </w:r>
      <w:r w:rsidR="00503E29">
        <w:rPr>
          <w:noProof/>
        </w:rPr>
        <w:t>5</w:t>
      </w:r>
      <w:r w:rsidR="00992029">
        <w:rPr>
          <w:noProof/>
        </w:rPr>
        <w:fldChar w:fldCharType="end"/>
      </w:r>
      <w:r w:rsidR="000B79F6">
        <w:rPr>
          <w:noProof/>
        </w:rPr>
        <w:t>a</w:t>
      </w:r>
      <w:r>
        <w:t>. Regression results for the proportion of individuals who have some form of health coverage.</w:t>
      </w:r>
      <w:r w:rsidR="000B79F6">
        <w:t xml:space="preserve"> (weighted, PSM with covariates)</w:t>
      </w:r>
    </w:p>
    <w:p w14:paraId="34B5D58F" w14:textId="668BF0E3" w:rsidR="002D0ACF" w:rsidRDefault="002D0ACF" w:rsidP="002D0ACF">
      <w:pPr>
        <w:jc w:val="center"/>
      </w:pPr>
      <w:r>
        <w:rPr>
          <w:noProof/>
        </w:rPr>
        <w:drawing>
          <wp:inline distT="0" distB="0" distL="0" distR="0" wp14:anchorId="55256FBE" wp14:editId="20611595">
            <wp:extent cx="4603750" cy="3442862"/>
            <wp:effectExtent l="0" t="0" r="6350" b="571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617636" cy="3453247"/>
                    </a:xfrm>
                    <a:prstGeom prst="rect">
                      <a:avLst/>
                    </a:prstGeom>
                  </pic:spPr>
                </pic:pic>
              </a:graphicData>
            </a:graphic>
          </wp:inline>
        </w:drawing>
      </w:r>
    </w:p>
    <w:p w14:paraId="5ACE820C" w14:textId="5795AA35" w:rsidR="0003377C" w:rsidRDefault="0003377C" w:rsidP="0003377C">
      <w:pPr>
        <w:pStyle w:val="Caption"/>
        <w:keepNext/>
      </w:pPr>
      <w:r>
        <w:lastRenderedPageBreak/>
        <w:t xml:space="preserve">Table </w:t>
      </w:r>
      <w:r w:rsidR="00992029">
        <w:fldChar w:fldCharType="begin"/>
      </w:r>
      <w:r w:rsidR="00992029">
        <w:instrText xml:space="preserve"> SEQ Table \* ARABIC </w:instrText>
      </w:r>
      <w:r w:rsidR="00992029">
        <w:fldChar w:fldCharType="separate"/>
      </w:r>
      <w:r w:rsidR="00503E29">
        <w:rPr>
          <w:noProof/>
        </w:rPr>
        <w:t>6</w:t>
      </w:r>
      <w:r w:rsidR="00992029">
        <w:rPr>
          <w:noProof/>
        </w:rPr>
        <w:fldChar w:fldCharType="end"/>
      </w:r>
      <w:r w:rsidR="000B79F6">
        <w:rPr>
          <w:noProof/>
        </w:rPr>
        <w:t>a</w:t>
      </w:r>
      <w:r>
        <w:t>. Regression results for the proportion of individuals who have at least one (1) personal doctor.</w:t>
      </w:r>
      <w:r w:rsidR="000B79F6">
        <w:t xml:space="preserve"> (weighted, PSM with covariates)</w:t>
      </w:r>
    </w:p>
    <w:p w14:paraId="23AF8574" w14:textId="3ED61103" w:rsidR="002D0ACF" w:rsidRDefault="002D0ACF" w:rsidP="002D0ACF">
      <w:pPr>
        <w:jc w:val="center"/>
      </w:pPr>
      <w:r>
        <w:rPr>
          <w:noProof/>
        </w:rPr>
        <w:drawing>
          <wp:inline distT="0" distB="0" distL="0" distR="0" wp14:anchorId="4935C863" wp14:editId="223E89F9">
            <wp:extent cx="4603750" cy="3442862"/>
            <wp:effectExtent l="0" t="0" r="6350" b="5715"/>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611189" cy="3448425"/>
                    </a:xfrm>
                    <a:prstGeom prst="rect">
                      <a:avLst/>
                    </a:prstGeom>
                  </pic:spPr>
                </pic:pic>
              </a:graphicData>
            </a:graphic>
          </wp:inline>
        </w:drawing>
      </w:r>
    </w:p>
    <w:p w14:paraId="22BEEC42" w14:textId="4C3D6068" w:rsidR="003F4AFA" w:rsidRDefault="003F4AFA" w:rsidP="003F4AFA">
      <w:pPr>
        <w:pStyle w:val="Caption"/>
        <w:keepNext/>
      </w:pPr>
      <w:r>
        <w:t xml:space="preserve">Table </w:t>
      </w:r>
      <w:r w:rsidR="00992029">
        <w:fldChar w:fldCharType="begin"/>
      </w:r>
      <w:r w:rsidR="00992029">
        <w:instrText xml:space="preserve"> SEQ Table \* ARABIC </w:instrText>
      </w:r>
      <w:r w:rsidR="00992029">
        <w:fldChar w:fldCharType="separate"/>
      </w:r>
      <w:r w:rsidR="00503E29">
        <w:rPr>
          <w:noProof/>
        </w:rPr>
        <w:t>7</w:t>
      </w:r>
      <w:r w:rsidR="00992029">
        <w:rPr>
          <w:noProof/>
        </w:rPr>
        <w:fldChar w:fldCharType="end"/>
      </w:r>
      <w:r w:rsidR="000B79F6">
        <w:rPr>
          <w:noProof/>
        </w:rPr>
        <w:t>a</w:t>
      </w:r>
      <w:r>
        <w:t>. Regression results for the proportion of individuals who did not see a doctor when one was needed due to excessive costs.</w:t>
      </w:r>
      <w:r w:rsidR="000B79F6">
        <w:t xml:space="preserve"> (weighted, PSM with covariates)</w:t>
      </w:r>
    </w:p>
    <w:p w14:paraId="1D315908" w14:textId="508FA3B9" w:rsidR="00064411" w:rsidRDefault="002D0ACF" w:rsidP="002D0ACF">
      <w:pPr>
        <w:jc w:val="center"/>
      </w:pPr>
      <w:r>
        <w:rPr>
          <w:noProof/>
        </w:rPr>
        <w:drawing>
          <wp:inline distT="0" distB="0" distL="0" distR="0" wp14:anchorId="08955AE4" wp14:editId="155B0D9D">
            <wp:extent cx="4591050" cy="3433364"/>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598941" cy="3439265"/>
                    </a:xfrm>
                    <a:prstGeom prst="rect">
                      <a:avLst/>
                    </a:prstGeom>
                  </pic:spPr>
                </pic:pic>
              </a:graphicData>
            </a:graphic>
          </wp:inline>
        </w:drawing>
      </w:r>
    </w:p>
    <w:p w14:paraId="55C4CCB6" w14:textId="3188D523" w:rsidR="006D5F7D" w:rsidRDefault="006D5F7D" w:rsidP="006D5F7D">
      <w:pPr>
        <w:pStyle w:val="Caption"/>
        <w:keepNext/>
      </w:pPr>
      <w:r>
        <w:lastRenderedPageBreak/>
        <w:t xml:space="preserve">Table </w:t>
      </w:r>
      <w:r w:rsidR="00992029">
        <w:fldChar w:fldCharType="begin"/>
      </w:r>
      <w:r w:rsidR="00992029">
        <w:instrText xml:space="preserve"> SEQ Table \* ARABIC </w:instrText>
      </w:r>
      <w:r w:rsidR="00992029">
        <w:fldChar w:fldCharType="separate"/>
      </w:r>
      <w:r w:rsidR="00503E29">
        <w:rPr>
          <w:noProof/>
        </w:rPr>
        <w:t>8</w:t>
      </w:r>
      <w:r w:rsidR="00992029">
        <w:rPr>
          <w:noProof/>
        </w:rPr>
        <w:fldChar w:fldCharType="end"/>
      </w:r>
      <w:r w:rsidR="000B79F6">
        <w:rPr>
          <w:noProof/>
        </w:rPr>
        <w:t>a</w:t>
      </w:r>
      <w:r>
        <w:t>. R</w:t>
      </w:r>
      <w:r w:rsidRPr="00101D0A">
        <w:t xml:space="preserve">egression results for </w:t>
      </w:r>
      <w:r>
        <w:t xml:space="preserve">the </w:t>
      </w:r>
      <w:r w:rsidRPr="00101D0A">
        <w:t>proportion of individuals who received a checkup within the past 12 months.</w:t>
      </w:r>
      <w:r w:rsidR="000B79F6">
        <w:t xml:space="preserve"> (weighted, PSM with covariates)</w:t>
      </w:r>
    </w:p>
    <w:p w14:paraId="5E54947C" w14:textId="73ABAAB3" w:rsidR="002D0ACF" w:rsidRDefault="002D0ACF" w:rsidP="002D0ACF">
      <w:pPr>
        <w:jc w:val="center"/>
      </w:pPr>
      <w:r>
        <w:rPr>
          <w:noProof/>
        </w:rPr>
        <w:drawing>
          <wp:inline distT="0" distB="0" distL="0" distR="0" wp14:anchorId="56C8991B" wp14:editId="1AC6F730">
            <wp:extent cx="4565650" cy="3414369"/>
            <wp:effectExtent l="0" t="0" r="6350"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570116" cy="3417709"/>
                    </a:xfrm>
                    <a:prstGeom prst="rect">
                      <a:avLst/>
                    </a:prstGeom>
                  </pic:spPr>
                </pic:pic>
              </a:graphicData>
            </a:graphic>
          </wp:inline>
        </w:drawing>
      </w:r>
    </w:p>
    <w:p w14:paraId="58568B3C" w14:textId="6F6C15D8" w:rsidR="00DF1CA9" w:rsidRDefault="00A025F0" w:rsidP="0023267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1924FE">
        <w:rPr>
          <w:rFonts w:ascii="Times New Roman" w:eastAsiaTheme="minorEastAsia" w:hAnsi="Times New Roman" w:cs="Times New Roman"/>
          <w:sz w:val="24"/>
          <w:szCs w:val="24"/>
        </w:rPr>
        <w:t xml:space="preserve">One of the more noticeable and easily interpretable results is that all estimator coefficients </w:t>
      </w:r>
      <w:r w:rsidR="003C55EF">
        <w:rPr>
          <w:rFonts w:ascii="Times New Roman" w:eastAsiaTheme="minorEastAsia" w:hAnsi="Times New Roman" w:cs="Times New Roman"/>
          <w:sz w:val="24"/>
          <w:szCs w:val="24"/>
        </w:rPr>
        <w:t xml:space="preserve">of the LASSO models </w:t>
      </w:r>
      <w:r w:rsidR="001924FE">
        <w:rPr>
          <w:rFonts w:ascii="Times New Roman" w:eastAsiaTheme="minorEastAsia" w:hAnsi="Times New Roman" w:cs="Times New Roman"/>
          <w:sz w:val="24"/>
          <w:szCs w:val="24"/>
        </w:rPr>
        <w:t xml:space="preserve">for </w:t>
      </w:r>
      <w:r w:rsidR="003C55EF">
        <w:rPr>
          <w:rFonts w:ascii="Times New Roman" w:eastAsiaTheme="minorEastAsia" w:hAnsi="Times New Roman" w:cs="Times New Roman"/>
          <w:sz w:val="24"/>
          <w:szCs w:val="24"/>
        </w:rPr>
        <w:t xml:space="preserve">all outcomes are reduced to 0. </w:t>
      </w:r>
      <w:r w:rsidR="002313F6">
        <w:rPr>
          <w:rFonts w:ascii="Times New Roman" w:eastAsiaTheme="minorEastAsia" w:hAnsi="Times New Roman" w:cs="Times New Roman"/>
          <w:sz w:val="24"/>
          <w:szCs w:val="24"/>
        </w:rPr>
        <w:t>That is, the LASSO models consistently determine that the reinsurance programs have no causal effects on any of the measured health outcomes.</w:t>
      </w:r>
      <w:r w:rsidR="00B772C9">
        <w:rPr>
          <w:rFonts w:ascii="Times New Roman" w:eastAsiaTheme="minorEastAsia" w:hAnsi="Times New Roman" w:cs="Times New Roman"/>
          <w:sz w:val="24"/>
          <w:szCs w:val="24"/>
        </w:rPr>
        <w:t xml:space="preserve"> </w:t>
      </w:r>
      <w:r w:rsidR="00447393">
        <w:rPr>
          <w:rFonts w:ascii="Times New Roman" w:eastAsiaTheme="minorEastAsia" w:hAnsi="Times New Roman" w:cs="Times New Roman"/>
          <w:sz w:val="24"/>
          <w:szCs w:val="24"/>
        </w:rPr>
        <w:t xml:space="preserve">The same result also holds in the case of our sensitivity </w:t>
      </w:r>
      <w:r w:rsidR="007A3F14">
        <w:rPr>
          <w:rFonts w:ascii="Times New Roman" w:eastAsiaTheme="minorEastAsia" w:hAnsi="Times New Roman" w:cs="Times New Roman"/>
          <w:sz w:val="24"/>
          <w:szCs w:val="24"/>
        </w:rPr>
        <w:t xml:space="preserve">analyses. </w:t>
      </w:r>
      <w:r w:rsidR="00F64DF7">
        <w:rPr>
          <w:rFonts w:ascii="Times New Roman" w:eastAsiaTheme="minorEastAsia" w:hAnsi="Times New Roman" w:cs="Times New Roman"/>
          <w:sz w:val="24"/>
          <w:szCs w:val="24"/>
        </w:rPr>
        <w:t xml:space="preserve">While discouraging in </w:t>
      </w:r>
      <w:r w:rsidR="00807654">
        <w:rPr>
          <w:rFonts w:ascii="Times New Roman" w:eastAsiaTheme="minorEastAsia" w:hAnsi="Times New Roman" w:cs="Times New Roman"/>
          <w:sz w:val="24"/>
          <w:szCs w:val="24"/>
        </w:rPr>
        <w:t xml:space="preserve">the sense of </w:t>
      </w:r>
      <w:r w:rsidR="00D36134">
        <w:rPr>
          <w:rFonts w:ascii="Times New Roman" w:eastAsiaTheme="minorEastAsia" w:hAnsi="Times New Roman" w:cs="Times New Roman"/>
          <w:sz w:val="24"/>
          <w:szCs w:val="24"/>
        </w:rPr>
        <w:t xml:space="preserve">trying to </w:t>
      </w:r>
      <w:r w:rsidR="004306E8">
        <w:rPr>
          <w:rFonts w:ascii="Times New Roman" w:eastAsiaTheme="minorEastAsia" w:hAnsi="Times New Roman" w:cs="Times New Roman"/>
          <w:sz w:val="24"/>
          <w:szCs w:val="24"/>
        </w:rPr>
        <w:t xml:space="preserve">demonstrate that the reinsurance programs </w:t>
      </w:r>
      <w:r w:rsidR="00D15B88">
        <w:rPr>
          <w:rFonts w:ascii="Times New Roman" w:eastAsiaTheme="minorEastAsia" w:hAnsi="Times New Roman" w:cs="Times New Roman"/>
          <w:sz w:val="24"/>
          <w:szCs w:val="24"/>
        </w:rPr>
        <w:t xml:space="preserve">do have a true effect on the observed outcomes, </w:t>
      </w:r>
      <w:r w:rsidR="007C304F">
        <w:rPr>
          <w:rFonts w:ascii="Times New Roman" w:eastAsiaTheme="minorEastAsia" w:hAnsi="Times New Roman" w:cs="Times New Roman"/>
          <w:sz w:val="24"/>
          <w:szCs w:val="24"/>
        </w:rPr>
        <w:t>these results are not entirely surprising given the formerly described aggressive regularization nature of the LASSO model</w:t>
      </w:r>
      <w:r w:rsidR="00B4200E">
        <w:rPr>
          <w:rFonts w:ascii="Times New Roman" w:eastAsiaTheme="minorEastAsia" w:hAnsi="Times New Roman" w:cs="Times New Roman"/>
          <w:sz w:val="24"/>
          <w:szCs w:val="24"/>
        </w:rPr>
        <w:t xml:space="preserve">—most of the LASSO models instead selected covariate variables such </w:t>
      </w:r>
      <w:r w:rsidR="00C814A8">
        <w:rPr>
          <w:rFonts w:ascii="Times New Roman" w:eastAsiaTheme="minorEastAsia" w:hAnsi="Times New Roman" w:cs="Times New Roman"/>
          <w:sz w:val="24"/>
          <w:szCs w:val="24"/>
        </w:rPr>
        <w:t xml:space="preserve">as age and </w:t>
      </w:r>
      <w:r w:rsidR="00251AFA">
        <w:rPr>
          <w:rFonts w:ascii="Times New Roman" w:eastAsiaTheme="minorEastAsia" w:hAnsi="Times New Roman" w:cs="Times New Roman"/>
          <w:sz w:val="24"/>
          <w:szCs w:val="24"/>
        </w:rPr>
        <w:t xml:space="preserve">annual income </w:t>
      </w:r>
      <w:r w:rsidR="00A2519C">
        <w:rPr>
          <w:rFonts w:ascii="Times New Roman" w:eastAsiaTheme="minorEastAsia" w:hAnsi="Times New Roman" w:cs="Times New Roman"/>
          <w:sz w:val="24"/>
          <w:szCs w:val="24"/>
        </w:rPr>
        <w:t>to have</w:t>
      </w:r>
      <w:r w:rsidR="003B2327">
        <w:rPr>
          <w:rFonts w:ascii="Times New Roman" w:eastAsiaTheme="minorEastAsia" w:hAnsi="Times New Roman" w:cs="Times New Roman"/>
          <w:sz w:val="24"/>
          <w:szCs w:val="24"/>
        </w:rPr>
        <w:t xml:space="preserve"> non-trivial</w:t>
      </w:r>
      <w:r w:rsidR="00A2519C">
        <w:rPr>
          <w:rFonts w:ascii="Times New Roman" w:eastAsiaTheme="minorEastAsia" w:hAnsi="Times New Roman" w:cs="Times New Roman"/>
          <w:sz w:val="24"/>
          <w:szCs w:val="24"/>
        </w:rPr>
        <w:t xml:space="preserve"> coefficients in the model, and </w:t>
      </w:r>
      <w:r w:rsidR="00D31404">
        <w:rPr>
          <w:rFonts w:ascii="Times New Roman" w:eastAsiaTheme="minorEastAsia" w:hAnsi="Times New Roman" w:cs="Times New Roman"/>
          <w:sz w:val="24"/>
          <w:szCs w:val="24"/>
        </w:rPr>
        <w:t xml:space="preserve">PSM LASSO models ran without covariates </w:t>
      </w:r>
      <w:r w:rsidR="00FB665F">
        <w:rPr>
          <w:rFonts w:ascii="Times New Roman" w:eastAsiaTheme="minorEastAsia" w:hAnsi="Times New Roman" w:cs="Times New Roman"/>
          <w:sz w:val="24"/>
          <w:szCs w:val="24"/>
        </w:rPr>
        <w:t>selected</w:t>
      </w:r>
      <w:r w:rsidR="00E87F26">
        <w:rPr>
          <w:rFonts w:ascii="Times New Roman" w:eastAsiaTheme="minorEastAsia" w:hAnsi="Times New Roman" w:cs="Times New Roman"/>
          <w:sz w:val="24"/>
          <w:szCs w:val="24"/>
        </w:rPr>
        <w:t xml:space="preserve"> the linear components from which the</w:t>
      </w:r>
      <w:r w:rsidR="00841D4B">
        <w:rPr>
          <w:rFonts w:ascii="Times New Roman" w:eastAsiaTheme="minorEastAsia" w:hAnsi="Times New Roman" w:cs="Times New Roman"/>
          <w:sz w:val="24"/>
          <w:szCs w:val="24"/>
        </w:rPr>
        <w:t xml:space="preserve"> DID</w:t>
      </w:r>
      <w:r w:rsidR="00E87F26">
        <w:rPr>
          <w:rFonts w:ascii="Times New Roman" w:eastAsiaTheme="minorEastAsia" w:hAnsi="Times New Roman" w:cs="Times New Roman"/>
          <w:sz w:val="24"/>
          <w:szCs w:val="24"/>
        </w:rPr>
        <w:t xml:space="preserve"> estimator is the product, rather than the</w:t>
      </w:r>
      <w:r w:rsidR="00A22E7D">
        <w:rPr>
          <w:rFonts w:ascii="Times New Roman" w:eastAsiaTheme="minorEastAsia" w:hAnsi="Times New Roman" w:cs="Times New Roman"/>
          <w:sz w:val="24"/>
          <w:szCs w:val="24"/>
        </w:rPr>
        <w:t xml:space="preserve"> estimator itself as the</w:t>
      </w:r>
      <w:r w:rsidR="00E87F26">
        <w:rPr>
          <w:rFonts w:ascii="Times New Roman" w:eastAsiaTheme="minorEastAsia" w:hAnsi="Times New Roman" w:cs="Times New Roman"/>
          <w:sz w:val="24"/>
          <w:szCs w:val="24"/>
        </w:rPr>
        <w:t xml:space="preserve"> interaction term. </w:t>
      </w:r>
      <w:r w:rsidR="00884844">
        <w:rPr>
          <w:rFonts w:ascii="Times New Roman" w:eastAsiaTheme="minorEastAsia" w:hAnsi="Times New Roman" w:cs="Times New Roman"/>
          <w:sz w:val="24"/>
          <w:szCs w:val="24"/>
        </w:rPr>
        <w:t xml:space="preserve">The Elastic-net model provided a more reliable method of performing regularization for our purposes as </w:t>
      </w:r>
      <w:r w:rsidR="006927FF">
        <w:rPr>
          <w:rFonts w:ascii="Times New Roman" w:eastAsiaTheme="minorEastAsia" w:hAnsi="Times New Roman" w:cs="Times New Roman"/>
          <w:sz w:val="24"/>
          <w:szCs w:val="24"/>
        </w:rPr>
        <w:t>most</w:t>
      </w:r>
      <w:r w:rsidR="009417D2">
        <w:rPr>
          <w:rFonts w:ascii="Times New Roman" w:eastAsiaTheme="minorEastAsia" w:hAnsi="Times New Roman" w:cs="Times New Roman"/>
          <w:sz w:val="24"/>
          <w:szCs w:val="24"/>
        </w:rPr>
        <w:t xml:space="preserve"> optimal alpha penalty parameters for each outcome tended to be between 0.1 and 0.3, meaning that </w:t>
      </w:r>
      <w:r w:rsidR="00B165E7">
        <w:rPr>
          <w:rFonts w:ascii="Times New Roman" w:eastAsiaTheme="minorEastAsia" w:hAnsi="Times New Roman" w:cs="Times New Roman"/>
          <w:sz w:val="24"/>
          <w:szCs w:val="24"/>
        </w:rPr>
        <w:t>the model</w:t>
      </w:r>
      <w:r w:rsidR="009417D2">
        <w:rPr>
          <w:rFonts w:ascii="Times New Roman" w:eastAsiaTheme="minorEastAsia" w:hAnsi="Times New Roman" w:cs="Times New Roman"/>
          <w:sz w:val="24"/>
          <w:szCs w:val="24"/>
        </w:rPr>
        <w:t xml:space="preserve"> was much more of a ridge regression than a LASSO</w:t>
      </w:r>
      <w:r w:rsidR="00E57505">
        <w:rPr>
          <w:rFonts w:ascii="Times New Roman" w:eastAsiaTheme="minorEastAsia" w:hAnsi="Times New Roman" w:cs="Times New Roman"/>
          <w:sz w:val="24"/>
          <w:szCs w:val="24"/>
        </w:rPr>
        <w:t xml:space="preserve"> one</w:t>
      </w:r>
      <w:r w:rsidR="009417D2">
        <w:rPr>
          <w:rFonts w:ascii="Times New Roman" w:eastAsiaTheme="minorEastAsia" w:hAnsi="Times New Roman" w:cs="Times New Roman"/>
          <w:sz w:val="24"/>
          <w:szCs w:val="24"/>
        </w:rPr>
        <w:t>.</w:t>
      </w:r>
      <w:r w:rsidR="00C720B1">
        <w:rPr>
          <w:rFonts w:ascii="Times New Roman" w:eastAsiaTheme="minorEastAsia" w:hAnsi="Times New Roman" w:cs="Times New Roman"/>
          <w:sz w:val="24"/>
          <w:szCs w:val="24"/>
        </w:rPr>
        <w:t xml:space="preserve"> Further discussion of these estimates </w:t>
      </w:r>
      <w:r w:rsidR="00713A58">
        <w:rPr>
          <w:rFonts w:ascii="Times New Roman" w:eastAsiaTheme="minorEastAsia" w:hAnsi="Times New Roman" w:cs="Times New Roman"/>
          <w:sz w:val="24"/>
          <w:szCs w:val="24"/>
        </w:rPr>
        <w:t>will segment analysis based on whether the model was a standard DID approach or incorporated PSM, but, unless otherwise specified, will not draw distinctions between the estimates which included all states and the estimates which were derived from only examining the Medicaid expansion states.</w:t>
      </w:r>
    </w:p>
    <w:p w14:paraId="29C31B6D" w14:textId="322EDAE6" w:rsidR="00356960" w:rsidRDefault="00014682" w:rsidP="00014682">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 respect to</w:t>
      </w:r>
      <w:r w:rsidR="00F96AA6">
        <w:rPr>
          <w:rFonts w:ascii="Times New Roman" w:eastAsiaTheme="minorEastAsia" w:hAnsi="Times New Roman" w:cs="Times New Roman"/>
          <w:sz w:val="24"/>
          <w:szCs w:val="24"/>
        </w:rPr>
        <w:t xml:space="preserve"> the other models, some of the stronger and more consistent results that were derived come from </w:t>
      </w:r>
      <w:r w:rsidR="003F5345">
        <w:rPr>
          <w:rFonts w:ascii="Times New Roman" w:eastAsiaTheme="minorEastAsia" w:hAnsi="Times New Roman" w:cs="Times New Roman"/>
          <w:sz w:val="24"/>
          <w:szCs w:val="24"/>
        </w:rPr>
        <w:t xml:space="preserve">a handful of the investigated outcomes. </w:t>
      </w:r>
      <w:r w:rsidR="00C47C19">
        <w:rPr>
          <w:rFonts w:ascii="Times New Roman" w:eastAsiaTheme="minorEastAsia" w:hAnsi="Times New Roman" w:cs="Times New Roman"/>
          <w:sz w:val="24"/>
          <w:szCs w:val="24"/>
        </w:rPr>
        <w:t>In table 6a, r</w:t>
      </w:r>
      <w:r>
        <w:rPr>
          <w:rFonts w:ascii="Times New Roman" w:eastAsiaTheme="minorEastAsia" w:hAnsi="Times New Roman" w:cs="Times New Roman"/>
          <w:sz w:val="24"/>
          <w:szCs w:val="24"/>
        </w:rPr>
        <w:t>egression results demonstrated a positive relationship</w:t>
      </w:r>
      <w:r w:rsidR="00F96AA6">
        <w:rPr>
          <w:rFonts w:ascii="Times New Roman" w:eastAsiaTheme="minorEastAsia" w:hAnsi="Times New Roman" w:cs="Times New Roman"/>
          <w:sz w:val="24"/>
          <w:szCs w:val="24"/>
        </w:rPr>
        <w:t xml:space="preserve"> </w:t>
      </w:r>
      <w:r w:rsidR="004F057C">
        <w:rPr>
          <w:rFonts w:ascii="Times New Roman" w:eastAsiaTheme="minorEastAsia" w:hAnsi="Times New Roman" w:cs="Times New Roman"/>
          <w:sz w:val="24"/>
          <w:szCs w:val="24"/>
        </w:rPr>
        <w:t>between reinsurance and the proportion of individuals who have at least one personal doctor,</w:t>
      </w:r>
      <w:r w:rsidR="008A386C">
        <w:rPr>
          <w:rFonts w:ascii="Times New Roman" w:eastAsiaTheme="minorEastAsia" w:hAnsi="Times New Roman" w:cs="Times New Roman"/>
          <w:sz w:val="24"/>
          <w:szCs w:val="24"/>
        </w:rPr>
        <w:t xml:space="preserve"> with the standard DID approach showing between</w:t>
      </w:r>
      <w:r w:rsidR="002843F1">
        <w:rPr>
          <w:rFonts w:ascii="Times New Roman" w:eastAsiaTheme="minorEastAsia" w:hAnsi="Times New Roman" w:cs="Times New Roman"/>
          <w:sz w:val="24"/>
          <w:szCs w:val="24"/>
        </w:rPr>
        <w:t xml:space="preserve"> a</w:t>
      </w:r>
      <w:r w:rsidR="008A386C">
        <w:rPr>
          <w:rFonts w:ascii="Times New Roman" w:eastAsiaTheme="minorEastAsia" w:hAnsi="Times New Roman" w:cs="Times New Roman"/>
          <w:sz w:val="24"/>
          <w:szCs w:val="24"/>
        </w:rPr>
        <w:t xml:space="preserve"> </w:t>
      </w:r>
      <w:r w:rsidR="00856767">
        <w:rPr>
          <w:rFonts w:ascii="Times New Roman" w:eastAsiaTheme="minorEastAsia" w:hAnsi="Times New Roman" w:cs="Times New Roman"/>
          <w:sz w:val="24"/>
          <w:szCs w:val="24"/>
        </w:rPr>
        <w:t>.</w:t>
      </w:r>
      <w:r w:rsidR="00A85A04">
        <w:rPr>
          <w:rFonts w:ascii="Times New Roman" w:eastAsiaTheme="minorEastAsia" w:hAnsi="Times New Roman" w:cs="Times New Roman"/>
          <w:sz w:val="24"/>
          <w:szCs w:val="24"/>
        </w:rPr>
        <w:t>4</w:t>
      </w:r>
      <w:r w:rsidR="00286C62">
        <w:rPr>
          <w:rFonts w:ascii="Times New Roman" w:eastAsiaTheme="minorEastAsia" w:hAnsi="Times New Roman" w:cs="Times New Roman"/>
          <w:sz w:val="24"/>
          <w:szCs w:val="24"/>
        </w:rPr>
        <w:t>6</w:t>
      </w:r>
      <w:r w:rsidR="00856767">
        <w:rPr>
          <w:rFonts w:ascii="Times New Roman" w:eastAsiaTheme="minorEastAsia" w:hAnsi="Times New Roman" w:cs="Times New Roman"/>
          <w:sz w:val="24"/>
          <w:szCs w:val="24"/>
        </w:rPr>
        <w:t>% to .</w:t>
      </w:r>
      <w:r w:rsidR="00286C62">
        <w:rPr>
          <w:rFonts w:ascii="Times New Roman" w:eastAsiaTheme="minorEastAsia" w:hAnsi="Times New Roman" w:cs="Times New Roman"/>
          <w:sz w:val="24"/>
          <w:szCs w:val="24"/>
        </w:rPr>
        <w:t>62</w:t>
      </w:r>
      <w:r w:rsidR="00856767">
        <w:rPr>
          <w:rFonts w:ascii="Times New Roman" w:eastAsiaTheme="minorEastAsia" w:hAnsi="Times New Roman" w:cs="Times New Roman"/>
          <w:sz w:val="24"/>
          <w:szCs w:val="24"/>
        </w:rPr>
        <w:t>% proportional increase for the early treatment states and between</w:t>
      </w:r>
      <w:r w:rsidR="002843F1">
        <w:rPr>
          <w:rFonts w:ascii="Times New Roman" w:eastAsiaTheme="minorEastAsia" w:hAnsi="Times New Roman" w:cs="Times New Roman"/>
          <w:sz w:val="24"/>
          <w:szCs w:val="24"/>
        </w:rPr>
        <w:t xml:space="preserve"> a</w:t>
      </w:r>
      <w:r w:rsidR="008818EB">
        <w:rPr>
          <w:rFonts w:ascii="Times New Roman" w:eastAsiaTheme="minorEastAsia" w:hAnsi="Times New Roman" w:cs="Times New Roman"/>
          <w:sz w:val="24"/>
          <w:szCs w:val="24"/>
        </w:rPr>
        <w:t xml:space="preserve"> .</w:t>
      </w:r>
      <w:r w:rsidR="00172131">
        <w:rPr>
          <w:rFonts w:ascii="Times New Roman" w:eastAsiaTheme="minorEastAsia" w:hAnsi="Times New Roman" w:cs="Times New Roman"/>
          <w:sz w:val="24"/>
          <w:szCs w:val="24"/>
        </w:rPr>
        <w:t>16</w:t>
      </w:r>
      <w:r w:rsidR="008818EB">
        <w:rPr>
          <w:rFonts w:ascii="Times New Roman" w:eastAsiaTheme="minorEastAsia" w:hAnsi="Times New Roman" w:cs="Times New Roman"/>
          <w:sz w:val="24"/>
          <w:szCs w:val="24"/>
        </w:rPr>
        <w:t xml:space="preserve">% to </w:t>
      </w:r>
      <w:r w:rsidR="004869DF">
        <w:rPr>
          <w:rFonts w:ascii="Times New Roman" w:eastAsiaTheme="minorEastAsia" w:hAnsi="Times New Roman" w:cs="Times New Roman"/>
          <w:sz w:val="24"/>
          <w:szCs w:val="24"/>
        </w:rPr>
        <w:t>.</w:t>
      </w:r>
      <w:r w:rsidR="000F0034">
        <w:rPr>
          <w:rFonts w:ascii="Times New Roman" w:eastAsiaTheme="minorEastAsia" w:hAnsi="Times New Roman" w:cs="Times New Roman"/>
          <w:sz w:val="24"/>
          <w:szCs w:val="24"/>
        </w:rPr>
        <w:t>385</w:t>
      </w:r>
      <w:r w:rsidR="004869DF">
        <w:rPr>
          <w:rFonts w:ascii="Times New Roman" w:eastAsiaTheme="minorEastAsia" w:hAnsi="Times New Roman" w:cs="Times New Roman"/>
          <w:sz w:val="24"/>
          <w:szCs w:val="24"/>
        </w:rPr>
        <w:t xml:space="preserve">% </w:t>
      </w:r>
      <w:r w:rsidR="004869DF">
        <w:rPr>
          <w:rFonts w:ascii="Times New Roman" w:eastAsiaTheme="minorEastAsia" w:hAnsi="Times New Roman" w:cs="Times New Roman"/>
          <w:sz w:val="24"/>
          <w:szCs w:val="24"/>
        </w:rPr>
        <w:lastRenderedPageBreak/>
        <w:t xml:space="preserve">proportional increase for the late treatment states; </w:t>
      </w:r>
      <w:r w:rsidR="003567BB">
        <w:rPr>
          <w:rFonts w:ascii="Times New Roman" w:eastAsiaTheme="minorEastAsia" w:hAnsi="Times New Roman" w:cs="Times New Roman"/>
          <w:sz w:val="24"/>
          <w:szCs w:val="24"/>
        </w:rPr>
        <w:t xml:space="preserve">DID with PSM yielded between a </w:t>
      </w:r>
      <w:r w:rsidR="00E608CB">
        <w:rPr>
          <w:rFonts w:ascii="Times New Roman" w:eastAsiaTheme="minorEastAsia" w:hAnsi="Times New Roman" w:cs="Times New Roman"/>
          <w:sz w:val="24"/>
          <w:szCs w:val="24"/>
        </w:rPr>
        <w:t>.4</w:t>
      </w:r>
      <w:r w:rsidR="00603FA0">
        <w:rPr>
          <w:rFonts w:ascii="Times New Roman" w:eastAsiaTheme="minorEastAsia" w:hAnsi="Times New Roman" w:cs="Times New Roman"/>
          <w:sz w:val="24"/>
          <w:szCs w:val="24"/>
        </w:rPr>
        <w:t>2</w:t>
      </w:r>
      <w:r w:rsidR="00E608CB">
        <w:rPr>
          <w:rFonts w:ascii="Times New Roman" w:eastAsiaTheme="minorEastAsia" w:hAnsi="Times New Roman" w:cs="Times New Roman"/>
          <w:sz w:val="24"/>
          <w:szCs w:val="24"/>
        </w:rPr>
        <w:t>% to .</w:t>
      </w:r>
      <w:r w:rsidR="00C27AE7">
        <w:rPr>
          <w:rFonts w:ascii="Times New Roman" w:eastAsiaTheme="minorEastAsia" w:hAnsi="Times New Roman" w:cs="Times New Roman"/>
          <w:sz w:val="24"/>
          <w:szCs w:val="24"/>
        </w:rPr>
        <w:t>5</w:t>
      </w:r>
      <w:r w:rsidR="00603FA0">
        <w:rPr>
          <w:rFonts w:ascii="Times New Roman" w:eastAsiaTheme="minorEastAsia" w:hAnsi="Times New Roman" w:cs="Times New Roman"/>
          <w:sz w:val="24"/>
          <w:szCs w:val="24"/>
        </w:rPr>
        <w:t>5</w:t>
      </w:r>
      <w:r w:rsidR="00E608CB">
        <w:rPr>
          <w:rFonts w:ascii="Times New Roman" w:eastAsiaTheme="minorEastAsia" w:hAnsi="Times New Roman" w:cs="Times New Roman"/>
          <w:sz w:val="24"/>
          <w:szCs w:val="24"/>
        </w:rPr>
        <w:t xml:space="preserve">% proportional increase for the early treatment states and between a </w:t>
      </w:r>
      <w:r w:rsidR="00562071">
        <w:rPr>
          <w:rFonts w:ascii="Times New Roman" w:eastAsiaTheme="minorEastAsia" w:hAnsi="Times New Roman" w:cs="Times New Roman"/>
          <w:sz w:val="24"/>
          <w:szCs w:val="24"/>
        </w:rPr>
        <w:t>.21% to .38</w:t>
      </w:r>
      <w:r w:rsidR="00833B1F">
        <w:rPr>
          <w:rFonts w:ascii="Times New Roman" w:eastAsiaTheme="minorEastAsia" w:hAnsi="Times New Roman" w:cs="Times New Roman"/>
          <w:sz w:val="24"/>
          <w:szCs w:val="24"/>
        </w:rPr>
        <w:t>6</w:t>
      </w:r>
      <w:r w:rsidR="00562071">
        <w:rPr>
          <w:rFonts w:ascii="Times New Roman" w:eastAsiaTheme="minorEastAsia" w:hAnsi="Times New Roman" w:cs="Times New Roman"/>
          <w:sz w:val="24"/>
          <w:szCs w:val="24"/>
        </w:rPr>
        <w:t>% proportional increase for the late treatment states</w:t>
      </w:r>
      <w:r w:rsidR="008761BD">
        <w:rPr>
          <w:rFonts w:ascii="Times New Roman" w:eastAsiaTheme="minorEastAsia" w:hAnsi="Times New Roman" w:cs="Times New Roman"/>
          <w:sz w:val="24"/>
          <w:szCs w:val="24"/>
        </w:rPr>
        <w:t>.</w:t>
      </w:r>
      <w:r w:rsidR="00FA3D49">
        <w:rPr>
          <w:rFonts w:ascii="Times New Roman" w:eastAsiaTheme="minorEastAsia" w:hAnsi="Times New Roman" w:cs="Times New Roman"/>
          <w:sz w:val="24"/>
          <w:szCs w:val="24"/>
        </w:rPr>
        <w:t xml:space="preserve"> Where standard errors were applicable to the model, the errors tended to be quite smaller in magnitude than </w:t>
      </w:r>
      <w:r w:rsidR="003061DD">
        <w:rPr>
          <w:rFonts w:ascii="Times New Roman" w:eastAsiaTheme="minorEastAsia" w:hAnsi="Times New Roman" w:cs="Times New Roman"/>
          <w:sz w:val="24"/>
          <w:szCs w:val="24"/>
        </w:rPr>
        <w:t>the estimates themselves, indicating relatively precise estimates—</w:t>
      </w:r>
      <w:r w:rsidR="00121C95">
        <w:rPr>
          <w:rFonts w:ascii="Times New Roman" w:eastAsiaTheme="minorEastAsia" w:hAnsi="Times New Roman" w:cs="Times New Roman"/>
          <w:sz w:val="24"/>
          <w:szCs w:val="24"/>
        </w:rPr>
        <w:t xml:space="preserve">for instance, </w:t>
      </w:r>
      <w:r w:rsidR="003061DD">
        <w:rPr>
          <w:rFonts w:ascii="Times New Roman" w:eastAsiaTheme="minorEastAsia" w:hAnsi="Times New Roman" w:cs="Times New Roman"/>
          <w:sz w:val="24"/>
          <w:szCs w:val="24"/>
        </w:rPr>
        <w:t xml:space="preserve">taking </w:t>
      </w:r>
      <w:r w:rsidR="00A66BB4">
        <w:rPr>
          <w:rFonts w:ascii="Times New Roman" w:eastAsiaTheme="minorEastAsia" w:hAnsi="Times New Roman" w:cs="Times New Roman"/>
          <w:sz w:val="24"/>
          <w:szCs w:val="24"/>
        </w:rPr>
        <w:t>the early and late treatment estimators</w:t>
      </w:r>
      <w:r w:rsidR="00C86508">
        <w:rPr>
          <w:rFonts w:ascii="Times New Roman" w:eastAsiaTheme="minorEastAsia" w:hAnsi="Times New Roman" w:cs="Times New Roman"/>
          <w:sz w:val="24"/>
          <w:szCs w:val="24"/>
        </w:rPr>
        <w:t xml:space="preserve"> for </w:t>
      </w:r>
      <w:proofErr w:type="gramStart"/>
      <w:r w:rsidR="00C86508">
        <w:rPr>
          <w:rFonts w:ascii="Times New Roman" w:eastAsiaTheme="minorEastAsia" w:hAnsi="Times New Roman" w:cs="Times New Roman"/>
          <w:sz w:val="24"/>
          <w:szCs w:val="24"/>
        </w:rPr>
        <w:t>the all</w:t>
      </w:r>
      <w:proofErr w:type="gramEnd"/>
      <w:r w:rsidR="00C86508">
        <w:rPr>
          <w:rFonts w:ascii="Times New Roman" w:eastAsiaTheme="minorEastAsia" w:hAnsi="Times New Roman" w:cs="Times New Roman"/>
          <w:sz w:val="24"/>
          <w:szCs w:val="24"/>
        </w:rPr>
        <w:t xml:space="preserve"> states analysis</w:t>
      </w:r>
      <w:r w:rsidR="00A66BB4">
        <w:rPr>
          <w:rFonts w:ascii="Times New Roman" w:eastAsiaTheme="minorEastAsia" w:hAnsi="Times New Roman" w:cs="Times New Roman"/>
          <w:sz w:val="24"/>
          <w:szCs w:val="24"/>
        </w:rPr>
        <w:t xml:space="preserve"> from the survey design </w:t>
      </w:r>
      <w:r w:rsidR="00121C95">
        <w:rPr>
          <w:rFonts w:ascii="Times New Roman" w:eastAsiaTheme="minorEastAsia" w:hAnsi="Times New Roman" w:cs="Times New Roman"/>
          <w:sz w:val="24"/>
          <w:szCs w:val="24"/>
        </w:rPr>
        <w:t>as an example</w:t>
      </w:r>
      <w:r w:rsidR="00A66BB4">
        <w:rPr>
          <w:rFonts w:ascii="Times New Roman" w:eastAsiaTheme="minorEastAsia" w:hAnsi="Times New Roman" w:cs="Times New Roman"/>
          <w:sz w:val="24"/>
          <w:szCs w:val="24"/>
        </w:rPr>
        <w:t xml:space="preserve">, the 95% confidence interval widths </w:t>
      </w:r>
      <w:r w:rsidR="00F37A2E">
        <w:rPr>
          <w:rFonts w:ascii="Times New Roman" w:eastAsiaTheme="minorEastAsia" w:hAnsi="Times New Roman" w:cs="Times New Roman"/>
          <w:sz w:val="24"/>
          <w:szCs w:val="24"/>
        </w:rPr>
        <w:t xml:space="preserve">were only </w:t>
      </w:r>
      <w:r w:rsidR="00580127">
        <w:rPr>
          <w:rFonts w:ascii="Times New Roman" w:eastAsiaTheme="minorEastAsia" w:hAnsi="Times New Roman" w:cs="Times New Roman"/>
          <w:sz w:val="24"/>
          <w:szCs w:val="24"/>
        </w:rPr>
        <w:t>.</w:t>
      </w:r>
      <w:r w:rsidR="00546FB5">
        <w:rPr>
          <w:rFonts w:ascii="Times New Roman" w:eastAsiaTheme="minorEastAsia" w:hAnsi="Times New Roman" w:cs="Times New Roman"/>
          <w:sz w:val="24"/>
          <w:szCs w:val="24"/>
        </w:rPr>
        <w:t>06% and .03%, respectively.</w:t>
      </w:r>
      <w:r w:rsidR="002F702C">
        <w:rPr>
          <w:rFonts w:ascii="Times New Roman" w:eastAsiaTheme="minorEastAsia" w:hAnsi="Times New Roman" w:cs="Times New Roman"/>
          <w:sz w:val="24"/>
          <w:szCs w:val="24"/>
        </w:rPr>
        <w:t xml:space="preserve"> Even with the estimated coefficients being relatively small in magnitude, these interval widths are </w:t>
      </w:r>
      <w:r w:rsidR="004F25AC">
        <w:rPr>
          <w:rFonts w:ascii="Times New Roman" w:eastAsiaTheme="minorEastAsia" w:hAnsi="Times New Roman" w:cs="Times New Roman"/>
          <w:sz w:val="24"/>
          <w:szCs w:val="24"/>
        </w:rPr>
        <w:t>incredibly narrow, implying a fair deal of precision is present in our estimates.</w:t>
      </w:r>
    </w:p>
    <w:p w14:paraId="0EF9AF1E" w14:textId="10D48681" w:rsidR="008761BD" w:rsidRDefault="00442314" w:rsidP="00014682">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an opposite manner </w:t>
      </w:r>
      <w:r w:rsidR="009B20DD">
        <w:rPr>
          <w:rFonts w:ascii="Times New Roman" w:eastAsiaTheme="minorEastAsia" w:hAnsi="Times New Roman" w:cs="Times New Roman"/>
          <w:sz w:val="24"/>
          <w:szCs w:val="24"/>
        </w:rPr>
        <w:t xml:space="preserve">to the previous result </w:t>
      </w:r>
      <w:r>
        <w:rPr>
          <w:rFonts w:ascii="Times New Roman" w:eastAsiaTheme="minorEastAsia" w:hAnsi="Times New Roman" w:cs="Times New Roman"/>
          <w:sz w:val="24"/>
          <w:szCs w:val="24"/>
        </w:rPr>
        <w:t>in the sense of the betterment of individuals’ lives</w:t>
      </w:r>
      <w:r w:rsidR="00D8438F">
        <w:rPr>
          <w:rFonts w:ascii="Times New Roman" w:eastAsiaTheme="minorEastAsia" w:hAnsi="Times New Roman" w:cs="Times New Roman"/>
          <w:sz w:val="24"/>
          <w:szCs w:val="24"/>
        </w:rPr>
        <w:t xml:space="preserve"> and ease of access to health care</w:t>
      </w:r>
      <w:r>
        <w:rPr>
          <w:rFonts w:ascii="Times New Roman" w:eastAsiaTheme="minorEastAsia" w:hAnsi="Times New Roman" w:cs="Times New Roman"/>
          <w:sz w:val="24"/>
          <w:szCs w:val="24"/>
        </w:rPr>
        <w:t xml:space="preserve">, </w:t>
      </w:r>
      <w:r w:rsidR="007A53C9">
        <w:rPr>
          <w:rFonts w:ascii="Times New Roman" w:eastAsiaTheme="minorEastAsia" w:hAnsi="Times New Roman" w:cs="Times New Roman"/>
          <w:sz w:val="24"/>
          <w:szCs w:val="24"/>
        </w:rPr>
        <w:t xml:space="preserve">our regression results similarly </w:t>
      </w:r>
      <w:r w:rsidR="00BC5870">
        <w:rPr>
          <w:rFonts w:ascii="Times New Roman" w:eastAsiaTheme="minorEastAsia" w:hAnsi="Times New Roman" w:cs="Times New Roman"/>
          <w:sz w:val="24"/>
          <w:szCs w:val="24"/>
        </w:rPr>
        <w:t xml:space="preserve">consistently </w:t>
      </w:r>
      <w:r w:rsidR="007A53C9">
        <w:rPr>
          <w:rFonts w:ascii="Times New Roman" w:eastAsiaTheme="minorEastAsia" w:hAnsi="Times New Roman" w:cs="Times New Roman"/>
          <w:sz w:val="24"/>
          <w:szCs w:val="24"/>
        </w:rPr>
        <w:t xml:space="preserve">showed a positive relationship between reinsurance and the proportion of individuals who suffered from </w:t>
      </w:r>
      <w:r w:rsidR="00DC2BB9">
        <w:rPr>
          <w:rFonts w:ascii="Times New Roman" w:eastAsiaTheme="minorEastAsia" w:hAnsi="Times New Roman" w:cs="Times New Roman"/>
          <w:sz w:val="24"/>
          <w:szCs w:val="24"/>
        </w:rPr>
        <w:t xml:space="preserve">physical distress in the past month, as well as the proportion of those who needed to delay or forgo medical care due to excessive costs. In the former outcome, </w:t>
      </w:r>
      <w:r w:rsidR="008D2CB4">
        <w:rPr>
          <w:rFonts w:ascii="Times New Roman" w:eastAsiaTheme="minorEastAsia" w:hAnsi="Times New Roman" w:cs="Times New Roman"/>
          <w:sz w:val="24"/>
          <w:szCs w:val="24"/>
        </w:rPr>
        <w:t>table 4a</w:t>
      </w:r>
      <w:r w:rsidR="00640116">
        <w:rPr>
          <w:rFonts w:ascii="Times New Roman" w:eastAsiaTheme="minorEastAsia" w:hAnsi="Times New Roman" w:cs="Times New Roman"/>
          <w:sz w:val="24"/>
          <w:szCs w:val="24"/>
        </w:rPr>
        <w:t xml:space="preserve"> shows that </w:t>
      </w:r>
      <w:r w:rsidR="00F130A8">
        <w:rPr>
          <w:rFonts w:ascii="Times New Roman" w:eastAsiaTheme="minorEastAsia" w:hAnsi="Times New Roman" w:cs="Times New Roman"/>
          <w:sz w:val="24"/>
          <w:szCs w:val="24"/>
        </w:rPr>
        <w:t xml:space="preserve">standard DID methods gave estimators ranging from </w:t>
      </w:r>
      <w:r w:rsidR="00792E81">
        <w:rPr>
          <w:rFonts w:ascii="Times New Roman" w:eastAsiaTheme="minorEastAsia" w:hAnsi="Times New Roman" w:cs="Times New Roman"/>
          <w:sz w:val="24"/>
          <w:szCs w:val="24"/>
        </w:rPr>
        <w:t>a .9</w:t>
      </w:r>
      <w:r w:rsidR="00BE6493">
        <w:rPr>
          <w:rFonts w:ascii="Times New Roman" w:eastAsiaTheme="minorEastAsia" w:hAnsi="Times New Roman" w:cs="Times New Roman"/>
          <w:sz w:val="24"/>
          <w:szCs w:val="24"/>
        </w:rPr>
        <w:t>7</w:t>
      </w:r>
      <w:r w:rsidR="00792E81">
        <w:rPr>
          <w:rFonts w:ascii="Times New Roman" w:eastAsiaTheme="minorEastAsia" w:hAnsi="Times New Roman" w:cs="Times New Roman"/>
          <w:sz w:val="24"/>
          <w:szCs w:val="24"/>
        </w:rPr>
        <w:t xml:space="preserve">% to a 1.08% </w:t>
      </w:r>
      <w:r w:rsidR="00B001F8">
        <w:rPr>
          <w:rFonts w:ascii="Times New Roman" w:eastAsiaTheme="minorEastAsia" w:hAnsi="Times New Roman" w:cs="Times New Roman"/>
          <w:sz w:val="24"/>
          <w:szCs w:val="24"/>
        </w:rPr>
        <w:t xml:space="preserve">increase for early treatment states and from a </w:t>
      </w:r>
      <w:r w:rsidR="00A238BF">
        <w:rPr>
          <w:rFonts w:ascii="Times New Roman" w:eastAsiaTheme="minorEastAsia" w:hAnsi="Times New Roman" w:cs="Times New Roman"/>
          <w:sz w:val="24"/>
          <w:szCs w:val="24"/>
        </w:rPr>
        <w:t xml:space="preserve">1.63% to 1.81% for the later treatment states whereas DID with PSM produced estimators ranging from </w:t>
      </w:r>
      <w:r w:rsidR="00AD1875">
        <w:rPr>
          <w:rFonts w:ascii="Times New Roman" w:eastAsiaTheme="minorEastAsia" w:hAnsi="Times New Roman" w:cs="Times New Roman"/>
          <w:sz w:val="24"/>
          <w:szCs w:val="24"/>
        </w:rPr>
        <w:t>a .8</w:t>
      </w:r>
      <w:r w:rsidR="00722A1D">
        <w:rPr>
          <w:rFonts w:ascii="Times New Roman" w:eastAsiaTheme="minorEastAsia" w:hAnsi="Times New Roman" w:cs="Times New Roman"/>
          <w:sz w:val="24"/>
          <w:szCs w:val="24"/>
        </w:rPr>
        <w:t>3</w:t>
      </w:r>
      <w:r w:rsidR="006830B9">
        <w:rPr>
          <w:rFonts w:ascii="Times New Roman" w:eastAsiaTheme="minorEastAsia" w:hAnsi="Times New Roman" w:cs="Times New Roman"/>
          <w:sz w:val="24"/>
          <w:szCs w:val="24"/>
        </w:rPr>
        <w:t xml:space="preserve">% to a .97% increase for the early treatment states and a </w:t>
      </w:r>
      <w:r w:rsidR="00864003">
        <w:rPr>
          <w:rFonts w:ascii="Times New Roman" w:eastAsiaTheme="minorEastAsia" w:hAnsi="Times New Roman" w:cs="Times New Roman"/>
          <w:sz w:val="24"/>
          <w:szCs w:val="24"/>
        </w:rPr>
        <w:t>1.47% to 1.59% increase for the late treatment states. In the case of the latter outcome,</w:t>
      </w:r>
      <w:r w:rsidR="00AF7D4C">
        <w:rPr>
          <w:rFonts w:ascii="Times New Roman" w:eastAsiaTheme="minorEastAsia" w:hAnsi="Times New Roman" w:cs="Times New Roman"/>
          <w:sz w:val="24"/>
          <w:szCs w:val="24"/>
        </w:rPr>
        <w:t xml:space="preserve"> table 7a exhibits</w:t>
      </w:r>
      <w:r w:rsidR="00864003">
        <w:rPr>
          <w:rFonts w:ascii="Times New Roman" w:eastAsiaTheme="minorEastAsia" w:hAnsi="Times New Roman" w:cs="Times New Roman"/>
          <w:sz w:val="24"/>
          <w:szCs w:val="24"/>
        </w:rPr>
        <w:t xml:space="preserve"> standard DID</w:t>
      </w:r>
      <w:r w:rsidR="00E56A56">
        <w:rPr>
          <w:rFonts w:ascii="Times New Roman" w:eastAsiaTheme="minorEastAsia" w:hAnsi="Times New Roman" w:cs="Times New Roman"/>
          <w:sz w:val="24"/>
          <w:szCs w:val="24"/>
        </w:rPr>
        <w:t xml:space="preserve"> results</w:t>
      </w:r>
      <w:r w:rsidR="00E84D83">
        <w:rPr>
          <w:rFonts w:ascii="Times New Roman" w:eastAsiaTheme="minorEastAsia" w:hAnsi="Times New Roman" w:cs="Times New Roman"/>
          <w:sz w:val="24"/>
          <w:szCs w:val="24"/>
        </w:rPr>
        <w:t xml:space="preserve"> that</w:t>
      </w:r>
      <w:r w:rsidR="00864003">
        <w:rPr>
          <w:rFonts w:ascii="Times New Roman" w:eastAsiaTheme="minorEastAsia" w:hAnsi="Times New Roman" w:cs="Times New Roman"/>
          <w:sz w:val="24"/>
          <w:szCs w:val="24"/>
        </w:rPr>
        <w:t xml:space="preserve"> </w:t>
      </w:r>
      <w:r w:rsidR="00D5636D">
        <w:rPr>
          <w:rFonts w:ascii="Times New Roman" w:eastAsiaTheme="minorEastAsia" w:hAnsi="Times New Roman" w:cs="Times New Roman"/>
          <w:sz w:val="24"/>
          <w:szCs w:val="24"/>
        </w:rPr>
        <w:t xml:space="preserve">ranged from a </w:t>
      </w:r>
      <w:r w:rsidR="00B501F2">
        <w:rPr>
          <w:rFonts w:ascii="Times New Roman" w:eastAsiaTheme="minorEastAsia" w:hAnsi="Times New Roman" w:cs="Times New Roman"/>
          <w:sz w:val="24"/>
          <w:szCs w:val="24"/>
        </w:rPr>
        <w:t>.9</w:t>
      </w:r>
      <w:r w:rsidR="00857DAC">
        <w:rPr>
          <w:rFonts w:ascii="Times New Roman" w:eastAsiaTheme="minorEastAsia" w:hAnsi="Times New Roman" w:cs="Times New Roman"/>
          <w:sz w:val="24"/>
          <w:szCs w:val="24"/>
        </w:rPr>
        <w:t>5</w:t>
      </w:r>
      <w:r w:rsidR="00B501F2">
        <w:rPr>
          <w:rFonts w:ascii="Times New Roman" w:eastAsiaTheme="minorEastAsia" w:hAnsi="Times New Roman" w:cs="Times New Roman"/>
          <w:sz w:val="24"/>
          <w:szCs w:val="24"/>
        </w:rPr>
        <w:t>% to 1.0</w:t>
      </w:r>
      <w:r w:rsidR="00857DAC">
        <w:rPr>
          <w:rFonts w:ascii="Times New Roman" w:eastAsiaTheme="minorEastAsia" w:hAnsi="Times New Roman" w:cs="Times New Roman"/>
          <w:sz w:val="24"/>
          <w:szCs w:val="24"/>
        </w:rPr>
        <w:t>8</w:t>
      </w:r>
      <w:r w:rsidR="00B501F2">
        <w:rPr>
          <w:rFonts w:ascii="Times New Roman" w:eastAsiaTheme="minorEastAsia" w:hAnsi="Times New Roman" w:cs="Times New Roman"/>
          <w:sz w:val="24"/>
          <w:szCs w:val="24"/>
        </w:rPr>
        <w:t xml:space="preserve">% increase for the </w:t>
      </w:r>
      <w:r w:rsidR="009B20DD">
        <w:rPr>
          <w:rFonts w:ascii="Times New Roman" w:eastAsiaTheme="minorEastAsia" w:hAnsi="Times New Roman" w:cs="Times New Roman"/>
          <w:sz w:val="24"/>
          <w:szCs w:val="24"/>
        </w:rPr>
        <w:t xml:space="preserve">early treatment </w:t>
      </w:r>
      <w:r w:rsidR="003E7CEC">
        <w:rPr>
          <w:rFonts w:ascii="Times New Roman" w:eastAsiaTheme="minorEastAsia" w:hAnsi="Times New Roman" w:cs="Times New Roman"/>
          <w:sz w:val="24"/>
          <w:szCs w:val="24"/>
        </w:rPr>
        <w:t>estimator</w:t>
      </w:r>
      <w:r w:rsidR="009B20DD">
        <w:rPr>
          <w:rFonts w:ascii="Times New Roman" w:eastAsiaTheme="minorEastAsia" w:hAnsi="Times New Roman" w:cs="Times New Roman"/>
          <w:sz w:val="24"/>
          <w:szCs w:val="24"/>
        </w:rPr>
        <w:t xml:space="preserve"> and between a </w:t>
      </w:r>
      <w:r w:rsidR="003E7CEC">
        <w:rPr>
          <w:rFonts w:ascii="Times New Roman" w:eastAsiaTheme="minorEastAsia" w:hAnsi="Times New Roman" w:cs="Times New Roman"/>
          <w:sz w:val="24"/>
          <w:szCs w:val="24"/>
        </w:rPr>
        <w:t>1.4</w:t>
      </w:r>
      <w:r w:rsidR="00F746FF">
        <w:rPr>
          <w:rFonts w:ascii="Times New Roman" w:eastAsiaTheme="minorEastAsia" w:hAnsi="Times New Roman" w:cs="Times New Roman"/>
          <w:sz w:val="24"/>
          <w:szCs w:val="24"/>
        </w:rPr>
        <w:t>2</w:t>
      </w:r>
      <w:r w:rsidR="003E7CEC">
        <w:rPr>
          <w:rFonts w:ascii="Times New Roman" w:eastAsiaTheme="minorEastAsia" w:hAnsi="Times New Roman" w:cs="Times New Roman"/>
          <w:sz w:val="24"/>
          <w:szCs w:val="24"/>
        </w:rPr>
        <w:t>% to 1.59% increase for the late treatment estimator</w:t>
      </w:r>
      <w:r w:rsidR="00E56A56">
        <w:rPr>
          <w:rFonts w:ascii="Times New Roman" w:eastAsiaTheme="minorEastAsia" w:hAnsi="Times New Roman" w:cs="Times New Roman"/>
          <w:sz w:val="24"/>
          <w:szCs w:val="24"/>
        </w:rPr>
        <w:t xml:space="preserve">. For this outcome, DID with PSM </w:t>
      </w:r>
      <w:r w:rsidR="003E0FC7">
        <w:rPr>
          <w:rFonts w:ascii="Times New Roman" w:eastAsiaTheme="minorEastAsia" w:hAnsi="Times New Roman" w:cs="Times New Roman"/>
          <w:sz w:val="24"/>
          <w:szCs w:val="24"/>
        </w:rPr>
        <w:t>estimators were</w:t>
      </w:r>
      <w:r w:rsidR="005D6A92">
        <w:rPr>
          <w:rFonts w:ascii="Times New Roman" w:eastAsiaTheme="minorEastAsia" w:hAnsi="Times New Roman" w:cs="Times New Roman"/>
          <w:sz w:val="24"/>
          <w:szCs w:val="24"/>
        </w:rPr>
        <w:t xml:space="preserve"> approximately</w:t>
      </w:r>
      <w:r w:rsidR="003E0FC7">
        <w:rPr>
          <w:rFonts w:ascii="Times New Roman" w:eastAsiaTheme="minorEastAsia" w:hAnsi="Times New Roman" w:cs="Times New Roman"/>
          <w:sz w:val="24"/>
          <w:szCs w:val="24"/>
        </w:rPr>
        <w:t xml:space="preserve"> between a </w:t>
      </w:r>
      <w:r w:rsidR="004D6B2A">
        <w:rPr>
          <w:rFonts w:ascii="Times New Roman" w:eastAsiaTheme="minorEastAsia" w:hAnsi="Times New Roman" w:cs="Times New Roman"/>
          <w:sz w:val="24"/>
          <w:szCs w:val="24"/>
        </w:rPr>
        <w:t>.</w:t>
      </w:r>
      <w:r w:rsidR="005D6A92">
        <w:rPr>
          <w:rFonts w:ascii="Times New Roman" w:eastAsiaTheme="minorEastAsia" w:hAnsi="Times New Roman" w:cs="Times New Roman"/>
          <w:sz w:val="24"/>
          <w:szCs w:val="24"/>
        </w:rPr>
        <w:t>6</w:t>
      </w:r>
      <w:r w:rsidR="004D6B2A">
        <w:rPr>
          <w:rFonts w:ascii="Times New Roman" w:eastAsiaTheme="minorEastAsia" w:hAnsi="Times New Roman" w:cs="Times New Roman"/>
          <w:sz w:val="24"/>
          <w:szCs w:val="24"/>
        </w:rPr>
        <w:t>% to .9</w:t>
      </w:r>
      <w:r w:rsidR="005D6A92">
        <w:rPr>
          <w:rFonts w:ascii="Times New Roman" w:eastAsiaTheme="minorEastAsia" w:hAnsi="Times New Roman" w:cs="Times New Roman"/>
          <w:sz w:val="24"/>
          <w:szCs w:val="24"/>
        </w:rPr>
        <w:t>6</w:t>
      </w:r>
      <w:r w:rsidR="004D6B2A">
        <w:rPr>
          <w:rFonts w:ascii="Times New Roman" w:eastAsiaTheme="minorEastAsia" w:hAnsi="Times New Roman" w:cs="Times New Roman"/>
          <w:sz w:val="24"/>
          <w:szCs w:val="24"/>
        </w:rPr>
        <w:t>% increase for the earl</w:t>
      </w:r>
      <w:r w:rsidR="006C04B1">
        <w:rPr>
          <w:rFonts w:ascii="Times New Roman" w:eastAsiaTheme="minorEastAsia" w:hAnsi="Times New Roman" w:cs="Times New Roman"/>
          <w:sz w:val="24"/>
          <w:szCs w:val="24"/>
        </w:rPr>
        <w:t>y treatment</w:t>
      </w:r>
      <w:r w:rsidR="004D6B2A">
        <w:rPr>
          <w:rFonts w:ascii="Times New Roman" w:eastAsiaTheme="minorEastAsia" w:hAnsi="Times New Roman" w:cs="Times New Roman"/>
          <w:sz w:val="24"/>
          <w:szCs w:val="24"/>
        </w:rPr>
        <w:t xml:space="preserve"> and between a </w:t>
      </w:r>
      <w:r w:rsidR="00AB68F0">
        <w:rPr>
          <w:rFonts w:ascii="Times New Roman" w:eastAsiaTheme="minorEastAsia" w:hAnsi="Times New Roman" w:cs="Times New Roman"/>
          <w:sz w:val="24"/>
          <w:szCs w:val="24"/>
        </w:rPr>
        <w:t>1.</w:t>
      </w:r>
      <w:r w:rsidR="004A5B7A">
        <w:rPr>
          <w:rFonts w:ascii="Times New Roman" w:eastAsiaTheme="minorEastAsia" w:hAnsi="Times New Roman" w:cs="Times New Roman"/>
          <w:sz w:val="24"/>
          <w:szCs w:val="24"/>
        </w:rPr>
        <w:t>04</w:t>
      </w:r>
      <w:r w:rsidR="00AB68F0">
        <w:rPr>
          <w:rFonts w:ascii="Times New Roman" w:eastAsiaTheme="minorEastAsia" w:hAnsi="Times New Roman" w:cs="Times New Roman"/>
          <w:sz w:val="24"/>
          <w:szCs w:val="24"/>
        </w:rPr>
        <w:t xml:space="preserve">% to </w:t>
      </w:r>
      <w:r w:rsidR="00E3453B">
        <w:rPr>
          <w:rFonts w:ascii="Times New Roman" w:eastAsiaTheme="minorEastAsia" w:hAnsi="Times New Roman" w:cs="Times New Roman"/>
          <w:sz w:val="24"/>
          <w:szCs w:val="24"/>
        </w:rPr>
        <w:t xml:space="preserve">1.55% increase for the later </w:t>
      </w:r>
      <w:r w:rsidR="006C04B1">
        <w:rPr>
          <w:rFonts w:ascii="Times New Roman" w:eastAsiaTheme="minorEastAsia" w:hAnsi="Times New Roman" w:cs="Times New Roman"/>
          <w:sz w:val="24"/>
          <w:szCs w:val="24"/>
        </w:rPr>
        <w:t>treatment group</w:t>
      </w:r>
      <w:r w:rsidR="00E3453B">
        <w:rPr>
          <w:rFonts w:ascii="Times New Roman" w:eastAsiaTheme="minorEastAsia" w:hAnsi="Times New Roman" w:cs="Times New Roman"/>
          <w:sz w:val="24"/>
          <w:szCs w:val="24"/>
        </w:rPr>
        <w:t xml:space="preserve">. These </w:t>
      </w:r>
      <w:r w:rsidR="0059463B">
        <w:rPr>
          <w:rFonts w:ascii="Times New Roman" w:eastAsiaTheme="minorEastAsia" w:hAnsi="Times New Roman" w:cs="Times New Roman"/>
          <w:sz w:val="24"/>
          <w:szCs w:val="24"/>
        </w:rPr>
        <w:t xml:space="preserve">estimator coefficients suggest </w:t>
      </w:r>
      <w:r w:rsidR="00432D02">
        <w:rPr>
          <w:rFonts w:ascii="Times New Roman" w:eastAsiaTheme="minorEastAsia" w:hAnsi="Times New Roman" w:cs="Times New Roman"/>
          <w:sz w:val="24"/>
          <w:szCs w:val="24"/>
        </w:rPr>
        <w:t xml:space="preserve">an interesting dynamic between reinsurance implementation and </w:t>
      </w:r>
      <w:r w:rsidR="00B63080">
        <w:rPr>
          <w:rFonts w:ascii="Times New Roman" w:eastAsiaTheme="minorEastAsia" w:hAnsi="Times New Roman" w:cs="Times New Roman"/>
          <w:sz w:val="24"/>
          <w:szCs w:val="24"/>
        </w:rPr>
        <w:t xml:space="preserve">health outcomes, as </w:t>
      </w:r>
      <w:r w:rsidR="00277C57">
        <w:rPr>
          <w:rFonts w:ascii="Times New Roman" w:eastAsiaTheme="minorEastAsia" w:hAnsi="Times New Roman" w:cs="Times New Roman"/>
          <w:sz w:val="24"/>
          <w:szCs w:val="24"/>
        </w:rPr>
        <w:t>increases to these proportions represent less people receiving medical help</w:t>
      </w:r>
      <w:r w:rsidR="00666638">
        <w:rPr>
          <w:rFonts w:ascii="Times New Roman" w:eastAsiaTheme="minorEastAsia" w:hAnsi="Times New Roman" w:cs="Times New Roman"/>
          <w:sz w:val="24"/>
          <w:szCs w:val="24"/>
        </w:rPr>
        <w:t xml:space="preserve">, entirely due to </w:t>
      </w:r>
      <w:r w:rsidR="00963659">
        <w:rPr>
          <w:rFonts w:ascii="Times New Roman" w:eastAsiaTheme="minorEastAsia" w:hAnsi="Times New Roman" w:cs="Times New Roman"/>
          <w:sz w:val="24"/>
          <w:szCs w:val="24"/>
        </w:rPr>
        <w:t>excessive costs for receiving that service,</w:t>
      </w:r>
      <w:r w:rsidR="00277C57">
        <w:rPr>
          <w:rFonts w:ascii="Times New Roman" w:eastAsiaTheme="minorEastAsia" w:hAnsi="Times New Roman" w:cs="Times New Roman"/>
          <w:sz w:val="24"/>
          <w:szCs w:val="24"/>
        </w:rPr>
        <w:t xml:space="preserve"> and </w:t>
      </w:r>
      <w:r w:rsidR="00F000B1">
        <w:rPr>
          <w:rFonts w:ascii="Times New Roman" w:eastAsiaTheme="minorEastAsia" w:hAnsi="Times New Roman" w:cs="Times New Roman"/>
          <w:sz w:val="24"/>
          <w:szCs w:val="24"/>
        </w:rPr>
        <w:t>a greater proportion of</w:t>
      </w:r>
      <w:r w:rsidR="00F7128F">
        <w:rPr>
          <w:rFonts w:ascii="Times New Roman" w:eastAsiaTheme="minorEastAsia" w:hAnsi="Times New Roman" w:cs="Times New Roman"/>
          <w:sz w:val="24"/>
          <w:szCs w:val="24"/>
        </w:rPr>
        <w:t xml:space="preserve"> people </w:t>
      </w:r>
      <w:r w:rsidR="001D4E3C">
        <w:rPr>
          <w:rFonts w:ascii="Times New Roman" w:eastAsiaTheme="minorEastAsia" w:hAnsi="Times New Roman" w:cs="Times New Roman"/>
          <w:sz w:val="24"/>
          <w:szCs w:val="24"/>
        </w:rPr>
        <w:t>struggling with their physical health</w:t>
      </w:r>
      <w:r w:rsidR="00F000B1">
        <w:rPr>
          <w:rFonts w:ascii="Times New Roman" w:eastAsiaTheme="minorEastAsia" w:hAnsi="Times New Roman" w:cs="Times New Roman"/>
          <w:sz w:val="24"/>
          <w:szCs w:val="24"/>
        </w:rPr>
        <w:t xml:space="preserve"> for half of the month or more</w:t>
      </w:r>
      <w:r w:rsidR="001D4E3C">
        <w:rPr>
          <w:rFonts w:ascii="Times New Roman" w:eastAsiaTheme="minorEastAsia" w:hAnsi="Times New Roman" w:cs="Times New Roman"/>
          <w:sz w:val="24"/>
          <w:szCs w:val="24"/>
        </w:rPr>
        <w:t>.</w:t>
      </w:r>
      <w:r w:rsidR="000658A8">
        <w:rPr>
          <w:rFonts w:ascii="Times New Roman" w:eastAsiaTheme="minorEastAsia" w:hAnsi="Times New Roman" w:cs="Times New Roman"/>
          <w:sz w:val="24"/>
          <w:szCs w:val="24"/>
        </w:rPr>
        <w:t xml:space="preserve"> Like with the outcome measured in table 6a, the standard errors here, when applicable, are quite small in relation to </w:t>
      </w:r>
      <w:r w:rsidR="005A69B7">
        <w:rPr>
          <w:rFonts w:ascii="Times New Roman" w:eastAsiaTheme="minorEastAsia" w:hAnsi="Times New Roman" w:cs="Times New Roman"/>
          <w:sz w:val="24"/>
          <w:szCs w:val="24"/>
        </w:rPr>
        <w:t xml:space="preserve">the estimates themselves, again implying relatively precise estimates. It is worth noting </w:t>
      </w:r>
      <w:r w:rsidR="000F57A7">
        <w:rPr>
          <w:rFonts w:ascii="Times New Roman" w:eastAsiaTheme="minorEastAsia" w:hAnsi="Times New Roman" w:cs="Times New Roman"/>
          <w:sz w:val="24"/>
          <w:szCs w:val="24"/>
        </w:rPr>
        <w:t>that the DID with PSM estimates, which prior research has shown</w:t>
      </w:r>
      <w:r w:rsidR="00735C83">
        <w:rPr>
          <w:rFonts w:ascii="Times New Roman" w:eastAsiaTheme="minorEastAsia" w:hAnsi="Times New Roman" w:cs="Times New Roman"/>
          <w:sz w:val="24"/>
          <w:szCs w:val="24"/>
        </w:rPr>
        <w:t xml:space="preserve"> tend</w:t>
      </w:r>
      <w:r w:rsidR="000F57A7">
        <w:rPr>
          <w:rFonts w:ascii="Times New Roman" w:eastAsiaTheme="minorEastAsia" w:hAnsi="Times New Roman" w:cs="Times New Roman"/>
          <w:sz w:val="24"/>
          <w:szCs w:val="24"/>
        </w:rPr>
        <w:t xml:space="preserve"> to be more reliable, </w:t>
      </w:r>
      <w:r w:rsidR="00735C83">
        <w:rPr>
          <w:rFonts w:ascii="Times New Roman" w:eastAsiaTheme="minorEastAsia" w:hAnsi="Times New Roman" w:cs="Times New Roman"/>
          <w:sz w:val="24"/>
          <w:szCs w:val="24"/>
        </w:rPr>
        <w:t xml:space="preserve">are smaller on average than their standard DID counterparts, but that the difference is </w:t>
      </w:r>
      <w:r w:rsidR="00CD4320">
        <w:rPr>
          <w:rFonts w:ascii="Times New Roman" w:eastAsiaTheme="minorEastAsia" w:hAnsi="Times New Roman" w:cs="Times New Roman"/>
          <w:sz w:val="24"/>
          <w:szCs w:val="24"/>
        </w:rPr>
        <w:t xml:space="preserve">not monumental, </w:t>
      </w:r>
      <w:r w:rsidR="000D28DB">
        <w:rPr>
          <w:rFonts w:ascii="Times New Roman" w:eastAsiaTheme="minorEastAsia" w:hAnsi="Times New Roman" w:cs="Times New Roman"/>
          <w:sz w:val="24"/>
          <w:szCs w:val="24"/>
        </w:rPr>
        <w:t>and all estimates remain positive regardless of the model deployed.</w:t>
      </w:r>
    </w:p>
    <w:p w14:paraId="5666C294" w14:textId="7C56136F" w:rsidR="001D4E3C" w:rsidRDefault="001D4E3C" w:rsidP="00014682">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Alternatively, </w:t>
      </w:r>
      <w:r w:rsidR="00C36C50">
        <w:rPr>
          <w:rFonts w:ascii="Times New Roman" w:eastAsiaTheme="minorEastAsia" w:hAnsi="Times New Roman" w:cs="Times New Roman"/>
          <w:sz w:val="24"/>
          <w:szCs w:val="24"/>
        </w:rPr>
        <w:t xml:space="preserve">some other results </w:t>
      </w:r>
      <w:r w:rsidR="00213806">
        <w:rPr>
          <w:rFonts w:ascii="Times New Roman" w:eastAsiaTheme="minorEastAsia" w:hAnsi="Times New Roman" w:cs="Times New Roman"/>
          <w:sz w:val="24"/>
          <w:szCs w:val="24"/>
        </w:rPr>
        <w:t>indicated varying</w:t>
      </w:r>
      <w:r w:rsidR="00BF2F96">
        <w:rPr>
          <w:rFonts w:ascii="Times New Roman" w:eastAsiaTheme="minorEastAsia" w:hAnsi="Times New Roman" w:cs="Times New Roman"/>
          <w:sz w:val="24"/>
          <w:szCs w:val="24"/>
        </w:rPr>
        <w:t xml:space="preserve"> directional</w:t>
      </w:r>
      <w:r w:rsidR="00213806">
        <w:rPr>
          <w:rFonts w:ascii="Times New Roman" w:eastAsiaTheme="minorEastAsia" w:hAnsi="Times New Roman" w:cs="Times New Roman"/>
          <w:sz w:val="24"/>
          <w:szCs w:val="24"/>
        </w:rPr>
        <w:t xml:space="preserve"> impacts of reinsurance programs </w:t>
      </w:r>
      <w:r w:rsidR="00656201">
        <w:rPr>
          <w:rFonts w:ascii="Times New Roman" w:eastAsiaTheme="minorEastAsia" w:hAnsi="Times New Roman" w:cs="Times New Roman"/>
          <w:sz w:val="24"/>
          <w:szCs w:val="24"/>
        </w:rPr>
        <w:t>on health outcomes</w:t>
      </w:r>
      <w:r w:rsidR="00BB5AF8">
        <w:rPr>
          <w:rFonts w:ascii="Times New Roman" w:eastAsiaTheme="minorEastAsia" w:hAnsi="Times New Roman" w:cs="Times New Roman"/>
          <w:sz w:val="24"/>
          <w:szCs w:val="24"/>
        </w:rPr>
        <w:t xml:space="preserve">—that is, </w:t>
      </w:r>
      <w:r w:rsidR="00A25A1F">
        <w:rPr>
          <w:rFonts w:ascii="Times New Roman" w:eastAsiaTheme="minorEastAsia" w:hAnsi="Times New Roman" w:cs="Times New Roman"/>
          <w:sz w:val="24"/>
          <w:szCs w:val="24"/>
        </w:rPr>
        <w:t xml:space="preserve">for several outcomes, the </w:t>
      </w:r>
      <w:r w:rsidR="00794170">
        <w:rPr>
          <w:rFonts w:ascii="Times New Roman" w:eastAsiaTheme="minorEastAsia" w:hAnsi="Times New Roman" w:cs="Times New Roman"/>
          <w:sz w:val="24"/>
          <w:szCs w:val="24"/>
        </w:rPr>
        <w:t xml:space="preserve">two DID estimator coefficients had opposing signs, implying differing treatment effects for </w:t>
      </w:r>
      <w:r w:rsidR="005576ED">
        <w:rPr>
          <w:rFonts w:ascii="Times New Roman" w:eastAsiaTheme="minorEastAsia" w:hAnsi="Times New Roman" w:cs="Times New Roman"/>
          <w:sz w:val="24"/>
          <w:szCs w:val="24"/>
        </w:rPr>
        <w:t>each treatment group.</w:t>
      </w:r>
      <w:r w:rsidR="00BC78FD">
        <w:rPr>
          <w:rFonts w:ascii="Times New Roman" w:eastAsiaTheme="minorEastAsia" w:hAnsi="Times New Roman" w:cs="Times New Roman"/>
          <w:sz w:val="24"/>
          <w:szCs w:val="24"/>
        </w:rPr>
        <w:t xml:space="preserve"> In </w:t>
      </w:r>
      <w:r w:rsidR="00A50FBB">
        <w:rPr>
          <w:rFonts w:ascii="Times New Roman" w:eastAsiaTheme="minorEastAsia" w:hAnsi="Times New Roman" w:cs="Times New Roman"/>
          <w:sz w:val="24"/>
          <w:szCs w:val="24"/>
        </w:rPr>
        <w:t>one instance in particular</w:t>
      </w:r>
      <w:r w:rsidR="00BC78FD">
        <w:rPr>
          <w:rFonts w:ascii="Times New Roman" w:eastAsiaTheme="minorEastAsia" w:hAnsi="Times New Roman" w:cs="Times New Roman"/>
          <w:sz w:val="24"/>
          <w:szCs w:val="24"/>
        </w:rPr>
        <w:t>,</w:t>
      </w:r>
      <w:r w:rsidR="00A50FBB">
        <w:rPr>
          <w:rFonts w:ascii="Times New Roman" w:eastAsiaTheme="minorEastAsia" w:hAnsi="Times New Roman" w:cs="Times New Roman"/>
          <w:sz w:val="24"/>
          <w:szCs w:val="24"/>
        </w:rPr>
        <w:t xml:space="preserve"> the proportion of individuals who reported having good overall health in the past month,</w:t>
      </w:r>
      <w:r w:rsidR="002E3E9F">
        <w:rPr>
          <w:rFonts w:ascii="Times New Roman" w:eastAsiaTheme="minorEastAsia" w:hAnsi="Times New Roman" w:cs="Times New Roman"/>
          <w:sz w:val="24"/>
          <w:szCs w:val="24"/>
        </w:rPr>
        <w:t xml:space="preserve"> results for a given estimator conflicted </w:t>
      </w:r>
      <w:r w:rsidR="00883BF8">
        <w:rPr>
          <w:rFonts w:ascii="Times New Roman" w:eastAsiaTheme="minorEastAsia" w:hAnsi="Times New Roman" w:cs="Times New Roman"/>
          <w:sz w:val="24"/>
          <w:szCs w:val="24"/>
        </w:rPr>
        <w:t>with other results for that same estimator depending on the model developed—this is reflected in the late treatment estimator for this outcome,</w:t>
      </w:r>
      <w:r w:rsidR="00B82E75">
        <w:rPr>
          <w:rFonts w:ascii="Times New Roman" w:eastAsiaTheme="minorEastAsia" w:hAnsi="Times New Roman" w:cs="Times New Roman"/>
          <w:sz w:val="24"/>
          <w:szCs w:val="24"/>
        </w:rPr>
        <w:t xml:space="preserve"> where the standard DID approach yielded negative estimates, yet the addition of PSM gave positive estimates.</w:t>
      </w:r>
      <w:r w:rsidR="00BC78FD">
        <w:rPr>
          <w:rFonts w:ascii="Times New Roman" w:eastAsiaTheme="minorEastAsia" w:hAnsi="Times New Roman" w:cs="Times New Roman"/>
          <w:sz w:val="24"/>
          <w:szCs w:val="24"/>
        </w:rPr>
        <w:t xml:space="preserve"> </w:t>
      </w:r>
      <w:r w:rsidR="00B82E75">
        <w:rPr>
          <w:rFonts w:ascii="Times New Roman" w:eastAsiaTheme="minorEastAsia" w:hAnsi="Times New Roman" w:cs="Times New Roman"/>
          <w:sz w:val="24"/>
          <w:szCs w:val="24"/>
        </w:rPr>
        <w:t>In other cases</w:t>
      </w:r>
      <w:r w:rsidR="00465B4B">
        <w:rPr>
          <w:rFonts w:ascii="Times New Roman" w:eastAsiaTheme="minorEastAsia" w:hAnsi="Times New Roman" w:cs="Times New Roman"/>
          <w:sz w:val="24"/>
          <w:szCs w:val="24"/>
        </w:rPr>
        <w:t xml:space="preserve">, </w:t>
      </w:r>
      <w:r w:rsidR="00B82E75">
        <w:rPr>
          <w:rFonts w:ascii="Times New Roman" w:eastAsiaTheme="minorEastAsia" w:hAnsi="Times New Roman" w:cs="Times New Roman"/>
          <w:sz w:val="24"/>
          <w:szCs w:val="24"/>
        </w:rPr>
        <w:t>like</w:t>
      </w:r>
      <w:r w:rsidR="00D23E85">
        <w:rPr>
          <w:rFonts w:ascii="Times New Roman" w:eastAsiaTheme="minorEastAsia" w:hAnsi="Times New Roman" w:cs="Times New Roman"/>
          <w:sz w:val="24"/>
          <w:szCs w:val="24"/>
        </w:rPr>
        <w:t xml:space="preserve"> the proportion of individuals that reported having poor overall health last month, </w:t>
      </w:r>
      <w:r w:rsidR="00C73E7A">
        <w:rPr>
          <w:rFonts w:ascii="Times New Roman" w:eastAsiaTheme="minorEastAsia" w:hAnsi="Times New Roman" w:cs="Times New Roman"/>
          <w:sz w:val="24"/>
          <w:szCs w:val="24"/>
        </w:rPr>
        <w:t xml:space="preserve">table </w:t>
      </w:r>
      <w:r w:rsidR="00CA7225">
        <w:rPr>
          <w:rFonts w:ascii="Times New Roman" w:eastAsiaTheme="minorEastAsia" w:hAnsi="Times New Roman" w:cs="Times New Roman"/>
          <w:sz w:val="24"/>
          <w:szCs w:val="24"/>
        </w:rPr>
        <w:t xml:space="preserve">2a demonstrates </w:t>
      </w:r>
      <w:r w:rsidR="00C9499D">
        <w:rPr>
          <w:rFonts w:ascii="Times New Roman" w:eastAsiaTheme="minorEastAsia" w:hAnsi="Times New Roman" w:cs="Times New Roman"/>
          <w:sz w:val="24"/>
          <w:szCs w:val="24"/>
        </w:rPr>
        <w:t xml:space="preserve">that </w:t>
      </w:r>
      <w:r w:rsidR="0015132B">
        <w:rPr>
          <w:rFonts w:ascii="Times New Roman" w:eastAsiaTheme="minorEastAsia" w:hAnsi="Times New Roman" w:cs="Times New Roman"/>
          <w:sz w:val="24"/>
          <w:szCs w:val="24"/>
        </w:rPr>
        <w:t xml:space="preserve">results for all models of the early treatment states </w:t>
      </w:r>
      <w:r w:rsidR="00F44D4C">
        <w:rPr>
          <w:rFonts w:ascii="Times New Roman" w:eastAsiaTheme="minorEastAsia" w:hAnsi="Times New Roman" w:cs="Times New Roman"/>
          <w:sz w:val="24"/>
          <w:szCs w:val="24"/>
        </w:rPr>
        <w:t>yielded negative estimates</w:t>
      </w:r>
      <w:r w:rsidR="00397148">
        <w:rPr>
          <w:rFonts w:ascii="Times New Roman" w:eastAsiaTheme="minorEastAsia" w:hAnsi="Times New Roman" w:cs="Times New Roman"/>
          <w:sz w:val="24"/>
          <w:szCs w:val="24"/>
        </w:rPr>
        <w:t xml:space="preserve">, so decreases in the proportion, while the estimator for late treatment was consistently positive, so that reinsurance </w:t>
      </w:r>
      <w:r w:rsidR="00720170">
        <w:rPr>
          <w:rFonts w:ascii="Times New Roman" w:eastAsiaTheme="minorEastAsia" w:hAnsi="Times New Roman" w:cs="Times New Roman"/>
          <w:sz w:val="24"/>
          <w:szCs w:val="24"/>
        </w:rPr>
        <w:t xml:space="preserve">resulted in more individuals </w:t>
      </w:r>
      <w:r w:rsidR="00720170">
        <w:rPr>
          <w:rFonts w:ascii="Times New Roman" w:eastAsiaTheme="minorEastAsia" w:hAnsi="Times New Roman" w:cs="Times New Roman"/>
          <w:sz w:val="24"/>
          <w:szCs w:val="24"/>
        </w:rPr>
        <w:lastRenderedPageBreak/>
        <w:t xml:space="preserve">having poor overall health. </w:t>
      </w:r>
      <w:r w:rsidR="002C4CD2">
        <w:rPr>
          <w:rFonts w:ascii="Times New Roman" w:eastAsiaTheme="minorEastAsia" w:hAnsi="Times New Roman" w:cs="Times New Roman"/>
          <w:sz w:val="24"/>
          <w:szCs w:val="24"/>
        </w:rPr>
        <w:t>T</w:t>
      </w:r>
      <w:r w:rsidR="00DB2994">
        <w:rPr>
          <w:rFonts w:ascii="Times New Roman" w:eastAsiaTheme="minorEastAsia" w:hAnsi="Times New Roman" w:cs="Times New Roman"/>
          <w:sz w:val="24"/>
          <w:szCs w:val="24"/>
        </w:rPr>
        <w:t xml:space="preserve">he inverse occurrence [i.e., the early treatment effect being </w:t>
      </w:r>
      <w:r w:rsidR="008F5F6B">
        <w:rPr>
          <w:rFonts w:ascii="Times New Roman" w:eastAsiaTheme="minorEastAsia" w:hAnsi="Times New Roman" w:cs="Times New Roman"/>
          <w:sz w:val="24"/>
          <w:szCs w:val="24"/>
        </w:rPr>
        <w:t>positive</w:t>
      </w:r>
      <w:r w:rsidR="00DB2994">
        <w:rPr>
          <w:rFonts w:ascii="Times New Roman" w:eastAsiaTheme="minorEastAsia" w:hAnsi="Times New Roman" w:cs="Times New Roman"/>
          <w:sz w:val="24"/>
          <w:szCs w:val="24"/>
        </w:rPr>
        <w:t xml:space="preserve"> and the late treatment effect being </w:t>
      </w:r>
      <w:r w:rsidR="008F5F6B">
        <w:rPr>
          <w:rFonts w:ascii="Times New Roman" w:eastAsiaTheme="minorEastAsia" w:hAnsi="Times New Roman" w:cs="Times New Roman"/>
          <w:sz w:val="24"/>
          <w:szCs w:val="24"/>
        </w:rPr>
        <w:t>negative</w:t>
      </w:r>
      <w:r w:rsidR="00DB2994">
        <w:rPr>
          <w:rFonts w:ascii="Times New Roman" w:eastAsiaTheme="minorEastAsia" w:hAnsi="Times New Roman" w:cs="Times New Roman"/>
          <w:sz w:val="24"/>
          <w:szCs w:val="24"/>
        </w:rPr>
        <w:t xml:space="preserve">] </w:t>
      </w:r>
      <w:r w:rsidR="00622EDE">
        <w:rPr>
          <w:rFonts w:ascii="Times New Roman" w:eastAsiaTheme="minorEastAsia" w:hAnsi="Times New Roman" w:cs="Times New Roman"/>
          <w:sz w:val="24"/>
          <w:szCs w:val="24"/>
        </w:rPr>
        <w:t xml:space="preserve">existed with </w:t>
      </w:r>
      <w:r w:rsidR="008F5F6B">
        <w:rPr>
          <w:rFonts w:ascii="Times New Roman" w:eastAsiaTheme="minorEastAsia" w:hAnsi="Times New Roman" w:cs="Times New Roman"/>
          <w:sz w:val="24"/>
          <w:szCs w:val="24"/>
        </w:rPr>
        <w:t>the regressions of the proportion of individuals who have received an annual checkup</w:t>
      </w:r>
      <w:r w:rsidR="00F507E9">
        <w:rPr>
          <w:rFonts w:ascii="Times New Roman" w:eastAsiaTheme="minorEastAsia" w:hAnsi="Times New Roman" w:cs="Times New Roman"/>
          <w:sz w:val="24"/>
          <w:szCs w:val="24"/>
        </w:rPr>
        <w:t xml:space="preserve">, the proportion of individuals who </w:t>
      </w:r>
      <w:r w:rsidR="00745AB6">
        <w:rPr>
          <w:rFonts w:ascii="Times New Roman" w:eastAsiaTheme="minorEastAsia" w:hAnsi="Times New Roman" w:cs="Times New Roman"/>
          <w:sz w:val="24"/>
          <w:szCs w:val="24"/>
        </w:rPr>
        <w:t>suffered from mental distress in the past month,</w:t>
      </w:r>
      <w:r w:rsidR="008F5F6B">
        <w:rPr>
          <w:rFonts w:ascii="Times New Roman" w:eastAsiaTheme="minorEastAsia" w:hAnsi="Times New Roman" w:cs="Times New Roman"/>
          <w:sz w:val="24"/>
          <w:szCs w:val="24"/>
        </w:rPr>
        <w:t xml:space="preserve"> and the proportion of individuals who had some form of health coverage</w:t>
      </w:r>
      <w:r w:rsidR="00B7106C">
        <w:rPr>
          <w:rFonts w:ascii="Times New Roman" w:eastAsiaTheme="minorEastAsia" w:hAnsi="Times New Roman" w:cs="Times New Roman"/>
          <w:sz w:val="24"/>
          <w:szCs w:val="24"/>
        </w:rPr>
        <w:t xml:space="preserve">, although it should be stated </w:t>
      </w:r>
      <w:r w:rsidR="00DB76D2">
        <w:rPr>
          <w:rFonts w:ascii="Times New Roman" w:eastAsiaTheme="minorEastAsia" w:hAnsi="Times New Roman" w:cs="Times New Roman"/>
          <w:sz w:val="24"/>
          <w:szCs w:val="24"/>
        </w:rPr>
        <w:t xml:space="preserve">that these estimates trend towards a very minor magnitude, especially when compared to some other results such as the aforementioned one of the proportion of individuals </w:t>
      </w:r>
      <w:r w:rsidR="00810937">
        <w:rPr>
          <w:rFonts w:ascii="Times New Roman" w:eastAsiaTheme="minorEastAsia" w:hAnsi="Times New Roman" w:cs="Times New Roman"/>
          <w:sz w:val="24"/>
          <w:szCs w:val="24"/>
        </w:rPr>
        <w:t xml:space="preserve">who delayed medical care due to high costs. </w:t>
      </w:r>
    </w:p>
    <w:p w14:paraId="5F018F63" w14:textId="23A8B136" w:rsidR="005401BD" w:rsidRDefault="00FC5F11" w:rsidP="001A0517">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last case of</w:t>
      </w:r>
      <w:r w:rsidR="005979AD">
        <w:rPr>
          <w:rFonts w:ascii="Times New Roman" w:eastAsiaTheme="minorEastAsia" w:hAnsi="Times New Roman" w:cs="Times New Roman"/>
          <w:sz w:val="24"/>
          <w:szCs w:val="24"/>
        </w:rPr>
        <w:t xml:space="preserve"> situations where the early treatment effect was routinely positive and the late treatment effect was negative,</w:t>
      </w:r>
      <w:r w:rsidR="00072A53">
        <w:rPr>
          <w:rFonts w:ascii="Times New Roman" w:eastAsiaTheme="minorEastAsia" w:hAnsi="Times New Roman" w:cs="Times New Roman"/>
          <w:sz w:val="24"/>
          <w:szCs w:val="24"/>
        </w:rPr>
        <w:t xml:space="preserve"> when we considered</w:t>
      </w:r>
      <w:r>
        <w:rPr>
          <w:rFonts w:ascii="Times New Roman" w:eastAsiaTheme="minorEastAsia" w:hAnsi="Times New Roman" w:cs="Times New Roman"/>
          <w:sz w:val="24"/>
          <w:szCs w:val="24"/>
        </w:rPr>
        <w:t xml:space="preserve"> the proportion of individuals who had some form of health coverage, the result</w:t>
      </w:r>
      <w:r w:rsidR="00072A53">
        <w:rPr>
          <w:rFonts w:ascii="Times New Roman" w:eastAsiaTheme="minorEastAsia" w:hAnsi="Times New Roman" w:cs="Times New Roman"/>
          <w:sz w:val="24"/>
          <w:szCs w:val="24"/>
        </w:rPr>
        <w:t xml:space="preserve"> derived</w:t>
      </w:r>
      <w:r>
        <w:rPr>
          <w:rFonts w:ascii="Times New Roman" w:eastAsiaTheme="minorEastAsia" w:hAnsi="Times New Roman" w:cs="Times New Roman"/>
          <w:sz w:val="24"/>
          <w:szCs w:val="24"/>
        </w:rPr>
        <w:t xml:space="preserve"> is </w:t>
      </w:r>
      <w:r w:rsidR="00AA64C6">
        <w:rPr>
          <w:rFonts w:ascii="Times New Roman" w:eastAsiaTheme="minorEastAsia" w:hAnsi="Times New Roman" w:cs="Times New Roman"/>
          <w:sz w:val="24"/>
          <w:szCs w:val="24"/>
        </w:rPr>
        <w:t>relatively unexpected</w:t>
      </w:r>
      <w:r w:rsidR="00F363AB">
        <w:rPr>
          <w:rFonts w:ascii="Times New Roman" w:eastAsiaTheme="minorEastAsia" w:hAnsi="Times New Roman" w:cs="Times New Roman"/>
          <w:sz w:val="24"/>
          <w:szCs w:val="24"/>
        </w:rPr>
        <w:t>, p</w:t>
      </w:r>
      <w:r w:rsidR="00AA64C6">
        <w:rPr>
          <w:rFonts w:ascii="Times New Roman" w:eastAsiaTheme="minorEastAsia" w:hAnsi="Times New Roman" w:cs="Times New Roman"/>
          <w:sz w:val="24"/>
          <w:szCs w:val="24"/>
        </w:rPr>
        <w:t xml:space="preserve">articularly </w:t>
      </w:r>
      <w:r w:rsidR="00F363AB">
        <w:rPr>
          <w:rFonts w:ascii="Times New Roman" w:eastAsiaTheme="minorEastAsia" w:hAnsi="Times New Roman" w:cs="Times New Roman"/>
          <w:sz w:val="24"/>
          <w:szCs w:val="24"/>
        </w:rPr>
        <w:t>because</w:t>
      </w:r>
      <w:r w:rsidR="00317A69">
        <w:rPr>
          <w:rFonts w:ascii="Times New Roman" w:eastAsiaTheme="minorEastAsia" w:hAnsi="Times New Roman" w:cs="Times New Roman"/>
          <w:sz w:val="24"/>
          <w:szCs w:val="24"/>
        </w:rPr>
        <w:t xml:space="preserve"> states which have </w:t>
      </w:r>
      <w:r w:rsidR="009524A1">
        <w:rPr>
          <w:rFonts w:ascii="Times New Roman" w:eastAsiaTheme="minorEastAsia" w:hAnsi="Times New Roman" w:cs="Times New Roman"/>
          <w:sz w:val="24"/>
          <w:szCs w:val="24"/>
        </w:rPr>
        <w:t>been approved for 1332 waivers have experienced modest increases to their private health care insurance market enrollment rates</w:t>
      </w:r>
      <w:r w:rsidR="00F363AB">
        <w:rPr>
          <w:rFonts w:ascii="Times New Roman" w:eastAsiaTheme="minorEastAsia" w:hAnsi="Times New Roman" w:cs="Times New Roman"/>
          <w:sz w:val="24"/>
          <w:szCs w:val="24"/>
        </w:rPr>
        <w:t xml:space="preserve">; </w:t>
      </w:r>
      <w:r w:rsidR="009678F8">
        <w:rPr>
          <w:rFonts w:ascii="Times New Roman" w:eastAsiaTheme="minorEastAsia" w:hAnsi="Times New Roman" w:cs="Times New Roman"/>
          <w:sz w:val="24"/>
          <w:szCs w:val="24"/>
        </w:rPr>
        <w:t>our findings seem to</w:t>
      </w:r>
      <w:r w:rsidR="00D02AE7">
        <w:rPr>
          <w:rFonts w:ascii="Times New Roman" w:eastAsiaTheme="minorEastAsia" w:hAnsi="Times New Roman" w:cs="Times New Roman"/>
          <w:sz w:val="24"/>
          <w:szCs w:val="24"/>
        </w:rPr>
        <w:t xml:space="preserve"> run counter to this notion. They</w:t>
      </w:r>
      <w:r w:rsidR="009678F8">
        <w:rPr>
          <w:rFonts w:ascii="Times New Roman" w:eastAsiaTheme="minorEastAsia" w:hAnsi="Times New Roman" w:cs="Times New Roman"/>
          <w:sz w:val="24"/>
          <w:szCs w:val="24"/>
        </w:rPr>
        <w:t xml:space="preserve"> suggest that reinsurance programs in and of themselves do not directly cause </w:t>
      </w:r>
      <w:r w:rsidR="006F0159">
        <w:rPr>
          <w:rFonts w:ascii="Times New Roman" w:eastAsiaTheme="minorEastAsia" w:hAnsi="Times New Roman" w:cs="Times New Roman"/>
          <w:sz w:val="24"/>
          <w:szCs w:val="24"/>
        </w:rPr>
        <w:t xml:space="preserve">a higher proportion of citizens to possess some form of health insurance coverage. </w:t>
      </w:r>
      <w:r w:rsidR="00F3143D">
        <w:rPr>
          <w:rFonts w:ascii="Times New Roman" w:eastAsiaTheme="minorEastAsia" w:hAnsi="Times New Roman" w:cs="Times New Roman"/>
          <w:sz w:val="24"/>
          <w:szCs w:val="24"/>
        </w:rPr>
        <w:t xml:space="preserve">Most outcomes researched except for this one and, arguably, the proportion of individuals who delayed or </w:t>
      </w:r>
      <w:r w:rsidR="00184E65">
        <w:rPr>
          <w:rFonts w:ascii="Times New Roman" w:eastAsiaTheme="minorEastAsia" w:hAnsi="Times New Roman" w:cs="Times New Roman"/>
          <w:sz w:val="24"/>
          <w:szCs w:val="24"/>
        </w:rPr>
        <w:t>did not receive medical care due to excessive costs</w:t>
      </w:r>
      <w:r w:rsidR="00932E9A">
        <w:rPr>
          <w:rFonts w:ascii="Times New Roman" w:eastAsiaTheme="minorEastAsia" w:hAnsi="Times New Roman" w:cs="Times New Roman"/>
          <w:sz w:val="24"/>
          <w:szCs w:val="24"/>
        </w:rPr>
        <w:t>,</w:t>
      </w:r>
      <w:r w:rsidR="00BE795C">
        <w:rPr>
          <w:rFonts w:ascii="Times New Roman" w:eastAsiaTheme="minorEastAsia" w:hAnsi="Times New Roman" w:cs="Times New Roman"/>
          <w:sz w:val="24"/>
          <w:szCs w:val="24"/>
        </w:rPr>
        <w:t xml:space="preserve"> are quite downstream from the immediate market impacts on reinsurance; </w:t>
      </w:r>
      <w:r w:rsidR="002404CC">
        <w:rPr>
          <w:rFonts w:ascii="Times New Roman" w:eastAsiaTheme="minorEastAsia" w:hAnsi="Times New Roman" w:cs="Times New Roman"/>
          <w:sz w:val="24"/>
          <w:szCs w:val="24"/>
        </w:rPr>
        <w:t xml:space="preserve">however, these ones are directly connected to the premium pricing which reinsurance reduces. Thus, </w:t>
      </w:r>
      <w:r w:rsidR="00487541">
        <w:rPr>
          <w:rFonts w:ascii="Times New Roman" w:eastAsiaTheme="minorEastAsia" w:hAnsi="Times New Roman" w:cs="Times New Roman"/>
          <w:sz w:val="24"/>
          <w:szCs w:val="24"/>
        </w:rPr>
        <w:t>seeing</w:t>
      </w:r>
      <w:r w:rsidR="002404CC">
        <w:rPr>
          <w:rFonts w:ascii="Times New Roman" w:eastAsiaTheme="minorEastAsia" w:hAnsi="Times New Roman" w:cs="Times New Roman"/>
          <w:sz w:val="24"/>
          <w:szCs w:val="24"/>
        </w:rPr>
        <w:t xml:space="preserve"> these outcomes have mixed </w:t>
      </w:r>
      <w:r w:rsidR="00147A7B">
        <w:rPr>
          <w:rFonts w:ascii="Times New Roman" w:eastAsiaTheme="minorEastAsia" w:hAnsi="Times New Roman" w:cs="Times New Roman"/>
          <w:sz w:val="24"/>
          <w:szCs w:val="24"/>
        </w:rPr>
        <w:t>proportional shifts</w:t>
      </w:r>
      <w:r w:rsidR="002404CC">
        <w:rPr>
          <w:rFonts w:ascii="Times New Roman" w:eastAsiaTheme="minorEastAsia" w:hAnsi="Times New Roman" w:cs="Times New Roman"/>
          <w:sz w:val="24"/>
          <w:szCs w:val="24"/>
        </w:rPr>
        <w:t xml:space="preserve">, or even net negative effects </w:t>
      </w:r>
      <w:r w:rsidR="002D47AA">
        <w:rPr>
          <w:rFonts w:ascii="Times New Roman" w:eastAsiaTheme="minorEastAsia" w:hAnsi="Times New Roman" w:cs="Times New Roman"/>
          <w:sz w:val="24"/>
          <w:szCs w:val="24"/>
        </w:rPr>
        <w:t>regarding</w:t>
      </w:r>
      <w:r w:rsidR="00147A7B">
        <w:rPr>
          <w:rFonts w:ascii="Times New Roman" w:eastAsiaTheme="minorEastAsia" w:hAnsi="Times New Roman" w:cs="Times New Roman"/>
          <w:sz w:val="24"/>
          <w:szCs w:val="24"/>
        </w:rPr>
        <w:t xml:space="preserve"> </w:t>
      </w:r>
      <w:r w:rsidR="00DC32CC">
        <w:rPr>
          <w:rFonts w:ascii="Times New Roman" w:eastAsiaTheme="minorEastAsia" w:hAnsi="Times New Roman" w:cs="Times New Roman"/>
          <w:sz w:val="24"/>
          <w:szCs w:val="24"/>
        </w:rPr>
        <w:t>the ease and affordability of health care access</w:t>
      </w:r>
      <w:r w:rsidR="00487541">
        <w:rPr>
          <w:rFonts w:ascii="Times New Roman" w:eastAsiaTheme="minorEastAsia" w:hAnsi="Times New Roman" w:cs="Times New Roman"/>
          <w:sz w:val="24"/>
          <w:szCs w:val="24"/>
        </w:rPr>
        <w:t>, proved to be a surprise.</w:t>
      </w:r>
    </w:p>
    <w:p w14:paraId="19A33BC3" w14:textId="67970CE9" w:rsidR="00C66486" w:rsidRDefault="00E6705C" w:rsidP="001A0517">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summation of section 5, our results varied </w:t>
      </w:r>
      <w:r w:rsidR="00E75B38">
        <w:rPr>
          <w:rFonts w:ascii="Times New Roman" w:eastAsiaTheme="minorEastAsia" w:hAnsi="Times New Roman" w:cs="Times New Roman"/>
          <w:sz w:val="24"/>
          <w:szCs w:val="24"/>
        </w:rPr>
        <w:t>moderately significantly depend</w:t>
      </w:r>
      <w:r w:rsidR="00161147">
        <w:rPr>
          <w:rFonts w:ascii="Times New Roman" w:eastAsiaTheme="minorEastAsia" w:hAnsi="Times New Roman" w:cs="Times New Roman"/>
          <w:sz w:val="24"/>
          <w:szCs w:val="24"/>
        </w:rPr>
        <w:t>ing</w:t>
      </w:r>
      <w:r w:rsidR="00E75B38">
        <w:rPr>
          <w:rFonts w:ascii="Times New Roman" w:eastAsiaTheme="minorEastAsia" w:hAnsi="Times New Roman" w:cs="Times New Roman"/>
          <w:sz w:val="24"/>
          <w:szCs w:val="24"/>
        </w:rPr>
        <w:t xml:space="preserve"> on the outcome being investigated, and the exact model methodology that was utilized. </w:t>
      </w:r>
      <w:r w:rsidR="002B0E20">
        <w:rPr>
          <w:rFonts w:ascii="Times New Roman" w:eastAsiaTheme="minorEastAsia" w:hAnsi="Times New Roman" w:cs="Times New Roman"/>
          <w:sz w:val="24"/>
          <w:szCs w:val="24"/>
        </w:rPr>
        <w:t xml:space="preserve">As previously detailed, outcomes like the proportion of individuals </w:t>
      </w:r>
      <w:r w:rsidR="00797F00">
        <w:rPr>
          <w:rFonts w:ascii="Times New Roman" w:eastAsiaTheme="minorEastAsia" w:hAnsi="Times New Roman" w:cs="Times New Roman"/>
          <w:sz w:val="24"/>
          <w:szCs w:val="24"/>
        </w:rPr>
        <w:t xml:space="preserve">who needed to delay or forgo medical care due to cost limitations were quite consistent across the board, and </w:t>
      </w:r>
      <w:r w:rsidR="008C5A76">
        <w:rPr>
          <w:rFonts w:ascii="Times New Roman" w:eastAsiaTheme="minorEastAsia" w:hAnsi="Times New Roman" w:cs="Times New Roman"/>
          <w:sz w:val="24"/>
          <w:szCs w:val="24"/>
        </w:rPr>
        <w:t>contained estimates that were</w:t>
      </w:r>
      <w:r w:rsidR="00EA2871">
        <w:rPr>
          <w:rFonts w:ascii="Times New Roman" w:eastAsiaTheme="minorEastAsia" w:hAnsi="Times New Roman" w:cs="Times New Roman"/>
          <w:sz w:val="24"/>
          <w:szCs w:val="24"/>
        </w:rPr>
        <w:t xml:space="preserve">, compared to other outcome measures, </w:t>
      </w:r>
      <w:proofErr w:type="gramStart"/>
      <w:r w:rsidR="00005AFF">
        <w:rPr>
          <w:rFonts w:ascii="Times New Roman" w:eastAsiaTheme="minorEastAsia" w:hAnsi="Times New Roman" w:cs="Times New Roman"/>
          <w:sz w:val="24"/>
          <w:szCs w:val="24"/>
        </w:rPr>
        <w:t>fairly large</w:t>
      </w:r>
      <w:proofErr w:type="gramEnd"/>
      <w:r w:rsidR="00005AFF">
        <w:rPr>
          <w:rFonts w:ascii="Times New Roman" w:eastAsiaTheme="minorEastAsia" w:hAnsi="Times New Roman" w:cs="Times New Roman"/>
          <w:sz w:val="24"/>
          <w:szCs w:val="24"/>
        </w:rPr>
        <w:t xml:space="preserve"> in their magnitudes. On the other hand, some outcomes </w:t>
      </w:r>
      <w:r w:rsidR="009346C0">
        <w:rPr>
          <w:rFonts w:ascii="Times New Roman" w:eastAsiaTheme="minorEastAsia" w:hAnsi="Times New Roman" w:cs="Times New Roman"/>
          <w:sz w:val="24"/>
          <w:szCs w:val="24"/>
        </w:rPr>
        <w:t xml:space="preserve">yielded estimates that either were not consistent in their signage across all models, or that </w:t>
      </w:r>
      <w:r w:rsidR="00FD5495">
        <w:rPr>
          <w:rFonts w:ascii="Times New Roman" w:eastAsiaTheme="minorEastAsia" w:hAnsi="Times New Roman" w:cs="Times New Roman"/>
          <w:sz w:val="24"/>
          <w:szCs w:val="24"/>
        </w:rPr>
        <w:t>differed in their signage dependent on which treatment group was being considered</w:t>
      </w:r>
      <w:r w:rsidR="004245B5">
        <w:rPr>
          <w:rFonts w:ascii="Times New Roman" w:eastAsiaTheme="minorEastAsia" w:hAnsi="Times New Roman" w:cs="Times New Roman"/>
          <w:sz w:val="24"/>
          <w:szCs w:val="24"/>
        </w:rPr>
        <w:t xml:space="preserve">—further comments on these results, </w:t>
      </w:r>
      <w:r w:rsidR="002615D2">
        <w:rPr>
          <w:rFonts w:ascii="Times New Roman" w:eastAsiaTheme="minorEastAsia" w:hAnsi="Times New Roman" w:cs="Times New Roman"/>
          <w:sz w:val="24"/>
          <w:szCs w:val="24"/>
        </w:rPr>
        <w:t xml:space="preserve">their </w:t>
      </w:r>
      <w:r w:rsidR="003938C5">
        <w:rPr>
          <w:rFonts w:ascii="Times New Roman" w:eastAsiaTheme="minorEastAsia" w:hAnsi="Times New Roman" w:cs="Times New Roman"/>
          <w:sz w:val="24"/>
          <w:szCs w:val="24"/>
        </w:rPr>
        <w:t>implications,</w:t>
      </w:r>
      <w:r w:rsidR="002615D2">
        <w:rPr>
          <w:rFonts w:ascii="Times New Roman" w:eastAsiaTheme="minorEastAsia" w:hAnsi="Times New Roman" w:cs="Times New Roman"/>
          <w:sz w:val="24"/>
          <w:szCs w:val="24"/>
        </w:rPr>
        <w:t xml:space="preserve"> and potential rationalizations for </w:t>
      </w:r>
      <w:r w:rsidR="00F606AD">
        <w:rPr>
          <w:rFonts w:ascii="Times New Roman" w:eastAsiaTheme="minorEastAsia" w:hAnsi="Times New Roman" w:cs="Times New Roman"/>
          <w:sz w:val="24"/>
          <w:szCs w:val="24"/>
        </w:rPr>
        <w:t>the estimates we have obtained are present in the proceeding section.</w:t>
      </w:r>
    </w:p>
    <w:p w14:paraId="7FC725EE" w14:textId="16070E2E" w:rsidR="00C1332D" w:rsidRDefault="00C1332D" w:rsidP="001A0517">
      <w:pPr>
        <w:ind w:firstLine="720"/>
        <w:rPr>
          <w:rFonts w:ascii="Times New Roman" w:eastAsiaTheme="minorEastAsia" w:hAnsi="Times New Roman" w:cs="Times New Roman"/>
          <w:sz w:val="24"/>
          <w:szCs w:val="24"/>
        </w:rPr>
      </w:pPr>
    </w:p>
    <w:p w14:paraId="27B7B1C9" w14:textId="4D2C32E7" w:rsidR="00C1332D" w:rsidRDefault="00C1332D" w:rsidP="001A0517">
      <w:pPr>
        <w:ind w:firstLine="720"/>
        <w:rPr>
          <w:rFonts w:ascii="Times New Roman" w:eastAsiaTheme="minorEastAsia" w:hAnsi="Times New Roman" w:cs="Times New Roman"/>
          <w:sz w:val="24"/>
          <w:szCs w:val="24"/>
        </w:rPr>
      </w:pPr>
    </w:p>
    <w:p w14:paraId="33A99B50" w14:textId="0CB82C46" w:rsidR="00C1332D" w:rsidRDefault="00C1332D" w:rsidP="001A0517">
      <w:pPr>
        <w:ind w:firstLine="720"/>
        <w:rPr>
          <w:rFonts w:ascii="Times New Roman" w:eastAsiaTheme="minorEastAsia" w:hAnsi="Times New Roman" w:cs="Times New Roman"/>
          <w:sz w:val="24"/>
          <w:szCs w:val="24"/>
        </w:rPr>
      </w:pPr>
    </w:p>
    <w:p w14:paraId="1087359A" w14:textId="2E2002F4" w:rsidR="00C1332D" w:rsidRDefault="00C1332D" w:rsidP="001A0517">
      <w:pPr>
        <w:ind w:firstLine="720"/>
        <w:rPr>
          <w:rFonts w:ascii="Times New Roman" w:eastAsiaTheme="minorEastAsia" w:hAnsi="Times New Roman" w:cs="Times New Roman"/>
          <w:sz w:val="24"/>
          <w:szCs w:val="24"/>
        </w:rPr>
      </w:pPr>
    </w:p>
    <w:p w14:paraId="53A2E6E8" w14:textId="2709F066" w:rsidR="00C1332D" w:rsidRDefault="00C1332D" w:rsidP="00992029">
      <w:pPr>
        <w:rPr>
          <w:rFonts w:ascii="Times New Roman" w:eastAsiaTheme="minorEastAsia" w:hAnsi="Times New Roman" w:cs="Times New Roman"/>
          <w:sz w:val="24"/>
          <w:szCs w:val="24"/>
        </w:rPr>
      </w:pPr>
    </w:p>
    <w:p w14:paraId="435847CE" w14:textId="77777777" w:rsidR="00992029" w:rsidRDefault="00992029" w:rsidP="00992029">
      <w:pPr>
        <w:rPr>
          <w:rFonts w:ascii="Times New Roman" w:eastAsiaTheme="minorEastAsia" w:hAnsi="Times New Roman" w:cs="Times New Roman"/>
          <w:sz w:val="24"/>
          <w:szCs w:val="24"/>
        </w:rPr>
      </w:pPr>
    </w:p>
    <w:p w14:paraId="1FB1E2E2" w14:textId="3640E1B0" w:rsidR="00C1332D" w:rsidRDefault="00C1332D" w:rsidP="001A0517">
      <w:pPr>
        <w:ind w:firstLine="720"/>
        <w:rPr>
          <w:rFonts w:ascii="Times New Roman" w:eastAsiaTheme="minorEastAsia" w:hAnsi="Times New Roman" w:cs="Times New Roman"/>
          <w:sz w:val="24"/>
          <w:szCs w:val="24"/>
        </w:rPr>
      </w:pPr>
    </w:p>
    <w:p w14:paraId="721EDECC" w14:textId="77777777" w:rsidR="00C1332D" w:rsidRDefault="00C1332D" w:rsidP="004C479E">
      <w:pPr>
        <w:rPr>
          <w:rFonts w:ascii="Times New Roman" w:eastAsiaTheme="minorEastAsia" w:hAnsi="Times New Roman" w:cs="Times New Roman"/>
          <w:sz w:val="24"/>
          <w:szCs w:val="24"/>
        </w:rPr>
      </w:pPr>
    </w:p>
    <w:p w14:paraId="0E51006E" w14:textId="16166609" w:rsidR="00F735C2" w:rsidRDefault="00F866F7" w:rsidP="00232673">
      <w:pPr>
        <w:rPr>
          <w:rFonts w:ascii="Times New Roman" w:eastAsiaTheme="minorEastAsia" w:hAnsi="Times New Roman" w:cs="Times New Roman"/>
          <w:b/>
          <w:bCs/>
          <w:sz w:val="28"/>
          <w:szCs w:val="28"/>
          <w:u w:val="single"/>
        </w:rPr>
      </w:pPr>
      <w:r>
        <w:rPr>
          <w:rFonts w:ascii="Times New Roman" w:eastAsiaTheme="minorEastAsia" w:hAnsi="Times New Roman" w:cs="Times New Roman"/>
          <w:b/>
          <w:bCs/>
          <w:sz w:val="28"/>
          <w:szCs w:val="28"/>
          <w:u w:val="single"/>
        </w:rPr>
        <w:lastRenderedPageBreak/>
        <w:t xml:space="preserve">Section 6: </w:t>
      </w:r>
      <w:r w:rsidR="00F735C2">
        <w:rPr>
          <w:rFonts w:ascii="Times New Roman" w:eastAsiaTheme="minorEastAsia" w:hAnsi="Times New Roman" w:cs="Times New Roman"/>
          <w:b/>
          <w:bCs/>
          <w:sz w:val="28"/>
          <w:szCs w:val="28"/>
          <w:u w:val="single"/>
        </w:rPr>
        <w:t>Discussion</w:t>
      </w:r>
    </w:p>
    <w:p w14:paraId="5554CD28" w14:textId="04FDFF8A" w:rsidR="00F735C2" w:rsidRDefault="00A656A5" w:rsidP="00232673">
      <w:pPr>
        <w:rPr>
          <w:rFonts w:ascii="Times New Roman" w:hAnsi="Times New Roman" w:cs="Times New Roman"/>
          <w:sz w:val="24"/>
          <w:szCs w:val="24"/>
        </w:rPr>
      </w:pPr>
      <w:r>
        <w:rPr>
          <w:rFonts w:ascii="Times New Roman" w:eastAsiaTheme="minorEastAsia" w:hAnsi="Times New Roman" w:cs="Times New Roman"/>
          <w:sz w:val="24"/>
          <w:szCs w:val="24"/>
        </w:rPr>
        <w:tab/>
      </w:r>
      <w:r w:rsidR="00027094">
        <w:rPr>
          <w:rFonts w:ascii="Times New Roman" w:eastAsiaTheme="minorEastAsia" w:hAnsi="Times New Roman" w:cs="Times New Roman"/>
          <w:sz w:val="24"/>
          <w:szCs w:val="24"/>
        </w:rPr>
        <w:t xml:space="preserve">We now contextualize </w:t>
      </w:r>
      <w:r w:rsidR="003938C5">
        <w:rPr>
          <w:rFonts w:ascii="Times New Roman" w:eastAsiaTheme="minorEastAsia" w:hAnsi="Times New Roman" w:cs="Times New Roman"/>
          <w:sz w:val="24"/>
          <w:szCs w:val="24"/>
        </w:rPr>
        <w:t>the</w:t>
      </w:r>
      <w:r w:rsidR="00027094">
        <w:rPr>
          <w:rFonts w:ascii="Times New Roman" w:eastAsiaTheme="minorEastAsia" w:hAnsi="Times New Roman" w:cs="Times New Roman"/>
          <w:sz w:val="24"/>
          <w:szCs w:val="24"/>
        </w:rPr>
        <w:t xml:space="preserve"> </w:t>
      </w:r>
      <w:r w:rsidR="003938C5">
        <w:rPr>
          <w:rFonts w:ascii="Times New Roman" w:eastAsiaTheme="minorEastAsia" w:hAnsi="Times New Roman" w:cs="Times New Roman"/>
          <w:sz w:val="24"/>
          <w:szCs w:val="24"/>
        </w:rPr>
        <w:t>findings of section 5</w:t>
      </w:r>
      <w:r w:rsidR="00027094">
        <w:rPr>
          <w:rFonts w:ascii="Times New Roman" w:eastAsiaTheme="minorEastAsia" w:hAnsi="Times New Roman" w:cs="Times New Roman"/>
          <w:sz w:val="24"/>
          <w:szCs w:val="24"/>
        </w:rPr>
        <w:t xml:space="preserve"> in the </w:t>
      </w:r>
      <w:r w:rsidR="00483871">
        <w:rPr>
          <w:rFonts w:ascii="Times New Roman" w:eastAsiaTheme="minorEastAsia" w:hAnsi="Times New Roman" w:cs="Times New Roman"/>
          <w:sz w:val="24"/>
          <w:szCs w:val="24"/>
        </w:rPr>
        <w:t xml:space="preserve">grander scheme of reinsurance implementation. </w:t>
      </w:r>
      <w:r w:rsidR="001B6714">
        <w:rPr>
          <w:rFonts w:ascii="Times New Roman" w:eastAsiaTheme="minorEastAsia" w:hAnsi="Times New Roman" w:cs="Times New Roman"/>
          <w:sz w:val="24"/>
          <w:szCs w:val="24"/>
        </w:rPr>
        <w:t xml:space="preserve">As </w:t>
      </w:r>
      <w:r w:rsidR="00D72A83">
        <w:rPr>
          <w:rFonts w:ascii="Times New Roman" w:eastAsiaTheme="minorEastAsia" w:hAnsi="Times New Roman" w:cs="Times New Roman"/>
          <w:sz w:val="24"/>
          <w:szCs w:val="24"/>
        </w:rPr>
        <w:t>already stated</w:t>
      </w:r>
      <w:r w:rsidR="001B6714">
        <w:rPr>
          <w:rFonts w:ascii="Times New Roman" w:eastAsiaTheme="minorEastAsia" w:hAnsi="Times New Roman" w:cs="Times New Roman"/>
          <w:sz w:val="24"/>
          <w:szCs w:val="24"/>
        </w:rPr>
        <w:t xml:space="preserve">, reinsurance is a market mechanism that </w:t>
      </w:r>
      <w:r w:rsidR="00DD395E">
        <w:rPr>
          <w:rFonts w:ascii="Times New Roman" w:eastAsiaTheme="minorEastAsia" w:hAnsi="Times New Roman" w:cs="Times New Roman"/>
          <w:sz w:val="24"/>
          <w:szCs w:val="24"/>
        </w:rPr>
        <w:t xml:space="preserve">directly affects the supply-side of </w:t>
      </w:r>
      <w:r w:rsidR="00EB6A09">
        <w:rPr>
          <w:rFonts w:ascii="Times New Roman" w:eastAsiaTheme="minorEastAsia" w:hAnsi="Times New Roman" w:cs="Times New Roman"/>
          <w:sz w:val="24"/>
          <w:szCs w:val="24"/>
        </w:rPr>
        <w:t xml:space="preserve">health insurance. However, the end goal of these policy waivers </w:t>
      </w:r>
      <w:r w:rsidR="00832889">
        <w:rPr>
          <w:rFonts w:ascii="Times New Roman" w:eastAsiaTheme="minorEastAsia" w:hAnsi="Times New Roman" w:cs="Times New Roman"/>
          <w:sz w:val="24"/>
          <w:szCs w:val="24"/>
        </w:rPr>
        <w:t>is</w:t>
      </w:r>
      <w:r w:rsidR="00EB6A09">
        <w:rPr>
          <w:rFonts w:ascii="Times New Roman" w:eastAsiaTheme="minorEastAsia" w:hAnsi="Times New Roman" w:cs="Times New Roman"/>
          <w:sz w:val="24"/>
          <w:szCs w:val="24"/>
        </w:rPr>
        <w:t xml:space="preserve"> to </w:t>
      </w:r>
      <w:r w:rsidR="00EB6A09">
        <w:rPr>
          <w:rFonts w:ascii="Times New Roman" w:hAnsi="Times New Roman" w:cs="Times New Roman"/>
          <w:sz w:val="24"/>
          <w:szCs w:val="24"/>
        </w:rPr>
        <w:t xml:space="preserve">provide consumers with a better healthcare product that they can access easily and utilize when needed to promote and preserve their health. </w:t>
      </w:r>
      <w:r w:rsidR="00EB65DE">
        <w:rPr>
          <w:rFonts w:ascii="Times New Roman" w:hAnsi="Times New Roman" w:cs="Times New Roman"/>
          <w:sz w:val="24"/>
          <w:szCs w:val="24"/>
        </w:rPr>
        <w:t xml:space="preserve">While this research is by no means exhaustive of all </w:t>
      </w:r>
      <w:r w:rsidR="00832889">
        <w:rPr>
          <w:rFonts w:ascii="Times New Roman" w:hAnsi="Times New Roman" w:cs="Times New Roman"/>
          <w:sz w:val="24"/>
          <w:szCs w:val="24"/>
        </w:rPr>
        <w:t xml:space="preserve">potential ramifications for consumers in </w:t>
      </w:r>
      <w:r w:rsidR="00BF1B2F">
        <w:rPr>
          <w:rFonts w:ascii="Times New Roman" w:hAnsi="Times New Roman" w:cs="Times New Roman"/>
          <w:sz w:val="24"/>
          <w:szCs w:val="24"/>
        </w:rPr>
        <w:t xml:space="preserve">a state that introduces reinsurance, it does focus in on several components that are </w:t>
      </w:r>
      <w:r w:rsidR="00F14674">
        <w:rPr>
          <w:rFonts w:ascii="Times New Roman" w:hAnsi="Times New Roman" w:cs="Times New Roman"/>
          <w:sz w:val="24"/>
          <w:szCs w:val="24"/>
        </w:rPr>
        <w:t>effectively measuring Americans’ health status, health care access and health care utilization</w:t>
      </w:r>
      <w:r w:rsidR="003844DF">
        <w:rPr>
          <w:rFonts w:ascii="Times New Roman" w:hAnsi="Times New Roman" w:cs="Times New Roman"/>
          <w:sz w:val="24"/>
          <w:szCs w:val="24"/>
        </w:rPr>
        <w:t xml:space="preserve">, and is justified to the extent of examining whether the equilibrium market shifts that reinsurance </w:t>
      </w:r>
      <w:r w:rsidR="00C07527">
        <w:rPr>
          <w:rFonts w:ascii="Times New Roman" w:hAnsi="Times New Roman" w:cs="Times New Roman"/>
          <w:sz w:val="24"/>
          <w:szCs w:val="24"/>
        </w:rPr>
        <w:t xml:space="preserve">creates </w:t>
      </w:r>
      <w:r w:rsidR="00B14CF1">
        <w:rPr>
          <w:rFonts w:ascii="Times New Roman" w:hAnsi="Times New Roman" w:cs="Times New Roman"/>
          <w:sz w:val="24"/>
          <w:szCs w:val="24"/>
        </w:rPr>
        <w:t>are being felt by consumers as well.</w:t>
      </w:r>
    </w:p>
    <w:p w14:paraId="7A8E8F40" w14:textId="2E0D89E9" w:rsidR="00B44420" w:rsidRDefault="00B44420" w:rsidP="00232673">
      <w:pPr>
        <w:rPr>
          <w:rFonts w:ascii="Times New Roman" w:hAnsi="Times New Roman" w:cs="Times New Roman"/>
          <w:sz w:val="24"/>
          <w:szCs w:val="24"/>
        </w:rPr>
      </w:pPr>
      <w:r>
        <w:rPr>
          <w:rFonts w:ascii="Times New Roman" w:hAnsi="Times New Roman" w:cs="Times New Roman"/>
          <w:sz w:val="24"/>
          <w:szCs w:val="24"/>
        </w:rPr>
        <w:tab/>
      </w:r>
      <w:r w:rsidR="00300879">
        <w:rPr>
          <w:rFonts w:ascii="Times New Roman" w:hAnsi="Times New Roman" w:cs="Times New Roman"/>
          <w:sz w:val="24"/>
          <w:szCs w:val="24"/>
        </w:rPr>
        <w:t>In th</w:t>
      </w:r>
      <w:r w:rsidR="00100349">
        <w:rPr>
          <w:rFonts w:ascii="Times New Roman" w:hAnsi="Times New Roman" w:cs="Times New Roman"/>
          <w:sz w:val="24"/>
          <w:szCs w:val="24"/>
        </w:rPr>
        <w:t>at</w:t>
      </w:r>
      <w:r w:rsidR="00300879">
        <w:rPr>
          <w:rFonts w:ascii="Times New Roman" w:hAnsi="Times New Roman" w:cs="Times New Roman"/>
          <w:sz w:val="24"/>
          <w:szCs w:val="24"/>
        </w:rPr>
        <w:t xml:space="preserve"> sense, </w:t>
      </w:r>
      <w:r w:rsidR="00020E49">
        <w:rPr>
          <w:rFonts w:ascii="Times New Roman" w:hAnsi="Times New Roman" w:cs="Times New Roman"/>
          <w:sz w:val="24"/>
          <w:szCs w:val="24"/>
        </w:rPr>
        <w:t xml:space="preserve">our results </w:t>
      </w:r>
      <w:r w:rsidR="00D56AEB">
        <w:rPr>
          <w:rFonts w:ascii="Times New Roman" w:hAnsi="Times New Roman" w:cs="Times New Roman"/>
          <w:sz w:val="24"/>
          <w:szCs w:val="24"/>
        </w:rPr>
        <w:t xml:space="preserve">are </w:t>
      </w:r>
      <w:r w:rsidR="00927898">
        <w:rPr>
          <w:rFonts w:ascii="Times New Roman" w:hAnsi="Times New Roman" w:cs="Times New Roman"/>
          <w:sz w:val="24"/>
          <w:szCs w:val="24"/>
        </w:rPr>
        <w:t>rather</w:t>
      </w:r>
      <w:r w:rsidR="00D56AEB">
        <w:rPr>
          <w:rFonts w:ascii="Times New Roman" w:hAnsi="Times New Roman" w:cs="Times New Roman"/>
          <w:sz w:val="24"/>
          <w:szCs w:val="24"/>
        </w:rPr>
        <w:t xml:space="preserve"> inconclusive as to </w:t>
      </w:r>
      <w:r w:rsidR="0064418A">
        <w:rPr>
          <w:rFonts w:ascii="Times New Roman" w:hAnsi="Times New Roman" w:cs="Times New Roman"/>
          <w:sz w:val="24"/>
          <w:szCs w:val="24"/>
        </w:rPr>
        <w:t xml:space="preserve">answering whether reinsurance programs are helping or hurting individual health outcomes. </w:t>
      </w:r>
      <w:r w:rsidR="00087C6E">
        <w:rPr>
          <w:rFonts w:ascii="Times New Roman" w:hAnsi="Times New Roman" w:cs="Times New Roman"/>
          <w:sz w:val="24"/>
          <w:szCs w:val="24"/>
        </w:rPr>
        <w:t xml:space="preserve">As elaborated on in </w:t>
      </w:r>
      <w:r w:rsidR="004878D3">
        <w:rPr>
          <w:rFonts w:ascii="Times New Roman" w:hAnsi="Times New Roman" w:cs="Times New Roman"/>
          <w:sz w:val="24"/>
          <w:szCs w:val="24"/>
        </w:rPr>
        <w:t xml:space="preserve">section 5, </w:t>
      </w:r>
      <w:r w:rsidR="00AA216B">
        <w:rPr>
          <w:rFonts w:ascii="Times New Roman" w:hAnsi="Times New Roman" w:cs="Times New Roman"/>
          <w:sz w:val="24"/>
          <w:szCs w:val="24"/>
        </w:rPr>
        <w:t xml:space="preserve">many outcomes </w:t>
      </w:r>
      <w:r w:rsidR="0046059D">
        <w:rPr>
          <w:rFonts w:ascii="Times New Roman" w:hAnsi="Times New Roman" w:cs="Times New Roman"/>
          <w:sz w:val="24"/>
          <w:szCs w:val="24"/>
        </w:rPr>
        <w:t xml:space="preserve">had resulting DID estimators with </w:t>
      </w:r>
      <w:r w:rsidR="003402AF">
        <w:rPr>
          <w:rFonts w:ascii="Times New Roman" w:hAnsi="Times New Roman" w:cs="Times New Roman"/>
          <w:sz w:val="24"/>
          <w:szCs w:val="24"/>
        </w:rPr>
        <w:t>differing</w:t>
      </w:r>
      <w:r w:rsidR="0046059D">
        <w:rPr>
          <w:rFonts w:ascii="Times New Roman" w:hAnsi="Times New Roman" w:cs="Times New Roman"/>
          <w:sz w:val="24"/>
          <w:szCs w:val="24"/>
        </w:rPr>
        <w:t xml:space="preserve"> signage, making it difficult </w:t>
      </w:r>
      <w:r w:rsidR="00213C5C">
        <w:rPr>
          <w:rFonts w:ascii="Times New Roman" w:hAnsi="Times New Roman" w:cs="Times New Roman"/>
          <w:sz w:val="24"/>
          <w:szCs w:val="24"/>
        </w:rPr>
        <w:t xml:space="preserve">to definitively draw conclusions </w:t>
      </w:r>
      <w:r w:rsidR="00BE460F">
        <w:rPr>
          <w:rFonts w:ascii="Times New Roman" w:hAnsi="Times New Roman" w:cs="Times New Roman"/>
          <w:sz w:val="24"/>
          <w:szCs w:val="24"/>
        </w:rPr>
        <w:t xml:space="preserve">about the true treatment effect in those instances. Moreover, many of the proportional shifts </w:t>
      </w:r>
      <w:r w:rsidR="00C8175A">
        <w:rPr>
          <w:rFonts w:ascii="Times New Roman" w:hAnsi="Times New Roman" w:cs="Times New Roman"/>
          <w:sz w:val="24"/>
          <w:szCs w:val="24"/>
        </w:rPr>
        <w:t xml:space="preserve">represented by the estimators, in either direction, are relatively minor in magnitude, typically </w:t>
      </w:r>
      <w:r w:rsidR="003402AF">
        <w:rPr>
          <w:rFonts w:ascii="Times New Roman" w:hAnsi="Times New Roman" w:cs="Times New Roman"/>
          <w:sz w:val="24"/>
          <w:szCs w:val="24"/>
        </w:rPr>
        <w:t xml:space="preserve">being </w:t>
      </w:r>
      <w:r w:rsidR="00D16A8E">
        <w:rPr>
          <w:rFonts w:ascii="Times New Roman" w:hAnsi="Times New Roman" w:cs="Times New Roman"/>
          <w:sz w:val="24"/>
          <w:szCs w:val="24"/>
        </w:rPr>
        <w:t>well under</w:t>
      </w:r>
      <w:r w:rsidR="003402AF">
        <w:rPr>
          <w:rFonts w:ascii="Times New Roman" w:hAnsi="Times New Roman" w:cs="Times New Roman"/>
          <w:sz w:val="24"/>
          <w:szCs w:val="24"/>
        </w:rPr>
        <w:t xml:space="preserve"> 1%</w:t>
      </w:r>
      <w:r w:rsidR="008D1978">
        <w:rPr>
          <w:rFonts w:ascii="Times New Roman" w:hAnsi="Times New Roman" w:cs="Times New Roman"/>
          <w:sz w:val="24"/>
          <w:szCs w:val="24"/>
        </w:rPr>
        <w:t xml:space="preserve">, </w:t>
      </w:r>
      <w:r w:rsidR="0049719C">
        <w:rPr>
          <w:rFonts w:ascii="Times New Roman" w:hAnsi="Times New Roman" w:cs="Times New Roman"/>
          <w:sz w:val="24"/>
          <w:szCs w:val="24"/>
        </w:rPr>
        <w:t>however,</w:t>
      </w:r>
      <w:r w:rsidR="008D1978">
        <w:rPr>
          <w:rFonts w:ascii="Times New Roman" w:hAnsi="Times New Roman" w:cs="Times New Roman"/>
          <w:sz w:val="24"/>
          <w:szCs w:val="24"/>
        </w:rPr>
        <w:t xml:space="preserve"> the ones that do approach the 1% threshold </w:t>
      </w:r>
      <w:r w:rsidR="00D77931">
        <w:rPr>
          <w:rFonts w:ascii="Times New Roman" w:hAnsi="Times New Roman" w:cs="Times New Roman"/>
          <w:sz w:val="24"/>
          <w:szCs w:val="24"/>
        </w:rPr>
        <w:t xml:space="preserve">account for </w:t>
      </w:r>
      <w:r w:rsidR="00CC5291">
        <w:rPr>
          <w:rFonts w:ascii="Times New Roman" w:hAnsi="Times New Roman" w:cs="Times New Roman"/>
          <w:sz w:val="24"/>
          <w:szCs w:val="24"/>
        </w:rPr>
        <w:t xml:space="preserve">moderately </w:t>
      </w:r>
      <w:r w:rsidR="00D77931">
        <w:rPr>
          <w:rFonts w:ascii="Times New Roman" w:hAnsi="Times New Roman" w:cs="Times New Roman"/>
          <w:sz w:val="24"/>
          <w:szCs w:val="24"/>
        </w:rPr>
        <w:t xml:space="preserve">non-trivial </w:t>
      </w:r>
      <w:r w:rsidR="008204E6">
        <w:rPr>
          <w:rFonts w:ascii="Times New Roman" w:hAnsi="Times New Roman" w:cs="Times New Roman"/>
          <w:sz w:val="24"/>
          <w:szCs w:val="24"/>
        </w:rPr>
        <w:t>alterations</w:t>
      </w:r>
      <w:r w:rsidR="003402AF">
        <w:rPr>
          <w:rFonts w:ascii="Times New Roman" w:hAnsi="Times New Roman" w:cs="Times New Roman"/>
          <w:sz w:val="24"/>
          <w:szCs w:val="24"/>
        </w:rPr>
        <w:t xml:space="preserve">. </w:t>
      </w:r>
      <w:r w:rsidR="009540CD">
        <w:rPr>
          <w:rFonts w:ascii="Times New Roman" w:hAnsi="Times New Roman" w:cs="Times New Roman"/>
          <w:sz w:val="24"/>
          <w:szCs w:val="24"/>
        </w:rPr>
        <w:t xml:space="preserve">Although our model accounted for </w:t>
      </w:r>
      <w:r w:rsidR="00983019">
        <w:rPr>
          <w:rFonts w:ascii="Times New Roman" w:hAnsi="Times New Roman" w:cs="Times New Roman"/>
          <w:sz w:val="24"/>
          <w:szCs w:val="24"/>
        </w:rPr>
        <w:t xml:space="preserve">control variables </w:t>
      </w:r>
      <w:r w:rsidR="00B90B0A">
        <w:rPr>
          <w:rFonts w:ascii="Times New Roman" w:hAnsi="Times New Roman" w:cs="Times New Roman"/>
          <w:sz w:val="24"/>
          <w:szCs w:val="24"/>
        </w:rPr>
        <w:t>as</w:t>
      </w:r>
      <w:r w:rsidR="00983019">
        <w:rPr>
          <w:rFonts w:ascii="Times New Roman" w:hAnsi="Times New Roman" w:cs="Times New Roman"/>
          <w:sz w:val="24"/>
          <w:szCs w:val="24"/>
        </w:rPr>
        <w:t xml:space="preserve"> an attempt to reduce confounding </w:t>
      </w:r>
      <w:r w:rsidR="00C41322">
        <w:rPr>
          <w:rFonts w:ascii="Times New Roman" w:hAnsi="Times New Roman" w:cs="Times New Roman"/>
          <w:sz w:val="24"/>
          <w:szCs w:val="24"/>
        </w:rPr>
        <w:t xml:space="preserve">in our study, it remains entirely possible that an omitted variable is playing a role in these changes, or that </w:t>
      </w:r>
      <w:r w:rsidR="00BC7C2F">
        <w:rPr>
          <w:rFonts w:ascii="Times New Roman" w:hAnsi="Times New Roman" w:cs="Times New Roman"/>
          <w:sz w:val="24"/>
          <w:szCs w:val="24"/>
        </w:rPr>
        <w:t xml:space="preserve">the BRFSS data is simply too noisy and these variations </w:t>
      </w:r>
      <w:r w:rsidR="0016090D">
        <w:rPr>
          <w:rFonts w:ascii="Times New Roman" w:hAnsi="Times New Roman" w:cs="Times New Roman"/>
          <w:sz w:val="24"/>
          <w:szCs w:val="24"/>
        </w:rPr>
        <w:t xml:space="preserve">are being skewed by that, rather than a true treatment effect. </w:t>
      </w:r>
      <w:r w:rsidR="00012261">
        <w:rPr>
          <w:rFonts w:ascii="Times New Roman" w:hAnsi="Times New Roman" w:cs="Times New Roman"/>
          <w:sz w:val="24"/>
          <w:szCs w:val="24"/>
        </w:rPr>
        <w:t>When Maryland established their reinsurance program, they did so in conjunction with a boost to advertisements that encouraged citizens to acquire health insurance (Hoag, 2019</w:t>
      </w:r>
      <w:r w:rsidR="00B90B0A">
        <w:rPr>
          <w:rFonts w:ascii="Times New Roman" w:hAnsi="Times New Roman" w:cs="Times New Roman"/>
          <w:sz w:val="24"/>
          <w:szCs w:val="24"/>
        </w:rPr>
        <w:t>). The joint nature of these strategies contribut</w:t>
      </w:r>
      <w:r w:rsidR="006C2B74">
        <w:rPr>
          <w:rFonts w:ascii="Times New Roman" w:hAnsi="Times New Roman" w:cs="Times New Roman"/>
          <w:sz w:val="24"/>
          <w:szCs w:val="24"/>
        </w:rPr>
        <w:t>es</w:t>
      </w:r>
      <w:r w:rsidR="00B90B0A">
        <w:rPr>
          <w:rFonts w:ascii="Times New Roman" w:hAnsi="Times New Roman" w:cs="Times New Roman"/>
          <w:sz w:val="24"/>
          <w:szCs w:val="24"/>
        </w:rPr>
        <w:t xml:space="preserve"> to the difficulty in </w:t>
      </w:r>
      <w:r w:rsidR="00C53104">
        <w:rPr>
          <w:rFonts w:ascii="Times New Roman" w:hAnsi="Times New Roman" w:cs="Times New Roman"/>
          <w:sz w:val="24"/>
          <w:szCs w:val="24"/>
        </w:rPr>
        <w:t xml:space="preserve">validating the extent to which reinsurance is </w:t>
      </w:r>
      <w:r w:rsidR="006C2B74">
        <w:rPr>
          <w:rFonts w:ascii="Times New Roman" w:hAnsi="Times New Roman" w:cs="Times New Roman"/>
          <w:sz w:val="24"/>
          <w:szCs w:val="24"/>
        </w:rPr>
        <w:t>solely responsible</w:t>
      </w:r>
      <w:r w:rsidR="00C53104">
        <w:rPr>
          <w:rFonts w:ascii="Times New Roman" w:hAnsi="Times New Roman" w:cs="Times New Roman"/>
          <w:sz w:val="24"/>
          <w:szCs w:val="24"/>
        </w:rPr>
        <w:t xml:space="preserve"> for our results</w:t>
      </w:r>
      <w:r w:rsidR="00E46FDC">
        <w:rPr>
          <w:rFonts w:ascii="Times New Roman" w:hAnsi="Times New Roman" w:cs="Times New Roman"/>
          <w:sz w:val="24"/>
          <w:szCs w:val="24"/>
        </w:rPr>
        <w:t xml:space="preserve">, and is only </w:t>
      </w:r>
      <w:r w:rsidR="00BB60F3">
        <w:rPr>
          <w:rFonts w:ascii="Times New Roman" w:hAnsi="Times New Roman" w:cs="Times New Roman"/>
          <w:sz w:val="24"/>
          <w:szCs w:val="24"/>
        </w:rPr>
        <w:t xml:space="preserve">one potential confounder to our results, amongst other unknowns that could </w:t>
      </w:r>
      <w:r w:rsidR="00BA27C3">
        <w:rPr>
          <w:rFonts w:ascii="Times New Roman" w:hAnsi="Times New Roman" w:cs="Times New Roman"/>
          <w:sz w:val="24"/>
          <w:szCs w:val="24"/>
        </w:rPr>
        <w:t xml:space="preserve">feasibly </w:t>
      </w:r>
      <w:r w:rsidR="00A76EA0">
        <w:rPr>
          <w:rFonts w:ascii="Times New Roman" w:hAnsi="Times New Roman" w:cs="Times New Roman"/>
          <w:sz w:val="24"/>
          <w:szCs w:val="24"/>
        </w:rPr>
        <w:t>modify</w:t>
      </w:r>
      <w:r w:rsidR="00BA27C3">
        <w:rPr>
          <w:rFonts w:ascii="Times New Roman" w:hAnsi="Times New Roman" w:cs="Times New Roman"/>
          <w:sz w:val="24"/>
          <w:szCs w:val="24"/>
        </w:rPr>
        <w:t xml:space="preserve"> individual behaviors in terms of health care.</w:t>
      </w:r>
    </w:p>
    <w:p w14:paraId="21ED09AA" w14:textId="08D0DB8F" w:rsidR="006C2B74" w:rsidRDefault="006C2B74" w:rsidP="00232673">
      <w:pPr>
        <w:rPr>
          <w:rFonts w:ascii="Times New Roman" w:hAnsi="Times New Roman" w:cs="Times New Roman"/>
          <w:sz w:val="24"/>
          <w:szCs w:val="24"/>
        </w:rPr>
      </w:pPr>
      <w:r>
        <w:rPr>
          <w:rFonts w:ascii="Times New Roman" w:hAnsi="Times New Roman" w:cs="Times New Roman"/>
          <w:sz w:val="24"/>
          <w:szCs w:val="24"/>
        </w:rPr>
        <w:tab/>
      </w:r>
      <w:r w:rsidR="00295563">
        <w:rPr>
          <w:rFonts w:ascii="Times New Roman" w:hAnsi="Times New Roman" w:cs="Times New Roman"/>
          <w:sz w:val="24"/>
          <w:szCs w:val="24"/>
        </w:rPr>
        <w:t>Regardless</w:t>
      </w:r>
      <w:r>
        <w:rPr>
          <w:rFonts w:ascii="Times New Roman" w:hAnsi="Times New Roman" w:cs="Times New Roman"/>
          <w:sz w:val="24"/>
          <w:szCs w:val="24"/>
        </w:rPr>
        <w:t xml:space="preserve">, despite the </w:t>
      </w:r>
      <w:r w:rsidR="00910316">
        <w:rPr>
          <w:rFonts w:ascii="Times New Roman" w:hAnsi="Times New Roman" w:cs="Times New Roman"/>
          <w:sz w:val="24"/>
          <w:szCs w:val="24"/>
        </w:rPr>
        <w:t xml:space="preserve">volatile nature of </w:t>
      </w:r>
      <w:r w:rsidR="00510579">
        <w:rPr>
          <w:rFonts w:ascii="Times New Roman" w:hAnsi="Times New Roman" w:cs="Times New Roman"/>
          <w:sz w:val="24"/>
          <w:szCs w:val="24"/>
        </w:rPr>
        <w:t xml:space="preserve">some of </w:t>
      </w:r>
      <w:r w:rsidR="00910316">
        <w:rPr>
          <w:rFonts w:ascii="Times New Roman" w:hAnsi="Times New Roman" w:cs="Times New Roman"/>
          <w:sz w:val="24"/>
          <w:szCs w:val="24"/>
        </w:rPr>
        <w:t xml:space="preserve">our estimates, there are still some takeaways to glean from the results. Again, our results seem more consistent </w:t>
      </w:r>
      <w:r w:rsidR="00E551A9">
        <w:rPr>
          <w:rFonts w:ascii="Times New Roman" w:hAnsi="Times New Roman" w:cs="Times New Roman"/>
          <w:sz w:val="24"/>
          <w:szCs w:val="24"/>
        </w:rPr>
        <w:t xml:space="preserve">in a handful of outcomes like the proportion of individuals who </w:t>
      </w:r>
      <w:r w:rsidR="00C550AC">
        <w:rPr>
          <w:rFonts w:ascii="Times New Roman" w:hAnsi="Times New Roman" w:cs="Times New Roman"/>
          <w:sz w:val="24"/>
          <w:szCs w:val="24"/>
        </w:rPr>
        <w:t xml:space="preserve">have at least one personal doctor, leading us to be more confident in the </w:t>
      </w:r>
      <w:r w:rsidR="00E46FDC">
        <w:rPr>
          <w:rFonts w:ascii="Times New Roman" w:hAnsi="Times New Roman" w:cs="Times New Roman"/>
          <w:sz w:val="24"/>
          <w:szCs w:val="24"/>
        </w:rPr>
        <w:t xml:space="preserve">notion that reinsurance implementation can have some positive causal effects on one’s </w:t>
      </w:r>
      <w:r w:rsidR="00BA27C3">
        <w:rPr>
          <w:rFonts w:ascii="Times New Roman" w:hAnsi="Times New Roman" w:cs="Times New Roman"/>
          <w:sz w:val="24"/>
          <w:szCs w:val="24"/>
        </w:rPr>
        <w:t xml:space="preserve">tendency to </w:t>
      </w:r>
      <w:r w:rsidR="001E7205">
        <w:rPr>
          <w:rFonts w:ascii="Times New Roman" w:hAnsi="Times New Roman" w:cs="Times New Roman"/>
          <w:sz w:val="24"/>
          <w:szCs w:val="24"/>
        </w:rPr>
        <w:t>have a primary doctor. The same principle applies to the proportion of individuals who</w:t>
      </w:r>
      <w:r w:rsidR="006A5C79">
        <w:rPr>
          <w:rFonts w:ascii="Times New Roman" w:hAnsi="Times New Roman" w:cs="Times New Roman"/>
          <w:sz w:val="24"/>
          <w:szCs w:val="24"/>
        </w:rPr>
        <w:t xml:space="preserve"> </w:t>
      </w:r>
      <w:r w:rsidR="00D25879">
        <w:rPr>
          <w:rFonts w:ascii="Times New Roman" w:hAnsi="Times New Roman" w:cs="Times New Roman"/>
          <w:sz w:val="24"/>
          <w:szCs w:val="24"/>
        </w:rPr>
        <w:t>did not</w:t>
      </w:r>
      <w:r w:rsidR="006A5C79">
        <w:rPr>
          <w:rFonts w:ascii="Times New Roman" w:hAnsi="Times New Roman" w:cs="Times New Roman"/>
          <w:sz w:val="24"/>
          <w:szCs w:val="24"/>
        </w:rPr>
        <w:t xml:space="preserve"> receive or delayed medical care due to</w:t>
      </w:r>
      <w:r w:rsidR="00741CB7">
        <w:rPr>
          <w:rFonts w:ascii="Times New Roman" w:hAnsi="Times New Roman" w:cs="Times New Roman"/>
          <w:sz w:val="24"/>
          <w:szCs w:val="24"/>
        </w:rPr>
        <w:t xml:space="preserve"> high</w:t>
      </w:r>
      <w:r w:rsidR="006A5C79">
        <w:rPr>
          <w:rFonts w:ascii="Times New Roman" w:hAnsi="Times New Roman" w:cs="Times New Roman"/>
          <w:sz w:val="24"/>
          <w:szCs w:val="24"/>
        </w:rPr>
        <w:t xml:space="preserve"> costs</w:t>
      </w:r>
      <w:r w:rsidR="00741CB7">
        <w:rPr>
          <w:rFonts w:ascii="Times New Roman" w:hAnsi="Times New Roman" w:cs="Times New Roman"/>
          <w:sz w:val="24"/>
          <w:szCs w:val="24"/>
        </w:rPr>
        <w:t xml:space="preserve">, although the positive relationship here actually carries negative implications for citizens. </w:t>
      </w:r>
      <w:r w:rsidR="00A47B28">
        <w:rPr>
          <w:rFonts w:ascii="Times New Roman" w:hAnsi="Times New Roman" w:cs="Times New Roman"/>
          <w:sz w:val="24"/>
          <w:szCs w:val="24"/>
        </w:rPr>
        <w:t xml:space="preserve">Harkening back to </w:t>
      </w:r>
      <w:r w:rsidR="00031884">
        <w:rPr>
          <w:rFonts w:ascii="Times New Roman" w:hAnsi="Times New Roman" w:cs="Times New Roman"/>
          <w:sz w:val="24"/>
          <w:szCs w:val="24"/>
        </w:rPr>
        <w:t>section 2</w:t>
      </w:r>
      <w:r w:rsidR="00A47B28">
        <w:rPr>
          <w:rFonts w:ascii="Times New Roman" w:hAnsi="Times New Roman" w:cs="Times New Roman"/>
          <w:sz w:val="24"/>
          <w:szCs w:val="24"/>
        </w:rPr>
        <w:t xml:space="preserve">, it was </w:t>
      </w:r>
      <w:r w:rsidR="00CD3316">
        <w:rPr>
          <w:rFonts w:ascii="Times New Roman" w:hAnsi="Times New Roman" w:cs="Times New Roman"/>
          <w:sz w:val="24"/>
          <w:szCs w:val="24"/>
        </w:rPr>
        <w:t xml:space="preserve">determined that while reinsurance can fight selection incentives, it typically is not the best approach. </w:t>
      </w:r>
      <w:r w:rsidR="00093149">
        <w:rPr>
          <w:rFonts w:ascii="Times New Roman" w:hAnsi="Times New Roman" w:cs="Times New Roman"/>
          <w:sz w:val="24"/>
          <w:szCs w:val="24"/>
        </w:rPr>
        <w:t xml:space="preserve">Especially when </w:t>
      </w:r>
      <w:r w:rsidR="00D4664A">
        <w:rPr>
          <w:rFonts w:ascii="Times New Roman" w:hAnsi="Times New Roman" w:cs="Times New Roman"/>
          <w:sz w:val="24"/>
          <w:szCs w:val="24"/>
        </w:rPr>
        <w:t xml:space="preserve">relating selection incentives in the form of plan degradation to these findings, our results </w:t>
      </w:r>
      <w:r w:rsidR="00E97816">
        <w:rPr>
          <w:rFonts w:ascii="Times New Roman" w:hAnsi="Times New Roman" w:cs="Times New Roman"/>
          <w:sz w:val="24"/>
          <w:szCs w:val="24"/>
        </w:rPr>
        <w:t xml:space="preserve">could be tangentially connected to the cited prior research </w:t>
      </w:r>
      <w:r w:rsidR="00CE7ACB">
        <w:rPr>
          <w:rFonts w:ascii="Times New Roman" w:hAnsi="Times New Roman" w:cs="Times New Roman"/>
          <w:sz w:val="24"/>
          <w:szCs w:val="24"/>
        </w:rPr>
        <w:t xml:space="preserve">and follow as a result from it—insurer plan offerings may be hampered due to a desire to acquire reimbursement on </w:t>
      </w:r>
      <w:r w:rsidR="0051255D">
        <w:rPr>
          <w:rFonts w:ascii="Times New Roman" w:hAnsi="Times New Roman" w:cs="Times New Roman"/>
          <w:sz w:val="24"/>
          <w:szCs w:val="24"/>
        </w:rPr>
        <w:t>their claims, limiting the tendency then for individuals to seek out care, even if they may need it.</w:t>
      </w:r>
      <w:r w:rsidR="00A678CB">
        <w:rPr>
          <w:rFonts w:ascii="Times New Roman" w:hAnsi="Times New Roman" w:cs="Times New Roman"/>
          <w:sz w:val="24"/>
          <w:szCs w:val="24"/>
        </w:rPr>
        <w:t xml:space="preserve"> Although not verified by this study, it is one potential factor that cannot be ruled out</w:t>
      </w:r>
      <w:r w:rsidR="001712D1">
        <w:rPr>
          <w:rFonts w:ascii="Times New Roman" w:hAnsi="Times New Roman" w:cs="Times New Roman"/>
          <w:sz w:val="24"/>
          <w:szCs w:val="24"/>
        </w:rPr>
        <w:t xml:space="preserve">, and this </w:t>
      </w:r>
      <w:r w:rsidR="00E24BD5">
        <w:rPr>
          <w:rFonts w:ascii="Times New Roman" w:hAnsi="Times New Roman" w:cs="Times New Roman"/>
          <w:sz w:val="24"/>
          <w:szCs w:val="24"/>
        </w:rPr>
        <w:t>particular result could justify future research into this outcome, especially since</w:t>
      </w:r>
      <w:r w:rsidR="006607C9">
        <w:rPr>
          <w:rFonts w:ascii="Times New Roman" w:hAnsi="Times New Roman" w:cs="Times New Roman"/>
          <w:sz w:val="24"/>
          <w:szCs w:val="24"/>
        </w:rPr>
        <w:t xml:space="preserve">, across all model trials, this estimate </w:t>
      </w:r>
      <w:r w:rsidR="000F3004">
        <w:rPr>
          <w:rFonts w:ascii="Times New Roman" w:hAnsi="Times New Roman" w:cs="Times New Roman"/>
          <w:sz w:val="24"/>
          <w:szCs w:val="24"/>
        </w:rPr>
        <w:t xml:space="preserve">had some of the smallest variation amongst </w:t>
      </w:r>
      <w:r w:rsidR="000F3004">
        <w:rPr>
          <w:rFonts w:ascii="Times New Roman" w:hAnsi="Times New Roman" w:cs="Times New Roman"/>
          <w:sz w:val="24"/>
          <w:szCs w:val="24"/>
        </w:rPr>
        <w:lastRenderedPageBreak/>
        <w:t xml:space="preserve">any of our </w:t>
      </w:r>
      <w:r w:rsidR="007D1026">
        <w:rPr>
          <w:rFonts w:ascii="Times New Roman" w:hAnsi="Times New Roman" w:cs="Times New Roman"/>
          <w:sz w:val="24"/>
          <w:szCs w:val="24"/>
        </w:rPr>
        <w:t>measures and</w:t>
      </w:r>
      <w:r w:rsidR="000F3004">
        <w:rPr>
          <w:rFonts w:ascii="Times New Roman" w:hAnsi="Times New Roman" w:cs="Times New Roman"/>
          <w:sz w:val="24"/>
          <w:szCs w:val="24"/>
        </w:rPr>
        <w:t xml:space="preserve"> was one of the consistently largest in terms of magnitude</w:t>
      </w:r>
      <w:r w:rsidR="007D1026">
        <w:rPr>
          <w:rFonts w:ascii="Times New Roman" w:hAnsi="Times New Roman" w:cs="Times New Roman"/>
          <w:sz w:val="24"/>
          <w:szCs w:val="24"/>
        </w:rPr>
        <w:t xml:space="preserve">. Again, external factors could be playing a significant role in this </w:t>
      </w:r>
      <w:r w:rsidR="005E495E">
        <w:rPr>
          <w:rFonts w:ascii="Times New Roman" w:hAnsi="Times New Roman" w:cs="Times New Roman"/>
          <w:sz w:val="24"/>
          <w:szCs w:val="24"/>
        </w:rPr>
        <w:t>finding, yet i</w:t>
      </w:r>
      <w:r w:rsidR="00F22591">
        <w:rPr>
          <w:rFonts w:ascii="Times New Roman" w:hAnsi="Times New Roman" w:cs="Times New Roman"/>
          <w:sz w:val="24"/>
          <w:szCs w:val="24"/>
        </w:rPr>
        <w:t>t is likely one of the most unexpected result of this analysis</w:t>
      </w:r>
      <w:r w:rsidR="00DE648B">
        <w:rPr>
          <w:rFonts w:ascii="Times New Roman" w:hAnsi="Times New Roman" w:cs="Times New Roman"/>
          <w:sz w:val="24"/>
          <w:szCs w:val="24"/>
        </w:rPr>
        <w:t xml:space="preserve"> since its implications run directly counter </w:t>
      </w:r>
      <w:r w:rsidR="00D22F40">
        <w:rPr>
          <w:rFonts w:ascii="Times New Roman" w:hAnsi="Times New Roman" w:cs="Times New Roman"/>
          <w:sz w:val="24"/>
          <w:szCs w:val="24"/>
        </w:rPr>
        <w:t>to the intended effects of introducing a reinsurance program.</w:t>
      </w:r>
    </w:p>
    <w:p w14:paraId="012A722F" w14:textId="3834B577" w:rsidR="006C6192" w:rsidRDefault="00290DA0" w:rsidP="003F3946">
      <w:pPr>
        <w:ind w:firstLine="720"/>
        <w:rPr>
          <w:rFonts w:ascii="Times New Roman" w:hAnsi="Times New Roman" w:cs="Times New Roman"/>
          <w:sz w:val="24"/>
          <w:szCs w:val="24"/>
        </w:rPr>
      </w:pPr>
      <w:r>
        <w:rPr>
          <w:rFonts w:ascii="Times New Roman" w:hAnsi="Times New Roman" w:cs="Times New Roman"/>
          <w:sz w:val="24"/>
          <w:szCs w:val="24"/>
        </w:rPr>
        <w:t xml:space="preserve">In the instances where treatment effects appeared to differ </w:t>
      </w:r>
      <w:r w:rsidR="00C13E3A">
        <w:rPr>
          <w:rFonts w:ascii="Times New Roman" w:hAnsi="Times New Roman" w:cs="Times New Roman"/>
          <w:sz w:val="24"/>
          <w:szCs w:val="24"/>
        </w:rPr>
        <w:t xml:space="preserve">depending on the timing of the implementation of reinsurance, </w:t>
      </w:r>
      <w:r w:rsidR="00602C4C">
        <w:rPr>
          <w:rFonts w:ascii="Times New Roman" w:hAnsi="Times New Roman" w:cs="Times New Roman"/>
          <w:sz w:val="24"/>
          <w:szCs w:val="24"/>
        </w:rPr>
        <w:t xml:space="preserve">the interpretation is a bit less clear. </w:t>
      </w:r>
      <w:r w:rsidR="00CF3907">
        <w:rPr>
          <w:rFonts w:ascii="Times New Roman" w:hAnsi="Times New Roman" w:cs="Times New Roman"/>
          <w:sz w:val="24"/>
          <w:szCs w:val="24"/>
        </w:rPr>
        <w:t xml:space="preserve">While it is certainly possible that the variability of </w:t>
      </w:r>
      <w:r w:rsidR="00B14C35">
        <w:rPr>
          <w:rFonts w:ascii="Times New Roman" w:hAnsi="Times New Roman" w:cs="Times New Roman"/>
          <w:sz w:val="24"/>
          <w:szCs w:val="24"/>
        </w:rPr>
        <w:t xml:space="preserve">individual state conditions results in differing effects of reinsurance </w:t>
      </w:r>
      <w:r w:rsidR="003374C8">
        <w:rPr>
          <w:rFonts w:ascii="Times New Roman" w:hAnsi="Times New Roman" w:cs="Times New Roman"/>
          <w:sz w:val="24"/>
          <w:szCs w:val="24"/>
        </w:rPr>
        <w:t xml:space="preserve">on those outcomes, it is also equally possible that </w:t>
      </w:r>
      <w:r w:rsidR="00DD2C0C">
        <w:rPr>
          <w:rFonts w:ascii="Times New Roman" w:hAnsi="Times New Roman" w:cs="Times New Roman"/>
          <w:sz w:val="24"/>
          <w:szCs w:val="24"/>
        </w:rPr>
        <w:t xml:space="preserve">reinsurance is having no causal effects on these outcomes, so that the variations </w:t>
      </w:r>
      <w:r w:rsidR="0013793E">
        <w:rPr>
          <w:rFonts w:ascii="Times New Roman" w:hAnsi="Times New Roman" w:cs="Times New Roman"/>
          <w:sz w:val="24"/>
          <w:szCs w:val="24"/>
        </w:rPr>
        <w:t xml:space="preserve">exist as natural phenomena, and our model is being coerced to ascribe some non-zero coefficient to the DID estimator. </w:t>
      </w:r>
      <w:r w:rsidR="006602E0">
        <w:rPr>
          <w:rFonts w:ascii="Times New Roman" w:hAnsi="Times New Roman" w:cs="Times New Roman"/>
          <w:sz w:val="24"/>
          <w:szCs w:val="24"/>
        </w:rPr>
        <w:t xml:space="preserve">Rather than </w:t>
      </w:r>
      <w:r w:rsidR="007B2EBA">
        <w:rPr>
          <w:rFonts w:ascii="Times New Roman" w:hAnsi="Times New Roman" w:cs="Times New Roman"/>
          <w:sz w:val="24"/>
          <w:szCs w:val="24"/>
        </w:rPr>
        <w:t xml:space="preserve">asserting causality, it is better in these cases to </w:t>
      </w:r>
      <w:r w:rsidR="00131D50">
        <w:rPr>
          <w:rFonts w:ascii="Times New Roman" w:hAnsi="Times New Roman" w:cs="Times New Roman"/>
          <w:sz w:val="24"/>
          <w:szCs w:val="24"/>
        </w:rPr>
        <w:t xml:space="preserve">err on the side of caution and </w:t>
      </w:r>
      <w:r w:rsidR="007B2EBA">
        <w:rPr>
          <w:rFonts w:ascii="Times New Roman" w:hAnsi="Times New Roman" w:cs="Times New Roman"/>
          <w:sz w:val="24"/>
          <w:szCs w:val="24"/>
        </w:rPr>
        <w:t xml:space="preserve">fail to reject the null hypothesis that reinsurance has no </w:t>
      </w:r>
      <w:r w:rsidR="00B80707">
        <w:rPr>
          <w:rFonts w:ascii="Times New Roman" w:hAnsi="Times New Roman" w:cs="Times New Roman"/>
          <w:sz w:val="24"/>
          <w:szCs w:val="24"/>
        </w:rPr>
        <w:t>definitive casual impacts on these outcomes.</w:t>
      </w:r>
      <w:r w:rsidR="00C832E9">
        <w:rPr>
          <w:rFonts w:ascii="Times New Roman" w:hAnsi="Times New Roman" w:cs="Times New Roman"/>
          <w:sz w:val="24"/>
          <w:szCs w:val="24"/>
        </w:rPr>
        <w:t xml:space="preserve"> Specifically, </w:t>
      </w:r>
      <w:r w:rsidR="00001D49">
        <w:rPr>
          <w:rFonts w:ascii="Times New Roman" w:hAnsi="Times New Roman" w:cs="Times New Roman"/>
          <w:sz w:val="24"/>
          <w:szCs w:val="24"/>
        </w:rPr>
        <w:t xml:space="preserve">findings on the </w:t>
      </w:r>
      <w:r w:rsidR="00546F62">
        <w:rPr>
          <w:rFonts w:ascii="Times New Roman" w:hAnsi="Times New Roman" w:cs="Times New Roman"/>
          <w:sz w:val="24"/>
          <w:szCs w:val="24"/>
        </w:rPr>
        <w:t xml:space="preserve">proportion of individuals who had any form of health coverage fall under this type, and, like that of those who do not receive medical care because of costs, it is </w:t>
      </w:r>
      <w:r w:rsidR="00AE4322">
        <w:rPr>
          <w:rFonts w:ascii="Times New Roman" w:hAnsi="Times New Roman" w:cs="Times New Roman"/>
          <w:sz w:val="24"/>
          <w:szCs w:val="24"/>
        </w:rPr>
        <w:t>remarkably interesting</w:t>
      </w:r>
      <w:r w:rsidR="00546F62">
        <w:rPr>
          <w:rFonts w:ascii="Times New Roman" w:hAnsi="Times New Roman" w:cs="Times New Roman"/>
          <w:sz w:val="24"/>
          <w:szCs w:val="24"/>
        </w:rPr>
        <w:t xml:space="preserve"> to see a result that </w:t>
      </w:r>
      <w:r w:rsidR="00576450">
        <w:rPr>
          <w:rFonts w:ascii="Times New Roman" w:hAnsi="Times New Roman" w:cs="Times New Roman"/>
          <w:sz w:val="24"/>
          <w:szCs w:val="24"/>
        </w:rPr>
        <w:t>does not agree with the underlying motivations of implementing reinsurance</w:t>
      </w:r>
      <w:r w:rsidR="00AE4322">
        <w:rPr>
          <w:rFonts w:ascii="Times New Roman" w:hAnsi="Times New Roman" w:cs="Times New Roman"/>
          <w:sz w:val="24"/>
          <w:szCs w:val="24"/>
        </w:rPr>
        <w:t xml:space="preserve">—while we have stated that we cannot definitively conclude any causal implications for this outcome, that does not imply we should dismiss or ignore this result. Rather, </w:t>
      </w:r>
      <w:r w:rsidR="00894018">
        <w:rPr>
          <w:rFonts w:ascii="Times New Roman" w:hAnsi="Times New Roman" w:cs="Times New Roman"/>
          <w:sz w:val="24"/>
          <w:szCs w:val="24"/>
        </w:rPr>
        <w:t xml:space="preserve">the estimated causal effects for this outcome beckon </w:t>
      </w:r>
      <w:r w:rsidR="00EE407B">
        <w:rPr>
          <w:rFonts w:ascii="Times New Roman" w:hAnsi="Times New Roman" w:cs="Times New Roman"/>
          <w:sz w:val="24"/>
          <w:szCs w:val="24"/>
        </w:rPr>
        <w:t xml:space="preserve">even further analysis, particularly with respect to the fact that the estimators for the early treatment group are </w:t>
      </w:r>
      <w:r w:rsidR="004E3D04">
        <w:rPr>
          <w:rFonts w:ascii="Times New Roman" w:hAnsi="Times New Roman" w:cs="Times New Roman"/>
          <w:sz w:val="24"/>
          <w:szCs w:val="24"/>
        </w:rPr>
        <w:t xml:space="preserve">practically trivially small, while those of the late treatment group are consistently sizably negative. </w:t>
      </w:r>
      <w:r w:rsidR="00733E90">
        <w:rPr>
          <w:rFonts w:ascii="Times New Roman" w:hAnsi="Times New Roman" w:cs="Times New Roman"/>
          <w:sz w:val="24"/>
          <w:szCs w:val="24"/>
        </w:rPr>
        <w:t xml:space="preserve">This dissonance between the two groups is peculiar in this instance because of the size of those differing magnitudes, whereas other results tend to live within </w:t>
      </w:r>
      <w:r w:rsidR="00673AE4">
        <w:rPr>
          <w:rFonts w:ascii="Times New Roman" w:hAnsi="Times New Roman" w:cs="Times New Roman"/>
          <w:sz w:val="24"/>
          <w:szCs w:val="24"/>
        </w:rPr>
        <w:t>a similar</w:t>
      </w:r>
      <w:r w:rsidR="00733E90">
        <w:rPr>
          <w:rFonts w:ascii="Times New Roman" w:hAnsi="Times New Roman" w:cs="Times New Roman"/>
          <w:sz w:val="24"/>
          <w:szCs w:val="24"/>
        </w:rPr>
        <w:t xml:space="preserve"> range of one another, regardless of </w:t>
      </w:r>
      <w:r w:rsidR="00342B68">
        <w:rPr>
          <w:rFonts w:ascii="Times New Roman" w:hAnsi="Times New Roman" w:cs="Times New Roman"/>
          <w:sz w:val="24"/>
          <w:szCs w:val="24"/>
        </w:rPr>
        <w:t xml:space="preserve">whether they differ in size or not. </w:t>
      </w:r>
    </w:p>
    <w:p w14:paraId="2E6CB5FC" w14:textId="79C846EA" w:rsidR="006C6192" w:rsidRDefault="006C6192" w:rsidP="00232673">
      <w:pPr>
        <w:rPr>
          <w:rFonts w:ascii="Times New Roman" w:hAnsi="Times New Roman" w:cs="Times New Roman"/>
          <w:sz w:val="24"/>
          <w:szCs w:val="24"/>
        </w:rPr>
      </w:pPr>
      <w:r>
        <w:rPr>
          <w:rFonts w:ascii="Times New Roman" w:hAnsi="Times New Roman" w:cs="Times New Roman"/>
          <w:sz w:val="24"/>
          <w:szCs w:val="24"/>
        </w:rPr>
        <w:tab/>
        <w:t xml:space="preserve">When considering the </w:t>
      </w:r>
      <w:r w:rsidR="001864E1">
        <w:rPr>
          <w:rFonts w:ascii="Times New Roman" w:hAnsi="Times New Roman" w:cs="Times New Roman"/>
          <w:sz w:val="24"/>
          <w:szCs w:val="24"/>
        </w:rPr>
        <w:t>limitations of this study, we touch again</w:t>
      </w:r>
      <w:r w:rsidR="00E1032F">
        <w:rPr>
          <w:rFonts w:ascii="Times New Roman" w:hAnsi="Times New Roman" w:cs="Times New Roman"/>
          <w:sz w:val="24"/>
          <w:szCs w:val="24"/>
        </w:rPr>
        <w:t xml:space="preserve"> on</w:t>
      </w:r>
      <w:r w:rsidR="006046B1">
        <w:rPr>
          <w:rFonts w:ascii="Times New Roman" w:hAnsi="Times New Roman" w:cs="Times New Roman"/>
          <w:sz w:val="24"/>
          <w:szCs w:val="24"/>
        </w:rPr>
        <w:t xml:space="preserve"> a couple of previously mentioned</w:t>
      </w:r>
      <w:r w:rsidR="00E1032F">
        <w:rPr>
          <w:rFonts w:ascii="Times New Roman" w:hAnsi="Times New Roman" w:cs="Times New Roman"/>
          <w:sz w:val="24"/>
          <w:szCs w:val="24"/>
        </w:rPr>
        <w:t xml:space="preserve"> fact</w:t>
      </w:r>
      <w:r w:rsidR="006046B1">
        <w:rPr>
          <w:rFonts w:ascii="Times New Roman" w:hAnsi="Times New Roman" w:cs="Times New Roman"/>
          <w:sz w:val="24"/>
          <w:szCs w:val="24"/>
        </w:rPr>
        <w:t>s</w:t>
      </w:r>
      <w:r w:rsidR="00C05589">
        <w:rPr>
          <w:rFonts w:ascii="Times New Roman" w:hAnsi="Times New Roman" w:cs="Times New Roman"/>
          <w:sz w:val="24"/>
          <w:szCs w:val="24"/>
        </w:rPr>
        <w:t>, specifically</w:t>
      </w:r>
      <w:r w:rsidR="00E1032F">
        <w:rPr>
          <w:rFonts w:ascii="Times New Roman" w:hAnsi="Times New Roman" w:cs="Times New Roman"/>
          <w:sz w:val="24"/>
          <w:szCs w:val="24"/>
        </w:rPr>
        <w:t xml:space="preserve"> that </w:t>
      </w:r>
      <w:r w:rsidR="00A11A53">
        <w:rPr>
          <w:rFonts w:ascii="Times New Roman" w:hAnsi="Times New Roman" w:cs="Times New Roman"/>
          <w:sz w:val="24"/>
          <w:szCs w:val="24"/>
        </w:rPr>
        <w:t>the BRFSS</w:t>
      </w:r>
      <w:r w:rsidR="007D7252">
        <w:rPr>
          <w:rFonts w:ascii="Times New Roman" w:hAnsi="Times New Roman" w:cs="Times New Roman"/>
          <w:sz w:val="24"/>
          <w:szCs w:val="24"/>
        </w:rPr>
        <w:t xml:space="preserve"> is a sprawling dataset, which may have contained too much noise to accurately capture the effect that we were looking for</w:t>
      </w:r>
      <w:r w:rsidR="00652FD0">
        <w:rPr>
          <w:rFonts w:ascii="Times New Roman" w:hAnsi="Times New Roman" w:cs="Times New Roman"/>
          <w:sz w:val="24"/>
          <w:szCs w:val="24"/>
        </w:rPr>
        <w:t>, and, a</w:t>
      </w:r>
      <w:r w:rsidR="007D7252">
        <w:rPr>
          <w:rFonts w:ascii="Times New Roman" w:hAnsi="Times New Roman" w:cs="Times New Roman"/>
          <w:sz w:val="24"/>
          <w:szCs w:val="24"/>
        </w:rPr>
        <w:t>dditionally,</w:t>
      </w:r>
      <w:r w:rsidR="00652FD0">
        <w:rPr>
          <w:rFonts w:ascii="Times New Roman" w:hAnsi="Times New Roman" w:cs="Times New Roman"/>
          <w:sz w:val="24"/>
          <w:szCs w:val="24"/>
        </w:rPr>
        <w:t xml:space="preserve"> that</w:t>
      </w:r>
      <w:r w:rsidR="007D7252">
        <w:rPr>
          <w:rFonts w:ascii="Times New Roman" w:hAnsi="Times New Roman" w:cs="Times New Roman"/>
          <w:sz w:val="24"/>
          <w:szCs w:val="24"/>
        </w:rPr>
        <w:t xml:space="preserve"> the </w:t>
      </w:r>
      <w:r w:rsidR="006503FE">
        <w:rPr>
          <w:rFonts w:ascii="Times New Roman" w:hAnsi="Times New Roman" w:cs="Times New Roman"/>
          <w:sz w:val="24"/>
          <w:szCs w:val="24"/>
        </w:rPr>
        <w:t xml:space="preserve">implementation of other programs in conjunction with reinsurance </w:t>
      </w:r>
      <w:r w:rsidR="00B734F4">
        <w:rPr>
          <w:rFonts w:ascii="Times New Roman" w:hAnsi="Times New Roman" w:cs="Times New Roman"/>
          <w:sz w:val="24"/>
          <w:szCs w:val="24"/>
        </w:rPr>
        <w:t>to</w:t>
      </w:r>
      <w:r w:rsidR="006503FE">
        <w:rPr>
          <w:rFonts w:ascii="Times New Roman" w:hAnsi="Times New Roman" w:cs="Times New Roman"/>
          <w:sz w:val="24"/>
          <w:szCs w:val="24"/>
        </w:rPr>
        <w:t xml:space="preserve"> encourage health insurance participation clouds the ability to </w:t>
      </w:r>
      <w:r w:rsidR="00B734F4">
        <w:rPr>
          <w:rFonts w:ascii="Times New Roman" w:hAnsi="Times New Roman" w:cs="Times New Roman"/>
          <w:sz w:val="24"/>
          <w:szCs w:val="24"/>
        </w:rPr>
        <w:t xml:space="preserve">speak in absolutes in terms of causality. </w:t>
      </w:r>
      <w:r w:rsidR="0091535E">
        <w:rPr>
          <w:rFonts w:ascii="Times New Roman" w:hAnsi="Times New Roman" w:cs="Times New Roman"/>
          <w:sz w:val="24"/>
          <w:szCs w:val="24"/>
        </w:rPr>
        <w:t xml:space="preserve">Furthermore, all of these programs established under 1332 waivers are </w:t>
      </w:r>
      <w:r w:rsidR="00B751A9">
        <w:rPr>
          <w:rFonts w:ascii="Times New Roman" w:hAnsi="Times New Roman" w:cs="Times New Roman"/>
          <w:sz w:val="24"/>
          <w:szCs w:val="24"/>
        </w:rPr>
        <w:t>very new, with only a couple years, at most, of being in effect [with respect to the data that we operated with]</w:t>
      </w:r>
      <w:r w:rsidR="00242C97">
        <w:rPr>
          <w:rFonts w:ascii="Times New Roman" w:hAnsi="Times New Roman" w:cs="Times New Roman"/>
          <w:sz w:val="24"/>
          <w:szCs w:val="24"/>
        </w:rPr>
        <w:t xml:space="preserve">—it remains possible that it is simply too early on </w:t>
      </w:r>
      <w:r w:rsidR="00716512">
        <w:rPr>
          <w:rFonts w:ascii="Times New Roman" w:hAnsi="Times New Roman" w:cs="Times New Roman"/>
          <w:sz w:val="24"/>
          <w:szCs w:val="24"/>
        </w:rPr>
        <w:t xml:space="preserve">for the larger, overarching impacts of these programs to extend as far down as to individual health outcomes, particularly </w:t>
      </w:r>
      <w:r w:rsidR="006F5C64">
        <w:rPr>
          <w:rFonts w:ascii="Times New Roman" w:hAnsi="Times New Roman" w:cs="Times New Roman"/>
          <w:sz w:val="24"/>
          <w:szCs w:val="24"/>
        </w:rPr>
        <w:t xml:space="preserve">when the programs </w:t>
      </w:r>
      <w:r w:rsidR="00DA11BB">
        <w:rPr>
          <w:rFonts w:ascii="Times New Roman" w:hAnsi="Times New Roman" w:cs="Times New Roman"/>
          <w:sz w:val="24"/>
          <w:szCs w:val="24"/>
        </w:rPr>
        <w:t>have yet to fully experience increased insurer participation, one expected outcome of reinsurance implementation</w:t>
      </w:r>
      <w:r w:rsidR="00932CCF">
        <w:rPr>
          <w:rFonts w:ascii="Times New Roman" w:hAnsi="Times New Roman" w:cs="Times New Roman"/>
          <w:sz w:val="24"/>
          <w:szCs w:val="24"/>
        </w:rPr>
        <w:t xml:space="preserve"> that should further improve health care insurance options for consumers</w:t>
      </w:r>
      <w:r w:rsidR="00DA11BB">
        <w:rPr>
          <w:rFonts w:ascii="Times New Roman" w:hAnsi="Times New Roman" w:cs="Times New Roman"/>
          <w:sz w:val="24"/>
          <w:szCs w:val="24"/>
        </w:rPr>
        <w:t xml:space="preserve"> (Schwab, 2018). </w:t>
      </w:r>
      <w:r w:rsidR="00944CF9">
        <w:rPr>
          <w:rFonts w:ascii="Times New Roman" w:hAnsi="Times New Roman" w:cs="Times New Roman"/>
          <w:sz w:val="24"/>
          <w:szCs w:val="24"/>
        </w:rPr>
        <w:t xml:space="preserve">It is also understood that </w:t>
      </w:r>
      <w:r w:rsidR="002B534E">
        <w:rPr>
          <w:rFonts w:ascii="Times New Roman" w:hAnsi="Times New Roman" w:cs="Times New Roman"/>
          <w:sz w:val="24"/>
          <w:szCs w:val="24"/>
        </w:rPr>
        <w:t xml:space="preserve">our model setup did not fully satisfy the requirements of a DID model and, even when accounting for this violation </w:t>
      </w:r>
      <w:r w:rsidR="00ED7BEE">
        <w:rPr>
          <w:rFonts w:ascii="Times New Roman" w:hAnsi="Times New Roman" w:cs="Times New Roman"/>
          <w:sz w:val="24"/>
          <w:szCs w:val="24"/>
        </w:rPr>
        <w:t xml:space="preserve">via PSM, </w:t>
      </w:r>
      <w:r w:rsidR="00D701B2">
        <w:rPr>
          <w:rFonts w:ascii="Times New Roman" w:hAnsi="Times New Roman" w:cs="Times New Roman"/>
          <w:sz w:val="24"/>
          <w:szCs w:val="24"/>
        </w:rPr>
        <w:t xml:space="preserve">our results do remain qualified by this complication. </w:t>
      </w:r>
      <w:r w:rsidR="00082028">
        <w:rPr>
          <w:rFonts w:ascii="Times New Roman" w:hAnsi="Times New Roman" w:cs="Times New Roman"/>
          <w:sz w:val="24"/>
          <w:szCs w:val="24"/>
        </w:rPr>
        <w:t xml:space="preserve">Lastly, as </w:t>
      </w:r>
      <w:r w:rsidR="009E4072">
        <w:rPr>
          <w:rFonts w:ascii="Times New Roman" w:hAnsi="Times New Roman" w:cs="Times New Roman"/>
          <w:sz w:val="24"/>
          <w:szCs w:val="24"/>
        </w:rPr>
        <w:t xml:space="preserve">explained in </w:t>
      </w:r>
      <w:r w:rsidR="00FE6D47">
        <w:rPr>
          <w:rFonts w:ascii="Times New Roman" w:hAnsi="Times New Roman" w:cs="Times New Roman"/>
          <w:sz w:val="24"/>
          <w:szCs w:val="24"/>
        </w:rPr>
        <w:t>section 3</w:t>
      </w:r>
      <w:r w:rsidR="00E90891">
        <w:rPr>
          <w:rFonts w:ascii="Times New Roman" w:hAnsi="Times New Roman" w:cs="Times New Roman"/>
          <w:sz w:val="24"/>
          <w:szCs w:val="24"/>
        </w:rPr>
        <w:t>, New Jersey was not included in this analysis</w:t>
      </w:r>
      <w:r w:rsidR="00AE4E4F">
        <w:rPr>
          <w:rFonts w:ascii="Times New Roman" w:hAnsi="Times New Roman" w:cs="Times New Roman"/>
          <w:sz w:val="24"/>
          <w:szCs w:val="24"/>
        </w:rPr>
        <w:t xml:space="preserve"> due to data unavailability, thus limiting the scope of being able to completely assess the entirety of states which have implemented reinsurance programs.</w:t>
      </w:r>
    </w:p>
    <w:p w14:paraId="09B2DFCA" w14:textId="7BE4D75A" w:rsidR="00AE4E4F" w:rsidRDefault="00AE4E4F" w:rsidP="00232673">
      <w:pPr>
        <w:rPr>
          <w:rFonts w:ascii="Times New Roman" w:hAnsi="Times New Roman" w:cs="Times New Roman"/>
          <w:sz w:val="24"/>
          <w:szCs w:val="24"/>
        </w:rPr>
      </w:pPr>
      <w:r>
        <w:rPr>
          <w:rFonts w:ascii="Times New Roman" w:hAnsi="Times New Roman" w:cs="Times New Roman"/>
          <w:sz w:val="24"/>
          <w:szCs w:val="24"/>
        </w:rPr>
        <w:tab/>
      </w:r>
      <w:r w:rsidR="00CA05C2">
        <w:rPr>
          <w:rFonts w:ascii="Times New Roman" w:hAnsi="Times New Roman" w:cs="Times New Roman"/>
          <w:sz w:val="24"/>
          <w:szCs w:val="24"/>
        </w:rPr>
        <w:t xml:space="preserve">Looking forward to potential future avenues of research that can follow up on this </w:t>
      </w:r>
      <w:r w:rsidR="00F22ED5">
        <w:rPr>
          <w:rFonts w:ascii="Times New Roman" w:hAnsi="Times New Roman" w:cs="Times New Roman"/>
          <w:sz w:val="24"/>
          <w:szCs w:val="24"/>
        </w:rPr>
        <w:t>thesis</w:t>
      </w:r>
      <w:r w:rsidR="00CA05C2">
        <w:rPr>
          <w:rFonts w:ascii="Times New Roman" w:hAnsi="Times New Roman" w:cs="Times New Roman"/>
          <w:sz w:val="24"/>
          <w:szCs w:val="24"/>
        </w:rPr>
        <w:t xml:space="preserve">, there exist </w:t>
      </w:r>
      <w:r w:rsidR="00F22ED5">
        <w:rPr>
          <w:rFonts w:ascii="Times New Roman" w:hAnsi="Times New Roman" w:cs="Times New Roman"/>
          <w:sz w:val="24"/>
          <w:szCs w:val="24"/>
        </w:rPr>
        <w:t>a few</w:t>
      </w:r>
      <w:r w:rsidR="00CA05C2">
        <w:rPr>
          <w:rFonts w:ascii="Times New Roman" w:hAnsi="Times New Roman" w:cs="Times New Roman"/>
          <w:sz w:val="24"/>
          <w:szCs w:val="24"/>
        </w:rPr>
        <w:t xml:space="preserve"> different directions that one could head in.</w:t>
      </w:r>
      <w:r w:rsidR="00F22ED5">
        <w:rPr>
          <w:rFonts w:ascii="Times New Roman" w:hAnsi="Times New Roman" w:cs="Times New Roman"/>
          <w:sz w:val="24"/>
          <w:szCs w:val="24"/>
        </w:rPr>
        <w:t xml:space="preserve"> An independent examination of New Jersey </w:t>
      </w:r>
      <w:r w:rsidR="00E7378D">
        <w:rPr>
          <w:rFonts w:ascii="Times New Roman" w:hAnsi="Times New Roman" w:cs="Times New Roman"/>
          <w:sz w:val="24"/>
          <w:szCs w:val="24"/>
        </w:rPr>
        <w:t xml:space="preserve">utilizing similar methodologies and investigating the same </w:t>
      </w:r>
      <w:r w:rsidR="00F05584">
        <w:rPr>
          <w:rFonts w:ascii="Times New Roman" w:hAnsi="Times New Roman" w:cs="Times New Roman"/>
          <w:sz w:val="24"/>
          <w:szCs w:val="24"/>
        </w:rPr>
        <w:t>types</w:t>
      </w:r>
      <w:r w:rsidR="00E7378D">
        <w:rPr>
          <w:rFonts w:ascii="Times New Roman" w:hAnsi="Times New Roman" w:cs="Times New Roman"/>
          <w:sz w:val="24"/>
          <w:szCs w:val="24"/>
        </w:rPr>
        <w:t xml:space="preserve"> of</w:t>
      </w:r>
      <w:r w:rsidR="00F05584">
        <w:rPr>
          <w:rFonts w:ascii="Times New Roman" w:hAnsi="Times New Roman" w:cs="Times New Roman"/>
          <w:sz w:val="24"/>
          <w:szCs w:val="24"/>
        </w:rPr>
        <w:t xml:space="preserve"> health</w:t>
      </w:r>
      <w:r w:rsidR="00E7378D">
        <w:rPr>
          <w:rFonts w:ascii="Times New Roman" w:hAnsi="Times New Roman" w:cs="Times New Roman"/>
          <w:sz w:val="24"/>
          <w:szCs w:val="24"/>
        </w:rPr>
        <w:t xml:space="preserve"> outcomes </w:t>
      </w:r>
      <w:r w:rsidR="00F05584">
        <w:rPr>
          <w:rFonts w:ascii="Times New Roman" w:hAnsi="Times New Roman" w:cs="Times New Roman"/>
          <w:sz w:val="24"/>
          <w:szCs w:val="24"/>
        </w:rPr>
        <w:t xml:space="preserve">from </w:t>
      </w:r>
      <w:r w:rsidR="00F05584">
        <w:rPr>
          <w:rFonts w:ascii="Times New Roman" w:hAnsi="Times New Roman" w:cs="Times New Roman"/>
          <w:sz w:val="24"/>
          <w:szCs w:val="24"/>
        </w:rPr>
        <w:lastRenderedPageBreak/>
        <w:t xml:space="preserve">a different dataset </w:t>
      </w:r>
      <w:r w:rsidR="00E7378D">
        <w:rPr>
          <w:rFonts w:ascii="Times New Roman" w:hAnsi="Times New Roman" w:cs="Times New Roman"/>
          <w:sz w:val="24"/>
          <w:szCs w:val="24"/>
        </w:rPr>
        <w:t xml:space="preserve">could be fruitful and </w:t>
      </w:r>
      <w:r w:rsidR="00B102FE">
        <w:rPr>
          <w:rFonts w:ascii="Times New Roman" w:hAnsi="Times New Roman" w:cs="Times New Roman"/>
          <w:sz w:val="24"/>
          <w:szCs w:val="24"/>
        </w:rPr>
        <w:t>add additional weight</w:t>
      </w:r>
      <w:r w:rsidR="00E7378D">
        <w:rPr>
          <w:rFonts w:ascii="Times New Roman" w:hAnsi="Times New Roman" w:cs="Times New Roman"/>
          <w:sz w:val="24"/>
          <w:szCs w:val="24"/>
        </w:rPr>
        <w:t xml:space="preserve"> </w:t>
      </w:r>
      <w:r w:rsidR="00B102FE">
        <w:rPr>
          <w:rFonts w:ascii="Times New Roman" w:hAnsi="Times New Roman" w:cs="Times New Roman"/>
          <w:sz w:val="24"/>
          <w:szCs w:val="24"/>
        </w:rPr>
        <w:t xml:space="preserve">to </w:t>
      </w:r>
      <w:r w:rsidR="00E7378D">
        <w:rPr>
          <w:rFonts w:ascii="Times New Roman" w:hAnsi="Times New Roman" w:cs="Times New Roman"/>
          <w:sz w:val="24"/>
          <w:szCs w:val="24"/>
        </w:rPr>
        <w:t xml:space="preserve">the findings </w:t>
      </w:r>
      <w:r w:rsidR="00F05584">
        <w:rPr>
          <w:rFonts w:ascii="Times New Roman" w:hAnsi="Times New Roman" w:cs="Times New Roman"/>
          <w:sz w:val="24"/>
          <w:szCs w:val="24"/>
        </w:rPr>
        <w:t>stated here.</w:t>
      </w:r>
      <w:r w:rsidR="002249D6">
        <w:rPr>
          <w:rFonts w:ascii="Times New Roman" w:hAnsi="Times New Roman" w:cs="Times New Roman"/>
          <w:sz w:val="24"/>
          <w:szCs w:val="24"/>
        </w:rPr>
        <w:t xml:space="preserve"> In a separate vein, </w:t>
      </w:r>
      <w:r w:rsidR="0057219A">
        <w:rPr>
          <w:rFonts w:ascii="Times New Roman" w:hAnsi="Times New Roman" w:cs="Times New Roman"/>
          <w:sz w:val="24"/>
          <w:szCs w:val="24"/>
        </w:rPr>
        <w:t xml:space="preserve">investigation of different health outcomes </w:t>
      </w:r>
      <w:r w:rsidR="006A7A10">
        <w:rPr>
          <w:rFonts w:ascii="Times New Roman" w:hAnsi="Times New Roman" w:cs="Times New Roman"/>
          <w:sz w:val="24"/>
          <w:szCs w:val="24"/>
        </w:rPr>
        <w:t>could also be useful; it is entirely plausible that other health outcomes [like the usage of preventative testing</w:t>
      </w:r>
      <w:r w:rsidR="006012AD">
        <w:rPr>
          <w:rFonts w:ascii="Times New Roman" w:hAnsi="Times New Roman" w:cs="Times New Roman"/>
          <w:sz w:val="24"/>
          <w:szCs w:val="24"/>
        </w:rPr>
        <w:t xml:space="preserve"> services</w:t>
      </w:r>
      <w:r w:rsidR="006A7A10">
        <w:rPr>
          <w:rFonts w:ascii="Times New Roman" w:hAnsi="Times New Roman" w:cs="Times New Roman"/>
          <w:sz w:val="24"/>
          <w:szCs w:val="24"/>
        </w:rPr>
        <w:t xml:space="preserve">] </w:t>
      </w:r>
      <w:r w:rsidR="00EB6460">
        <w:rPr>
          <w:rFonts w:ascii="Times New Roman" w:hAnsi="Times New Roman" w:cs="Times New Roman"/>
          <w:sz w:val="24"/>
          <w:szCs w:val="24"/>
        </w:rPr>
        <w:t xml:space="preserve">may have larger, more measurable alterations in response to reinsurance. </w:t>
      </w:r>
      <w:r w:rsidR="006973BA">
        <w:rPr>
          <w:rFonts w:ascii="Times New Roman" w:hAnsi="Times New Roman" w:cs="Times New Roman"/>
          <w:sz w:val="24"/>
          <w:szCs w:val="24"/>
        </w:rPr>
        <w:t xml:space="preserve">Additionally, a similar approach could be employed to look at sub-populations rather than entire </w:t>
      </w:r>
      <w:r w:rsidR="00921F41">
        <w:rPr>
          <w:rFonts w:ascii="Times New Roman" w:hAnsi="Times New Roman" w:cs="Times New Roman"/>
          <w:sz w:val="24"/>
          <w:szCs w:val="24"/>
        </w:rPr>
        <w:t xml:space="preserve">state populations. Reinsurance is designed to help on claims with unexpectedly high costs, such as someone in otherwise good health who is diagnosed with cancer, </w:t>
      </w:r>
      <w:r w:rsidR="00FE389C">
        <w:rPr>
          <w:rFonts w:ascii="Times New Roman" w:hAnsi="Times New Roman" w:cs="Times New Roman"/>
          <w:sz w:val="24"/>
          <w:szCs w:val="24"/>
        </w:rPr>
        <w:t>and it may be worthwhile to try and determine if certain sub-populations, like th</w:t>
      </w:r>
      <w:r w:rsidR="00F535D7">
        <w:rPr>
          <w:rFonts w:ascii="Times New Roman" w:hAnsi="Times New Roman" w:cs="Times New Roman"/>
          <w:sz w:val="24"/>
          <w:szCs w:val="24"/>
        </w:rPr>
        <w:t xml:space="preserve">ose with chronic diseases, experience differing outcomes </w:t>
      </w:r>
      <w:r w:rsidR="003F66D9">
        <w:rPr>
          <w:rFonts w:ascii="Times New Roman" w:hAnsi="Times New Roman" w:cs="Times New Roman"/>
          <w:sz w:val="24"/>
          <w:szCs w:val="24"/>
        </w:rPr>
        <w:t>in relation to others.</w:t>
      </w:r>
      <w:r w:rsidR="0051653F">
        <w:rPr>
          <w:rFonts w:ascii="Times New Roman" w:hAnsi="Times New Roman" w:cs="Times New Roman"/>
          <w:sz w:val="24"/>
          <w:szCs w:val="24"/>
        </w:rPr>
        <w:t xml:space="preserve"> </w:t>
      </w:r>
      <w:r w:rsidR="00B217D2">
        <w:rPr>
          <w:rFonts w:ascii="Times New Roman" w:hAnsi="Times New Roman" w:cs="Times New Roman"/>
          <w:sz w:val="24"/>
          <w:szCs w:val="24"/>
        </w:rPr>
        <w:t>Subsequently</w:t>
      </w:r>
      <w:r w:rsidR="0051653F">
        <w:rPr>
          <w:rFonts w:ascii="Times New Roman" w:hAnsi="Times New Roman" w:cs="Times New Roman"/>
          <w:sz w:val="24"/>
          <w:szCs w:val="24"/>
        </w:rPr>
        <w:t xml:space="preserve">, tying back to the findings pertaining to </w:t>
      </w:r>
      <w:r w:rsidR="00B64447">
        <w:rPr>
          <w:rFonts w:ascii="Times New Roman" w:hAnsi="Times New Roman" w:cs="Times New Roman"/>
          <w:sz w:val="24"/>
          <w:szCs w:val="24"/>
        </w:rPr>
        <w:t xml:space="preserve">proportions of individuals who had some form of health coverage, justification was provided in section 2 which </w:t>
      </w:r>
      <w:r w:rsidR="00527807">
        <w:rPr>
          <w:rFonts w:ascii="Times New Roman" w:hAnsi="Times New Roman" w:cs="Times New Roman"/>
          <w:sz w:val="24"/>
          <w:szCs w:val="24"/>
        </w:rPr>
        <w:t xml:space="preserve">reasoned that examining entire state populations was appropriate for the purposes of this thesis, yet our results indicate that further segmentation </w:t>
      </w:r>
      <w:r w:rsidR="00B217D2">
        <w:rPr>
          <w:rFonts w:ascii="Times New Roman" w:hAnsi="Times New Roman" w:cs="Times New Roman"/>
          <w:sz w:val="24"/>
          <w:szCs w:val="24"/>
        </w:rPr>
        <w:t>may unveil important</w:t>
      </w:r>
      <w:r w:rsidR="002B4E43">
        <w:rPr>
          <w:rFonts w:ascii="Times New Roman" w:hAnsi="Times New Roman" w:cs="Times New Roman"/>
          <w:sz w:val="24"/>
          <w:szCs w:val="24"/>
        </w:rPr>
        <w:t xml:space="preserve"> additional information. Reinsurance operates within the sphere of the private health care market, so, along with </w:t>
      </w:r>
      <w:r w:rsidR="005774AE">
        <w:rPr>
          <w:rFonts w:ascii="Times New Roman" w:hAnsi="Times New Roman" w:cs="Times New Roman"/>
          <w:sz w:val="24"/>
          <w:szCs w:val="24"/>
        </w:rPr>
        <w:t xml:space="preserve">stratifying populations based on health characteristics, it may be worthwhile to also </w:t>
      </w:r>
      <w:r w:rsidR="00396611">
        <w:rPr>
          <w:rFonts w:ascii="Times New Roman" w:hAnsi="Times New Roman" w:cs="Times New Roman"/>
          <w:sz w:val="24"/>
          <w:szCs w:val="24"/>
        </w:rPr>
        <w:t>do so based on where and how an individual receives their health coverage. Ideally, doing so could have the potential to shed light and provide clarity to why we found such stark discrepancies in that particular outcome amongst our treatment groups</w:t>
      </w:r>
      <w:r w:rsidR="00F1444B">
        <w:rPr>
          <w:rFonts w:ascii="Times New Roman" w:hAnsi="Times New Roman" w:cs="Times New Roman"/>
          <w:sz w:val="24"/>
          <w:szCs w:val="24"/>
        </w:rPr>
        <w:t xml:space="preserve">, perhaps revealing a more nuanced and concrete difference amongst varying narrower populations. </w:t>
      </w:r>
      <w:r w:rsidR="003F66D9">
        <w:rPr>
          <w:rFonts w:ascii="Times New Roman" w:hAnsi="Times New Roman" w:cs="Times New Roman"/>
          <w:sz w:val="24"/>
          <w:szCs w:val="24"/>
        </w:rPr>
        <w:t xml:space="preserve">Finally, in connection to </w:t>
      </w:r>
      <w:r w:rsidR="005E35E2">
        <w:rPr>
          <w:rFonts w:ascii="Times New Roman" w:hAnsi="Times New Roman" w:cs="Times New Roman"/>
          <w:sz w:val="24"/>
          <w:szCs w:val="24"/>
        </w:rPr>
        <w:t xml:space="preserve">our dialogue on insurer actions in the presence of reinsurance and </w:t>
      </w:r>
      <w:r w:rsidR="00F77664">
        <w:rPr>
          <w:rFonts w:ascii="Times New Roman" w:hAnsi="Times New Roman" w:cs="Times New Roman"/>
          <w:sz w:val="24"/>
          <w:szCs w:val="24"/>
        </w:rPr>
        <w:t xml:space="preserve">our results on the proportion of individuals with health coverage and those who have forgone or delayed medical care due to costs, </w:t>
      </w:r>
      <w:r w:rsidR="00EA31AF">
        <w:rPr>
          <w:rFonts w:ascii="Times New Roman" w:hAnsi="Times New Roman" w:cs="Times New Roman"/>
          <w:sz w:val="24"/>
          <w:szCs w:val="24"/>
        </w:rPr>
        <w:t xml:space="preserve">there is research potential in </w:t>
      </w:r>
      <w:r w:rsidR="00E23EAA">
        <w:rPr>
          <w:rFonts w:ascii="Times New Roman" w:hAnsi="Times New Roman" w:cs="Times New Roman"/>
          <w:sz w:val="24"/>
          <w:szCs w:val="24"/>
        </w:rPr>
        <w:t>exploring the relationship between plan offerings by insurers in states that have adopted 1332 waivers, especially in the context of selection incentives</w:t>
      </w:r>
      <w:r w:rsidR="007C76E6">
        <w:rPr>
          <w:rFonts w:ascii="Times New Roman" w:hAnsi="Times New Roman" w:cs="Times New Roman"/>
          <w:sz w:val="24"/>
          <w:szCs w:val="24"/>
        </w:rPr>
        <w:t>; this could perhaps provide some justification to why these outcomes can seem to devolve with the implementation of reinsurance.</w:t>
      </w:r>
      <w:r w:rsidR="00CD4A95">
        <w:rPr>
          <w:rFonts w:ascii="Times New Roman" w:hAnsi="Times New Roman" w:cs="Times New Roman"/>
          <w:sz w:val="24"/>
          <w:szCs w:val="24"/>
        </w:rPr>
        <w:t xml:space="preserve"> If insurers are </w:t>
      </w:r>
      <w:r w:rsidR="00B35192">
        <w:rPr>
          <w:rFonts w:ascii="Times New Roman" w:hAnsi="Times New Roman" w:cs="Times New Roman"/>
          <w:sz w:val="24"/>
          <w:szCs w:val="24"/>
        </w:rPr>
        <w:t>intentionally degrading plan offerings to dissuade</w:t>
      </w:r>
      <w:r w:rsidR="0010312F">
        <w:rPr>
          <w:rFonts w:ascii="Times New Roman" w:hAnsi="Times New Roman" w:cs="Times New Roman"/>
          <w:sz w:val="24"/>
          <w:szCs w:val="24"/>
        </w:rPr>
        <w:t xml:space="preserve"> individuals from some options, then perhaps those individuals are finding themselves </w:t>
      </w:r>
      <w:r w:rsidR="00C65972">
        <w:rPr>
          <w:rFonts w:ascii="Times New Roman" w:hAnsi="Times New Roman" w:cs="Times New Roman"/>
          <w:sz w:val="24"/>
          <w:szCs w:val="24"/>
        </w:rPr>
        <w:t xml:space="preserve">with no </w:t>
      </w:r>
      <w:r w:rsidR="002C1513">
        <w:rPr>
          <w:rFonts w:ascii="Times New Roman" w:hAnsi="Times New Roman" w:cs="Times New Roman"/>
          <w:sz w:val="24"/>
          <w:szCs w:val="24"/>
        </w:rPr>
        <w:t>course of action</w:t>
      </w:r>
      <w:r w:rsidR="00C65972">
        <w:rPr>
          <w:rFonts w:ascii="Times New Roman" w:hAnsi="Times New Roman" w:cs="Times New Roman"/>
          <w:sz w:val="24"/>
          <w:szCs w:val="24"/>
        </w:rPr>
        <w:t xml:space="preserve"> but to accept a plan that covers their worst-case scenario needs</w:t>
      </w:r>
      <w:r w:rsidR="00575FA7">
        <w:rPr>
          <w:rFonts w:ascii="Times New Roman" w:hAnsi="Times New Roman" w:cs="Times New Roman"/>
          <w:sz w:val="24"/>
          <w:szCs w:val="24"/>
        </w:rPr>
        <w:t xml:space="preserve"> while</w:t>
      </w:r>
      <w:r w:rsidR="00C65972">
        <w:rPr>
          <w:rFonts w:ascii="Times New Roman" w:hAnsi="Times New Roman" w:cs="Times New Roman"/>
          <w:sz w:val="24"/>
          <w:szCs w:val="24"/>
        </w:rPr>
        <w:t xml:space="preserve"> leav</w:t>
      </w:r>
      <w:r w:rsidR="00575FA7">
        <w:rPr>
          <w:rFonts w:ascii="Times New Roman" w:hAnsi="Times New Roman" w:cs="Times New Roman"/>
          <w:sz w:val="24"/>
          <w:szCs w:val="24"/>
        </w:rPr>
        <w:t>ing</w:t>
      </w:r>
      <w:r w:rsidR="00C65972">
        <w:rPr>
          <w:rFonts w:ascii="Times New Roman" w:hAnsi="Times New Roman" w:cs="Times New Roman"/>
          <w:sz w:val="24"/>
          <w:szCs w:val="24"/>
        </w:rPr>
        <w:t xml:space="preserve"> them in a position where they cannot afford to seek out care for more </w:t>
      </w:r>
      <w:r w:rsidR="00E4343A">
        <w:rPr>
          <w:rFonts w:ascii="Times New Roman" w:hAnsi="Times New Roman" w:cs="Times New Roman"/>
          <w:sz w:val="24"/>
          <w:szCs w:val="24"/>
        </w:rPr>
        <w:t>[subjectively] minor ailments or conditions.</w:t>
      </w:r>
    </w:p>
    <w:p w14:paraId="4895F22D" w14:textId="57E58A76" w:rsidR="00E34AE0" w:rsidRDefault="00E34AE0" w:rsidP="00232673">
      <w:pPr>
        <w:rPr>
          <w:rFonts w:ascii="Times New Roman" w:hAnsi="Times New Roman" w:cs="Times New Roman"/>
          <w:sz w:val="24"/>
          <w:szCs w:val="24"/>
        </w:rPr>
      </w:pPr>
    </w:p>
    <w:p w14:paraId="1A6C0E80" w14:textId="19918E36" w:rsidR="00E34AE0" w:rsidRDefault="00E34AE0" w:rsidP="00232673">
      <w:pPr>
        <w:rPr>
          <w:rFonts w:ascii="Times New Roman" w:hAnsi="Times New Roman" w:cs="Times New Roman"/>
          <w:sz w:val="24"/>
          <w:szCs w:val="24"/>
        </w:rPr>
      </w:pPr>
    </w:p>
    <w:p w14:paraId="00096D63" w14:textId="05EB3ACD" w:rsidR="00871B5C" w:rsidRDefault="00871B5C" w:rsidP="00232673">
      <w:pPr>
        <w:rPr>
          <w:rFonts w:ascii="Times New Roman" w:hAnsi="Times New Roman" w:cs="Times New Roman"/>
          <w:sz w:val="24"/>
          <w:szCs w:val="24"/>
        </w:rPr>
      </w:pPr>
    </w:p>
    <w:p w14:paraId="2C3B8D63" w14:textId="03ABCA50" w:rsidR="00672B76" w:rsidRDefault="00672B76" w:rsidP="00232673">
      <w:pPr>
        <w:rPr>
          <w:rFonts w:ascii="Times New Roman" w:hAnsi="Times New Roman" w:cs="Times New Roman"/>
          <w:sz w:val="24"/>
          <w:szCs w:val="24"/>
        </w:rPr>
      </w:pPr>
    </w:p>
    <w:p w14:paraId="707D0D24" w14:textId="086E131F" w:rsidR="00672B76" w:rsidRDefault="00672B76" w:rsidP="00232673">
      <w:pPr>
        <w:rPr>
          <w:rFonts w:ascii="Times New Roman" w:hAnsi="Times New Roman" w:cs="Times New Roman"/>
          <w:sz w:val="24"/>
          <w:szCs w:val="24"/>
        </w:rPr>
      </w:pPr>
    </w:p>
    <w:p w14:paraId="01E03540" w14:textId="11679971" w:rsidR="00672B76" w:rsidRDefault="00672B76" w:rsidP="00232673">
      <w:pPr>
        <w:rPr>
          <w:rFonts w:ascii="Times New Roman" w:hAnsi="Times New Roman" w:cs="Times New Roman"/>
          <w:sz w:val="24"/>
          <w:szCs w:val="24"/>
        </w:rPr>
      </w:pPr>
    </w:p>
    <w:p w14:paraId="4E763894" w14:textId="28655CE9" w:rsidR="00672B76" w:rsidRDefault="00672B76" w:rsidP="00232673">
      <w:pPr>
        <w:rPr>
          <w:rFonts w:ascii="Times New Roman" w:hAnsi="Times New Roman" w:cs="Times New Roman"/>
          <w:sz w:val="24"/>
          <w:szCs w:val="24"/>
        </w:rPr>
      </w:pPr>
    </w:p>
    <w:p w14:paraId="7353F2C7" w14:textId="208BE0F3" w:rsidR="00672B76" w:rsidRDefault="00672B76" w:rsidP="00232673">
      <w:pPr>
        <w:rPr>
          <w:rFonts w:ascii="Times New Roman" w:hAnsi="Times New Roman" w:cs="Times New Roman"/>
          <w:sz w:val="24"/>
          <w:szCs w:val="24"/>
        </w:rPr>
      </w:pPr>
    </w:p>
    <w:p w14:paraId="31419B5A" w14:textId="77777777" w:rsidR="009E2EA6" w:rsidRDefault="009E2EA6" w:rsidP="00232673">
      <w:pPr>
        <w:rPr>
          <w:rFonts w:ascii="Times New Roman" w:hAnsi="Times New Roman" w:cs="Times New Roman"/>
          <w:sz w:val="24"/>
          <w:szCs w:val="24"/>
        </w:rPr>
      </w:pPr>
    </w:p>
    <w:p w14:paraId="6703219D" w14:textId="77777777" w:rsidR="00672B76" w:rsidRPr="00F735C2" w:rsidRDefault="00672B76" w:rsidP="00232673">
      <w:pPr>
        <w:rPr>
          <w:rFonts w:ascii="Times New Roman" w:hAnsi="Times New Roman" w:cs="Times New Roman"/>
          <w:sz w:val="24"/>
          <w:szCs w:val="24"/>
        </w:rPr>
      </w:pPr>
    </w:p>
    <w:p w14:paraId="2642B063" w14:textId="16C2FE91" w:rsidR="004F1F44" w:rsidRDefault="00F154F1" w:rsidP="00232673">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Section 7: </w:t>
      </w:r>
      <w:r w:rsidR="004F1F44">
        <w:rPr>
          <w:rFonts w:ascii="Times New Roman" w:hAnsi="Times New Roman" w:cs="Times New Roman"/>
          <w:b/>
          <w:bCs/>
          <w:sz w:val="28"/>
          <w:szCs w:val="28"/>
          <w:u w:val="single"/>
        </w:rPr>
        <w:t>Conclusion</w:t>
      </w:r>
    </w:p>
    <w:p w14:paraId="5498DE16" w14:textId="2E64DA03" w:rsidR="004F1F44" w:rsidRPr="00625DF0" w:rsidRDefault="004F1F44" w:rsidP="00232673">
      <w:pPr>
        <w:rPr>
          <w:rFonts w:ascii="Times New Roman" w:hAnsi="Times New Roman" w:cs="Times New Roman"/>
          <w:sz w:val="24"/>
          <w:szCs w:val="24"/>
        </w:rPr>
      </w:pPr>
      <w:r>
        <w:rPr>
          <w:rFonts w:ascii="Times New Roman" w:hAnsi="Times New Roman" w:cs="Times New Roman"/>
          <w:sz w:val="28"/>
          <w:szCs w:val="28"/>
        </w:rPr>
        <w:tab/>
      </w:r>
      <w:r w:rsidR="00625DF0">
        <w:rPr>
          <w:rFonts w:ascii="Times New Roman" w:hAnsi="Times New Roman" w:cs="Times New Roman"/>
          <w:sz w:val="24"/>
          <w:szCs w:val="24"/>
        </w:rPr>
        <w:t xml:space="preserve">1332 waivers provide the means for states to </w:t>
      </w:r>
      <w:r w:rsidR="00821DD2">
        <w:rPr>
          <w:rFonts w:ascii="Times New Roman" w:hAnsi="Times New Roman" w:cs="Times New Roman"/>
          <w:sz w:val="24"/>
          <w:szCs w:val="24"/>
        </w:rPr>
        <w:t>limit increasing premium prices in private health insurance markets</w:t>
      </w:r>
      <w:r w:rsidR="00F11C11">
        <w:rPr>
          <w:rFonts w:ascii="Times New Roman" w:hAnsi="Times New Roman" w:cs="Times New Roman"/>
          <w:sz w:val="24"/>
          <w:szCs w:val="24"/>
        </w:rPr>
        <w:t>, with the hope of providing a more affordable healthcare option</w:t>
      </w:r>
      <w:r w:rsidR="00D51289">
        <w:rPr>
          <w:rFonts w:ascii="Times New Roman" w:hAnsi="Times New Roman" w:cs="Times New Roman"/>
          <w:sz w:val="24"/>
          <w:szCs w:val="24"/>
        </w:rPr>
        <w:t xml:space="preserve"> to citizens. </w:t>
      </w:r>
      <w:r w:rsidR="002E0D14">
        <w:rPr>
          <w:rFonts w:ascii="Times New Roman" w:hAnsi="Times New Roman" w:cs="Times New Roman"/>
          <w:sz w:val="24"/>
          <w:szCs w:val="24"/>
        </w:rPr>
        <w:t xml:space="preserve">In doing so, states are simultaneously hoping that lower prices can drive more people towards acquiring health insurance and protecting their health. </w:t>
      </w:r>
      <w:r w:rsidR="00A91011">
        <w:rPr>
          <w:rFonts w:ascii="Times New Roman" w:hAnsi="Times New Roman" w:cs="Times New Roman"/>
          <w:sz w:val="24"/>
          <w:szCs w:val="24"/>
        </w:rPr>
        <w:t xml:space="preserve">We </w:t>
      </w:r>
      <w:r w:rsidR="009920A8">
        <w:rPr>
          <w:rFonts w:ascii="Times New Roman" w:hAnsi="Times New Roman" w:cs="Times New Roman"/>
          <w:sz w:val="24"/>
          <w:szCs w:val="24"/>
        </w:rPr>
        <w:t xml:space="preserve">investigated whether </w:t>
      </w:r>
      <w:r w:rsidR="00A91011">
        <w:rPr>
          <w:rFonts w:ascii="Times New Roman" w:hAnsi="Times New Roman" w:cs="Times New Roman"/>
          <w:sz w:val="24"/>
          <w:szCs w:val="24"/>
        </w:rPr>
        <w:t xml:space="preserve">these 1332 waivers are bearing out those results, as measured by </w:t>
      </w:r>
      <w:r w:rsidR="00460CE6">
        <w:rPr>
          <w:rFonts w:ascii="Times New Roman" w:hAnsi="Times New Roman" w:cs="Times New Roman"/>
          <w:sz w:val="24"/>
          <w:szCs w:val="24"/>
        </w:rPr>
        <w:t xml:space="preserve">individuals’ </w:t>
      </w:r>
      <w:r w:rsidR="00A91011">
        <w:rPr>
          <w:rFonts w:ascii="Times New Roman" w:hAnsi="Times New Roman" w:cs="Times New Roman"/>
          <w:sz w:val="24"/>
          <w:szCs w:val="24"/>
        </w:rPr>
        <w:t>health outcomes</w:t>
      </w:r>
      <w:r w:rsidR="00190F42">
        <w:rPr>
          <w:rFonts w:ascii="Times New Roman" w:hAnsi="Times New Roman" w:cs="Times New Roman"/>
          <w:sz w:val="24"/>
          <w:szCs w:val="24"/>
        </w:rPr>
        <w:t>,</w:t>
      </w:r>
      <w:r w:rsidR="009920A8">
        <w:rPr>
          <w:rFonts w:ascii="Times New Roman" w:hAnsi="Times New Roman" w:cs="Times New Roman"/>
          <w:sz w:val="24"/>
          <w:szCs w:val="24"/>
        </w:rPr>
        <w:t xml:space="preserve"> in addition to </w:t>
      </w:r>
      <w:r w:rsidR="00764821">
        <w:rPr>
          <w:rFonts w:ascii="Times New Roman" w:hAnsi="Times New Roman" w:cs="Times New Roman"/>
          <w:sz w:val="24"/>
          <w:szCs w:val="24"/>
        </w:rPr>
        <w:t xml:space="preserve">a handful of other </w:t>
      </w:r>
      <w:r w:rsidR="00391630">
        <w:rPr>
          <w:rFonts w:ascii="Times New Roman" w:hAnsi="Times New Roman" w:cs="Times New Roman"/>
          <w:sz w:val="24"/>
          <w:szCs w:val="24"/>
        </w:rPr>
        <w:t>downstream effects,</w:t>
      </w:r>
      <w:r w:rsidR="00190F42">
        <w:rPr>
          <w:rFonts w:ascii="Times New Roman" w:hAnsi="Times New Roman" w:cs="Times New Roman"/>
          <w:sz w:val="24"/>
          <w:szCs w:val="24"/>
        </w:rPr>
        <w:t xml:space="preserve"> which tend to improve under </w:t>
      </w:r>
      <w:r w:rsidR="000E6DF6">
        <w:rPr>
          <w:rFonts w:ascii="Times New Roman" w:hAnsi="Times New Roman" w:cs="Times New Roman"/>
          <w:sz w:val="24"/>
          <w:szCs w:val="24"/>
        </w:rPr>
        <w:t xml:space="preserve">boosted insurance enrollment rates. This investigation </w:t>
      </w:r>
      <w:r w:rsidR="00391630">
        <w:rPr>
          <w:rFonts w:ascii="Times New Roman" w:hAnsi="Times New Roman" w:cs="Times New Roman"/>
          <w:sz w:val="24"/>
          <w:szCs w:val="24"/>
        </w:rPr>
        <w:t>was</w:t>
      </w:r>
      <w:r w:rsidR="000E6DF6">
        <w:rPr>
          <w:rFonts w:ascii="Times New Roman" w:hAnsi="Times New Roman" w:cs="Times New Roman"/>
          <w:sz w:val="24"/>
          <w:szCs w:val="24"/>
        </w:rPr>
        <w:t xml:space="preserve"> done with the purpose</w:t>
      </w:r>
      <w:r w:rsidR="00C60BEC">
        <w:rPr>
          <w:rFonts w:ascii="Times New Roman" w:hAnsi="Times New Roman" w:cs="Times New Roman"/>
          <w:sz w:val="24"/>
          <w:szCs w:val="24"/>
        </w:rPr>
        <w:t xml:space="preserve"> of determining the efficiency and effectiveness of reinsurance </w:t>
      </w:r>
      <w:r w:rsidR="0037244D">
        <w:rPr>
          <w:rFonts w:ascii="Times New Roman" w:hAnsi="Times New Roman" w:cs="Times New Roman"/>
          <w:sz w:val="24"/>
          <w:szCs w:val="24"/>
        </w:rPr>
        <w:t>to not only qualm market volatility,</w:t>
      </w:r>
      <w:r w:rsidR="00A57A40">
        <w:rPr>
          <w:rFonts w:ascii="Times New Roman" w:hAnsi="Times New Roman" w:cs="Times New Roman"/>
          <w:sz w:val="24"/>
          <w:szCs w:val="24"/>
        </w:rPr>
        <w:t xml:space="preserve"> as it is directly intended to do,</w:t>
      </w:r>
      <w:r w:rsidR="0037244D">
        <w:rPr>
          <w:rFonts w:ascii="Times New Roman" w:hAnsi="Times New Roman" w:cs="Times New Roman"/>
          <w:sz w:val="24"/>
          <w:szCs w:val="24"/>
        </w:rPr>
        <w:t xml:space="preserve"> but to</w:t>
      </w:r>
      <w:r w:rsidR="00A57A40">
        <w:rPr>
          <w:rFonts w:ascii="Times New Roman" w:hAnsi="Times New Roman" w:cs="Times New Roman"/>
          <w:sz w:val="24"/>
          <w:szCs w:val="24"/>
        </w:rPr>
        <w:t xml:space="preserve"> further</w:t>
      </w:r>
      <w:r w:rsidR="0037244D">
        <w:rPr>
          <w:rFonts w:ascii="Times New Roman" w:hAnsi="Times New Roman" w:cs="Times New Roman"/>
          <w:sz w:val="24"/>
          <w:szCs w:val="24"/>
        </w:rPr>
        <w:t xml:space="preserve"> </w:t>
      </w:r>
      <w:r w:rsidR="00E41CC2">
        <w:rPr>
          <w:rFonts w:ascii="Times New Roman" w:hAnsi="Times New Roman" w:cs="Times New Roman"/>
          <w:sz w:val="24"/>
          <w:szCs w:val="24"/>
        </w:rPr>
        <w:t xml:space="preserve">refine the livelihood of Americans. </w:t>
      </w:r>
      <w:r w:rsidR="00171DA7">
        <w:rPr>
          <w:rFonts w:ascii="Times New Roman" w:hAnsi="Times New Roman" w:cs="Times New Roman"/>
          <w:sz w:val="24"/>
          <w:szCs w:val="24"/>
        </w:rPr>
        <w:t xml:space="preserve">Our research findings </w:t>
      </w:r>
      <w:r w:rsidR="00F12694">
        <w:rPr>
          <w:rFonts w:ascii="Times New Roman" w:hAnsi="Times New Roman" w:cs="Times New Roman"/>
          <w:sz w:val="24"/>
          <w:szCs w:val="24"/>
        </w:rPr>
        <w:t>indicate minimal causal effects of reinsurance implementation on individual health outcomes</w:t>
      </w:r>
      <w:r w:rsidR="000F1109">
        <w:rPr>
          <w:rFonts w:ascii="Times New Roman" w:hAnsi="Times New Roman" w:cs="Times New Roman"/>
          <w:sz w:val="24"/>
          <w:szCs w:val="24"/>
        </w:rPr>
        <w:t xml:space="preserve"> </w:t>
      </w:r>
      <w:r w:rsidR="0047376F">
        <w:rPr>
          <w:rFonts w:ascii="Times New Roman" w:hAnsi="Times New Roman" w:cs="Times New Roman"/>
          <w:sz w:val="24"/>
          <w:szCs w:val="24"/>
        </w:rPr>
        <w:t>currently</w:t>
      </w:r>
      <w:r w:rsidR="000F1109">
        <w:rPr>
          <w:rFonts w:ascii="Times New Roman" w:hAnsi="Times New Roman" w:cs="Times New Roman"/>
          <w:sz w:val="24"/>
          <w:szCs w:val="24"/>
        </w:rPr>
        <w:t>.</w:t>
      </w:r>
      <w:r w:rsidR="0047376F">
        <w:rPr>
          <w:rFonts w:ascii="Times New Roman" w:hAnsi="Times New Roman" w:cs="Times New Roman"/>
          <w:sz w:val="24"/>
          <w:szCs w:val="24"/>
        </w:rPr>
        <w:t xml:space="preserve"> Any such effects that </w:t>
      </w:r>
      <w:r w:rsidR="008B0108">
        <w:rPr>
          <w:rFonts w:ascii="Times New Roman" w:hAnsi="Times New Roman" w:cs="Times New Roman"/>
          <w:sz w:val="24"/>
          <w:szCs w:val="24"/>
        </w:rPr>
        <w:t>have</w:t>
      </w:r>
      <w:r w:rsidR="0047376F">
        <w:rPr>
          <w:rFonts w:ascii="Times New Roman" w:hAnsi="Times New Roman" w:cs="Times New Roman"/>
          <w:sz w:val="24"/>
          <w:szCs w:val="24"/>
        </w:rPr>
        <w:t xml:space="preserve"> seem</w:t>
      </w:r>
      <w:r w:rsidR="008B0108">
        <w:rPr>
          <w:rFonts w:ascii="Times New Roman" w:hAnsi="Times New Roman" w:cs="Times New Roman"/>
          <w:sz w:val="24"/>
          <w:szCs w:val="24"/>
        </w:rPr>
        <w:t xml:space="preserve">ed </w:t>
      </w:r>
      <w:r w:rsidR="0047376F">
        <w:rPr>
          <w:rFonts w:ascii="Times New Roman" w:hAnsi="Times New Roman" w:cs="Times New Roman"/>
          <w:sz w:val="24"/>
          <w:szCs w:val="24"/>
        </w:rPr>
        <w:t>to emerge are relatively marginal</w:t>
      </w:r>
      <w:r w:rsidR="008B0108">
        <w:rPr>
          <w:rFonts w:ascii="Times New Roman" w:hAnsi="Times New Roman" w:cs="Times New Roman"/>
          <w:sz w:val="24"/>
          <w:szCs w:val="24"/>
        </w:rPr>
        <w:t>, and some</w:t>
      </w:r>
      <w:r w:rsidR="00C128C8">
        <w:rPr>
          <w:rFonts w:ascii="Times New Roman" w:hAnsi="Times New Roman" w:cs="Times New Roman"/>
          <w:sz w:val="24"/>
          <w:szCs w:val="24"/>
        </w:rPr>
        <w:t xml:space="preserve"> of our more consistent and stronger results</w:t>
      </w:r>
      <w:r w:rsidR="008B0108">
        <w:rPr>
          <w:rFonts w:ascii="Times New Roman" w:hAnsi="Times New Roman" w:cs="Times New Roman"/>
          <w:sz w:val="24"/>
          <w:szCs w:val="24"/>
        </w:rPr>
        <w:t xml:space="preserve"> even </w:t>
      </w:r>
      <w:r w:rsidR="00C0631D">
        <w:rPr>
          <w:rFonts w:ascii="Times New Roman" w:hAnsi="Times New Roman" w:cs="Times New Roman"/>
          <w:sz w:val="24"/>
          <w:szCs w:val="24"/>
        </w:rPr>
        <w:t xml:space="preserve">indicate </w:t>
      </w:r>
      <w:r w:rsidR="00B1168D">
        <w:rPr>
          <w:rFonts w:ascii="Times New Roman" w:hAnsi="Times New Roman" w:cs="Times New Roman"/>
          <w:sz w:val="24"/>
          <w:szCs w:val="24"/>
        </w:rPr>
        <w:t>poorer health outcomes for populations of states which have implemented reinsurance, suggesting that the immediate positive market effects of reinsurance on health insurance suppliers are not effectively working their way down to the consumer</w:t>
      </w:r>
      <w:r w:rsidR="005615F5">
        <w:rPr>
          <w:rFonts w:ascii="Times New Roman" w:hAnsi="Times New Roman" w:cs="Times New Roman"/>
          <w:sz w:val="24"/>
          <w:szCs w:val="24"/>
        </w:rPr>
        <w:t>s’ experiences.</w:t>
      </w:r>
      <w:r w:rsidR="0080181E">
        <w:rPr>
          <w:rFonts w:ascii="Times New Roman" w:hAnsi="Times New Roman" w:cs="Times New Roman"/>
          <w:sz w:val="24"/>
          <w:szCs w:val="24"/>
        </w:rPr>
        <w:t xml:space="preserve"> </w:t>
      </w:r>
      <w:r w:rsidR="00A57A40">
        <w:rPr>
          <w:rFonts w:ascii="Times New Roman" w:hAnsi="Times New Roman" w:cs="Times New Roman"/>
          <w:sz w:val="24"/>
          <w:szCs w:val="24"/>
        </w:rPr>
        <w:t xml:space="preserve">As these waivers continue to pick up steam </w:t>
      </w:r>
      <w:r w:rsidR="003B6BE7">
        <w:rPr>
          <w:rFonts w:ascii="Times New Roman" w:hAnsi="Times New Roman" w:cs="Times New Roman"/>
          <w:sz w:val="24"/>
          <w:szCs w:val="24"/>
        </w:rPr>
        <w:t>with</w:t>
      </w:r>
      <w:r w:rsidR="00A57A40">
        <w:rPr>
          <w:rFonts w:ascii="Times New Roman" w:hAnsi="Times New Roman" w:cs="Times New Roman"/>
          <w:sz w:val="24"/>
          <w:szCs w:val="24"/>
        </w:rPr>
        <w:t xml:space="preserve"> bi-partisan support</w:t>
      </w:r>
      <w:r w:rsidR="003B6BE7">
        <w:rPr>
          <w:rFonts w:ascii="Times New Roman" w:hAnsi="Times New Roman" w:cs="Times New Roman"/>
          <w:sz w:val="24"/>
          <w:szCs w:val="24"/>
        </w:rPr>
        <w:t xml:space="preserve"> that makes them one of the few </w:t>
      </w:r>
      <w:r w:rsidR="00872AA2">
        <w:rPr>
          <w:rFonts w:ascii="Times New Roman" w:hAnsi="Times New Roman" w:cs="Times New Roman"/>
          <w:sz w:val="24"/>
          <w:szCs w:val="24"/>
        </w:rPr>
        <w:t xml:space="preserve">significant </w:t>
      </w:r>
      <w:r w:rsidR="003B6BE7">
        <w:rPr>
          <w:rFonts w:ascii="Times New Roman" w:hAnsi="Times New Roman" w:cs="Times New Roman"/>
          <w:sz w:val="24"/>
          <w:szCs w:val="24"/>
        </w:rPr>
        <w:t xml:space="preserve">healthcare-related measures that are </w:t>
      </w:r>
      <w:r w:rsidR="00365E0C">
        <w:rPr>
          <w:rFonts w:ascii="Times New Roman" w:hAnsi="Times New Roman" w:cs="Times New Roman"/>
          <w:sz w:val="24"/>
          <w:szCs w:val="24"/>
        </w:rPr>
        <w:t>progressing into law</w:t>
      </w:r>
      <w:r w:rsidR="00DE7D3F">
        <w:rPr>
          <w:rFonts w:ascii="Times New Roman" w:hAnsi="Times New Roman" w:cs="Times New Roman"/>
          <w:sz w:val="24"/>
          <w:szCs w:val="24"/>
        </w:rPr>
        <w:t xml:space="preserve"> in the current day and age</w:t>
      </w:r>
      <w:r w:rsidR="00A57A40">
        <w:rPr>
          <w:rFonts w:ascii="Times New Roman" w:hAnsi="Times New Roman" w:cs="Times New Roman"/>
          <w:sz w:val="24"/>
          <w:szCs w:val="24"/>
        </w:rPr>
        <w:t xml:space="preserve">, </w:t>
      </w:r>
      <w:r w:rsidR="009C4023">
        <w:rPr>
          <w:rFonts w:ascii="Times New Roman" w:hAnsi="Times New Roman" w:cs="Times New Roman"/>
          <w:sz w:val="24"/>
          <w:szCs w:val="24"/>
        </w:rPr>
        <w:t>the</w:t>
      </w:r>
      <w:r w:rsidR="00A92D20">
        <w:rPr>
          <w:rFonts w:ascii="Times New Roman" w:hAnsi="Times New Roman" w:cs="Times New Roman"/>
          <w:sz w:val="24"/>
          <w:szCs w:val="24"/>
        </w:rPr>
        <w:t xml:space="preserve"> financial</w:t>
      </w:r>
      <w:r w:rsidR="009C4023">
        <w:rPr>
          <w:rFonts w:ascii="Times New Roman" w:hAnsi="Times New Roman" w:cs="Times New Roman"/>
          <w:sz w:val="24"/>
          <w:szCs w:val="24"/>
        </w:rPr>
        <w:t xml:space="preserve"> </w:t>
      </w:r>
      <w:r w:rsidR="005253CF">
        <w:rPr>
          <w:rFonts w:ascii="Times New Roman" w:hAnsi="Times New Roman" w:cs="Times New Roman"/>
          <w:sz w:val="24"/>
          <w:szCs w:val="24"/>
        </w:rPr>
        <w:t xml:space="preserve">and practical </w:t>
      </w:r>
      <w:r w:rsidR="009C4023">
        <w:rPr>
          <w:rFonts w:ascii="Times New Roman" w:hAnsi="Times New Roman" w:cs="Times New Roman"/>
          <w:sz w:val="24"/>
          <w:szCs w:val="24"/>
        </w:rPr>
        <w:t xml:space="preserve">logistics of continuing to establish, develop and maintain reinsurance programs </w:t>
      </w:r>
      <w:r w:rsidR="005253CF">
        <w:rPr>
          <w:rFonts w:ascii="Times New Roman" w:hAnsi="Times New Roman" w:cs="Times New Roman"/>
          <w:sz w:val="24"/>
          <w:szCs w:val="24"/>
        </w:rPr>
        <w:t xml:space="preserve">for the improvement of the American </w:t>
      </w:r>
      <w:r w:rsidR="00B50900">
        <w:rPr>
          <w:rFonts w:ascii="Times New Roman" w:hAnsi="Times New Roman" w:cs="Times New Roman"/>
          <w:sz w:val="24"/>
          <w:szCs w:val="24"/>
        </w:rPr>
        <w:t>health care system warrants further examination</w:t>
      </w:r>
      <w:r w:rsidR="00D32379">
        <w:rPr>
          <w:rFonts w:ascii="Times New Roman" w:hAnsi="Times New Roman" w:cs="Times New Roman"/>
          <w:sz w:val="24"/>
          <w:szCs w:val="24"/>
        </w:rPr>
        <w:t xml:space="preserve">. As a measure to improve </w:t>
      </w:r>
      <w:r w:rsidR="00103E7E">
        <w:rPr>
          <w:rFonts w:ascii="Times New Roman" w:hAnsi="Times New Roman" w:cs="Times New Roman"/>
          <w:sz w:val="24"/>
          <w:szCs w:val="24"/>
        </w:rPr>
        <w:t xml:space="preserve">insurer market conditions, reinsurance has been proven through research to succeed, but the </w:t>
      </w:r>
      <w:r w:rsidR="002A1BD1">
        <w:rPr>
          <w:rFonts w:ascii="Times New Roman" w:hAnsi="Times New Roman" w:cs="Times New Roman"/>
          <w:sz w:val="24"/>
          <w:szCs w:val="24"/>
        </w:rPr>
        <w:t xml:space="preserve">research conducted here demonstrates that </w:t>
      </w:r>
      <w:r w:rsidR="0064658F">
        <w:rPr>
          <w:rFonts w:ascii="Times New Roman" w:hAnsi="Times New Roman" w:cs="Times New Roman"/>
          <w:sz w:val="24"/>
          <w:szCs w:val="24"/>
        </w:rPr>
        <w:t>the average American’s access and utilization of health care will remain mostly unchanged</w:t>
      </w:r>
      <w:r w:rsidR="00D65750">
        <w:rPr>
          <w:rFonts w:ascii="Times New Roman" w:hAnsi="Times New Roman" w:cs="Times New Roman"/>
          <w:sz w:val="24"/>
          <w:szCs w:val="24"/>
        </w:rPr>
        <w:t xml:space="preserve"> in response to this policy, beckoning the question of whether continued support of these programs </w:t>
      </w:r>
      <w:r w:rsidR="00A74D2E">
        <w:rPr>
          <w:rFonts w:ascii="Times New Roman" w:hAnsi="Times New Roman" w:cs="Times New Roman"/>
          <w:sz w:val="24"/>
          <w:szCs w:val="24"/>
        </w:rPr>
        <w:t xml:space="preserve">can </w:t>
      </w:r>
      <w:r w:rsidR="000B597B">
        <w:rPr>
          <w:rFonts w:ascii="Times New Roman" w:hAnsi="Times New Roman" w:cs="Times New Roman"/>
          <w:sz w:val="24"/>
          <w:szCs w:val="24"/>
        </w:rPr>
        <w:t xml:space="preserve">truly </w:t>
      </w:r>
      <w:r w:rsidR="00A74D2E">
        <w:rPr>
          <w:rFonts w:ascii="Times New Roman" w:hAnsi="Times New Roman" w:cs="Times New Roman"/>
          <w:sz w:val="24"/>
          <w:szCs w:val="24"/>
        </w:rPr>
        <w:t>be justified</w:t>
      </w:r>
      <w:r w:rsidR="00FD11C9">
        <w:rPr>
          <w:rFonts w:ascii="Times New Roman" w:hAnsi="Times New Roman" w:cs="Times New Roman"/>
          <w:sz w:val="24"/>
          <w:szCs w:val="24"/>
        </w:rPr>
        <w:t xml:space="preserve"> as </w:t>
      </w:r>
      <w:r w:rsidR="007D237D">
        <w:rPr>
          <w:rFonts w:ascii="Times New Roman" w:hAnsi="Times New Roman" w:cs="Times New Roman"/>
          <w:sz w:val="24"/>
          <w:szCs w:val="24"/>
        </w:rPr>
        <w:t xml:space="preserve">a policy that </w:t>
      </w:r>
      <w:r w:rsidR="004E3361">
        <w:rPr>
          <w:rFonts w:ascii="Times New Roman" w:hAnsi="Times New Roman" w:cs="Times New Roman"/>
          <w:sz w:val="24"/>
          <w:szCs w:val="24"/>
        </w:rPr>
        <w:t>yield</w:t>
      </w:r>
      <w:r w:rsidR="006917BA">
        <w:rPr>
          <w:rFonts w:ascii="Times New Roman" w:hAnsi="Times New Roman" w:cs="Times New Roman"/>
          <w:sz w:val="24"/>
          <w:szCs w:val="24"/>
        </w:rPr>
        <w:t>s</w:t>
      </w:r>
      <w:r w:rsidR="007D237D">
        <w:rPr>
          <w:rFonts w:ascii="Times New Roman" w:hAnsi="Times New Roman" w:cs="Times New Roman"/>
          <w:sz w:val="24"/>
          <w:szCs w:val="24"/>
        </w:rPr>
        <w:t xml:space="preserve"> </w:t>
      </w:r>
      <w:r w:rsidR="00FD11C9">
        <w:rPr>
          <w:rFonts w:ascii="Times New Roman" w:hAnsi="Times New Roman" w:cs="Times New Roman"/>
          <w:sz w:val="24"/>
          <w:szCs w:val="24"/>
        </w:rPr>
        <w:t>a</w:t>
      </w:r>
      <w:r w:rsidR="00FB2618">
        <w:rPr>
          <w:rFonts w:ascii="Times New Roman" w:hAnsi="Times New Roman" w:cs="Times New Roman"/>
          <w:sz w:val="24"/>
          <w:szCs w:val="24"/>
        </w:rPr>
        <w:t>n</w:t>
      </w:r>
      <w:r w:rsidR="00995413">
        <w:rPr>
          <w:rFonts w:ascii="Times New Roman" w:hAnsi="Times New Roman" w:cs="Times New Roman"/>
          <w:sz w:val="24"/>
          <w:szCs w:val="24"/>
        </w:rPr>
        <w:t>y substantial health</w:t>
      </w:r>
      <w:r w:rsidR="00FB2618">
        <w:rPr>
          <w:rFonts w:ascii="Times New Roman" w:hAnsi="Times New Roman" w:cs="Times New Roman"/>
          <w:sz w:val="24"/>
          <w:szCs w:val="24"/>
        </w:rPr>
        <w:t xml:space="preserve"> enhancement</w:t>
      </w:r>
      <w:r w:rsidR="00995413">
        <w:rPr>
          <w:rFonts w:ascii="Times New Roman" w:hAnsi="Times New Roman" w:cs="Times New Roman"/>
          <w:sz w:val="24"/>
          <w:szCs w:val="24"/>
        </w:rPr>
        <w:t>s</w:t>
      </w:r>
      <w:r w:rsidR="00FB2618">
        <w:rPr>
          <w:rFonts w:ascii="Times New Roman" w:hAnsi="Times New Roman" w:cs="Times New Roman"/>
          <w:sz w:val="24"/>
          <w:szCs w:val="24"/>
        </w:rPr>
        <w:t xml:space="preserve"> </w:t>
      </w:r>
      <w:r w:rsidR="00FD11C9">
        <w:rPr>
          <w:rFonts w:ascii="Times New Roman" w:hAnsi="Times New Roman" w:cs="Times New Roman"/>
          <w:sz w:val="24"/>
          <w:szCs w:val="24"/>
        </w:rPr>
        <w:t>for the American people.</w:t>
      </w:r>
      <w:r w:rsidR="00861C9E">
        <w:rPr>
          <w:rFonts w:ascii="Times New Roman" w:hAnsi="Times New Roman" w:cs="Times New Roman"/>
          <w:sz w:val="24"/>
          <w:szCs w:val="24"/>
        </w:rPr>
        <w:t xml:space="preserve"> </w:t>
      </w:r>
    </w:p>
    <w:p w14:paraId="4FB8526F" w14:textId="6272FB89" w:rsidR="005135FA" w:rsidRDefault="005135FA" w:rsidP="000D1BBA">
      <w:pPr>
        <w:rPr>
          <w:rFonts w:ascii="Times New Roman" w:hAnsi="Times New Roman" w:cs="Times New Roman"/>
          <w:i/>
          <w:iCs/>
          <w:sz w:val="24"/>
          <w:szCs w:val="24"/>
        </w:rPr>
      </w:pPr>
    </w:p>
    <w:p w14:paraId="70289BD8" w14:textId="60EFAEF1" w:rsidR="00AB66B4" w:rsidRDefault="00AB66B4" w:rsidP="000D1BBA">
      <w:pPr>
        <w:rPr>
          <w:rFonts w:ascii="Times New Roman" w:hAnsi="Times New Roman" w:cs="Times New Roman"/>
          <w:i/>
          <w:iCs/>
          <w:sz w:val="24"/>
          <w:szCs w:val="24"/>
        </w:rPr>
      </w:pPr>
    </w:p>
    <w:p w14:paraId="66174EF5" w14:textId="273CED10" w:rsidR="00AB66B4" w:rsidRDefault="00AB66B4" w:rsidP="000D1BBA">
      <w:pPr>
        <w:rPr>
          <w:rFonts w:ascii="Times New Roman" w:hAnsi="Times New Roman" w:cs="Times New Roman"/>
          <w:i/>
          <w:iCs/>
          <w:sz w:val="24"/>
          <w:szCs w:val="24"/>
        </w:rPr>
      </w:pPr>
    </w:p>
    <w:p w14:paraId="675F5368" w14:textId="4F0F9964" w:rsidR="00AB66B4" w:rsidRDefault="00AB66B4" w:rsidP="000D1BBA">
      <w:pPr>
        <w:rPr>
          <w:rFonts w:ascii="Times New Roman" w:hAnsi="Times New Roman" w:cs="Times New Roman"/>
          <w:i/>
          <w:iCs/>
          <w:sz w:val="24"/>
          <w:szCs w:val="24"/>
        </w:rPr>
      </w:pPr>
    </w:p>
    <w:p w14:paraId="247C7EA7" w14:textId="571380AB" w:rsidR="00AB66B4" w:rsidRDefault="00AB66B4" w:rsidP="000D1BBA">
      <w:pPr>
        <w:rPr>
          <w:rFonts w:ascii="Times New Roman" w:hAnsi="Times New Roman" w:cs="Times New Roman"/>
          <w:i/>
          <w:iCs/>
          <w:sz w:val="24"/>
          <w:szCs w:val="24"/>
        </w:rPr>
      </w:pPr>
    </w:p>
    <w:p w14:paraId="223BFC36" w14:textId="72476028" w:rsidR="00AB66B4" w:rsidRDefault="00AB66B4" w:rsidP="000D1BBA">
      <w:pPr>
        <w:rPr>
          <w:rFonts w:ascii="Times New Roman" w:hAnsi="Times New Roman" w:cs="Times New Roman"/>
          <w:i/>
          <w:iCs/>
          <w:sz w:val="24"/>
          <w:szCs w:val="24"/>
        </w:rPr>
      </w:pPr>
    </w:p>
    <w:p w14:paraId="134F261C" w14:textId="54F478F4" w:rsidR="00AB66B4" w:rsidRDefault="00AB66B4" w:rsidP="000D1BBA">
      <w:pPr>
        <w:rPr>
          <w:rFonts w:ascii="Times New Roman" w:hAnsi="Times New Roman" w:cs="Times New Roman"/>
          <w:sz w:val="24"/>
          <w:szCs w:val="24"/>
        </w:rPr>
      </w:pPr>
    </w:p>
    <w:p w14:paraId="41D10254" w14:textId="77777777" w:rsidR="004C134C" w:rsidRDefault="004C134C" w:rsidP="000D1BBA">
      <w:pPr>
        <w:rPr>
          <w:rFonts w:ascii="Times New Roman" w:hAnsi="Times New Roman" w:cs="Times New Roman"/>
          <w:sz w:val="24"/>
          <w:szCs w:val="24"/>
        </w:rPr>
      </w:pPr>
    </w:p>
    <w:p w14:paraId="695F1B39" w14:textId="45E19C85" w:rsidR="0069242E" w:rsidRDefault="0069242E" w:rsidP="000D1BBA">
      <w:pPr>
        <w:rPr>
          <w:rFonts w:ascii="Times New Roman" w:hAnsi="Times New Roman" w:cs="Times New Roman"/>
          <w:sz w:val="24"/>
          <w:szCs w:val="24"/>
        </w:rPr>
      </w:pPr>
    </w:p>
    <w:p w14:paraId="72AF988C" w14:textId="371916FC" w:rsidR="0002663D" w:rsidRDefault="0002663D" w:rsidP="000D1BBA">
      <w:pPr>
        <w:rPr>
          <w:rFonts w:ascii="Times New Roman" w:hAnsi="Times New Roman" w:cs="Times New Roman"/>
          <w:sz w:val="24"/>
          <w:szCs w:val="24"/>
        </w:rPr>
      </w:pPr>
    </w:p>
    <w:p w14:paraId="589381E9" w14:textId="77777777" w:rsidR="00155753" w:rsidRDefault="00155753" w:rsidP="000D1BBA">
      <w:pPr>
        <w:rPr>
          <w:rFonts w:ascii="Times New Roman" w:hAnsi="Times New Roman" w:cs="Times New Roman"/>
          <w:sz w:val="24"/>
          <w:szCs w:val="24"/>
        </w:rPr>
      </w:pPr>
    </w:p>
    <w:p w14:paraId="523CE9E9" w14:textId="19784322" w:rsidR="006F227A" w:rsidRDefault="009B033D" w:rsidP="000D1BBA">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Appendix</w:t>
      </w:r>
    </w:p>
    <w:p w14:paraId="37565A2F" w14:textId="541F39BD" w:rsidR="00503E29" w:rsidRDefault="00503E29" w:rsidP="00503E29">
      <w:pPr>
        <w:pStyle w:val="Caption"/>
        <w:keepNext/>
        <w:rPr>
          <w:rFonts w:ascii="Times New Roman" w:hAnsi="Times New Roman" w:cs="Times New Roman"/>
          <w:noProof/>
        </w:rPr>
      </w:pPr>
      <w:r w:rsidRPr="0098588B">
        <w:rPr>
          <w:rFonts w:ascii="Times New Roman" w:hAnsi="Times New Roman" w:cs="Times New Roman"/>
        </w:rPr>
        <w:t xml:space="preserve">Table </w:t>
      </w:r>
      <w:r w:rsidRPr="0098588B">
        <w:rPr>
          <w:rFonts w:ascii="Times New Roman" w:hAnsi="Times New Roman" w:cs="Times New Roman"/>
        </w:rPr>
        <w:fldChar w:fldCharType="begin"/>
      </w:r>
      <w:r w:rsidRPr="0098588B">
        <w:rPr>
          <w:rFonts w:ascii="Times New Roman" w:hAnsi="Times New Roman" w:cs="Times New Roman"/>
        </w:rPr>
        <w:instrText xml:space="preserve"> SEQ Table \* ARABIC </w:instrText>
      </w:r>
      <w:r w:rsidRPr="0098588B">
        <w:rPr>
          <w:rFonts w:ascii="Times New Roman" w:hAnsi="Times New Roman" w:cs="Times New Roman"/>
        </w:rPr>
        <w:fldChar w:fldCharType="separate"/>
      </w:r>
      <w:r>
        <w:rPr>
          <w:rFonts w:ascii="Times New Roman" w:hAnsi="Times New Roman" w:cs="Times New Roman"/>
          <w:noProof/>
        </w:rPr>
        <w:t>1</w:t>
      </w:r>
      <w:r w:rsidRPr="0098588B">
        <w:rPr>
          <w:rFonts w:ascii="Times New Roman" w:hAnsi="Times New Roman" w:cs="Times New Roman"/>
          <w:noProof/>
        </w:rPr>
        <w:fldChar w:fldCharType="end"/>
      </w:r>
      <w:r>
        <w:rPr>
          <w:rFonts w:ascii="Times New Roman" w:hAnsi="Times New Roman" w:cs="Times New Roman"/>
          <w:noProof/>
        </w:rPr>
        <w:t>b</w:t>
      </w:r>
      <w:r w:rsidRPr="0098588B">
        <w:rPr>
          <w:rFonts w:ascii="Times New Roman" w:hAnsi="Times New Roman" w:cs="Times New Roman"/>
        </w:rPr>
        <w:t xml:space="preserve">. Regression Results for </w:t>
      </w:r>
      <w:r w:rsidRPr="0098588B">
        <w:rPr>
          <w:rFonts w:ascii="Times New Roman" w:hAnsi="Times New Roman" w:cs="Times New Roman"/>
          <w:noProof/>
        </w:rPr>
        <w:t>the proportion of individuals who reported good general health</w:t>
      </w:r>
      <w:r>
        <w:rPr>
          <w:rFonts w:ascii="Times New Roman" w:hAnsi="Times New Roman" w:cs="Times New Roman"/>
          <w:noProof/>
        </w:rPr>
        <w:t xml:space="preserve"> (</w:t>
      </w:r>
      <w:r w:rsidR="007C1914">
        <w:rPr>
          <w:rFonts w:ascii="Times New Roman" w:hAnsi="Times New Roman" w:cs="Times New Roman"/>
          <w:noProof/>
        </w:rPr>
        <w:t>un</w:t>
      </w:r>
      <w:r>
        <w:rPr>
          <w:rFonts w:ascii="Times New Roman" w:hAnsi="Times New Roman" w:cs="Times New Roman"/>
          <w:noProof/>
        </w:rPr>
        <w:t>weighted</w:t>
      </w:r>
      <w:r w:rsidR="007C1914">
        <w:rPr>
          <w:rFonts w:ascii="Times New Roman" w:hAnsi="Times New Roman" w:cs="Times New Roman"/>
          <w:noProof/>
        </w:rPr>
        <w:t>)</w:t>
      </w:r>
    </w:p>
    <w:p w14:paraId="442AD23C" w14:textId="432A269F" w:rsidR="00B471B5" w:rsidRPr="001A0517" w:rsidRDefault="001A0517" w:rsidP="001A0517">
      <w:pPr>
        <w:jc w:val="center"/>
      </w:pPr>
      <w:r>
        <w:rPr>
          <w:noProof/>
        </w:rPr>
        <w:drawing>
          <wp:inline distT="0" distB="0" distL="0" distR="0" wp14:anchorId="2B36D3C4" wp14:editId="00E0C9AF">
            <wp:extent cx="4768850" cy="1676657"/>
            <wp:effectExtent l="0" t="0" r="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785517" cy="1682517"/>
                    </a:xfrm>
                    <a:prstGeom prst="rect">
                      <a:avLst/>
                    </a:prstGeom>
                  </pic:spPr>
                </pic:pic>
              </a:graphicData>
            </a:graphic>
          </wp:inline>
        </w:drawing>
      </w:r>
    </w:p>
    <w:p w14:paraId="7260FA5D" w14:textId="757C2784" w:rsidR="00E0625E" w:rsidRDefault="007C1914" w:rsidP="007C1914">
      <w:pPr>
        <w:pStyle w:val="Caption"/>
        <w:keepNext/>
        <w:rPr>
          <w:rFonts w:ascii="Times New Roman" w:hAnsi="Times New Roman" w:cs="Times New Roman"/>
          <w:noProof/>
        </w:rPr>
      </w:pPr>
      <w:r w:rsidRPr="0098588B">
        <w:rPr>
          <w:rFonts w:ascii="Times New Roman" w:hAnsi="Times New Roman" w:cs="Times New Roman"/>
        </w:rPr>
        <w:t xml:space="preserve">Table </w:t>
      </w:r>
      <w:r w:rsidRPr="0098588B">
        <w:rPr>
          <w:rFonts w:ascii="Times New Roman" w:hAnsi="Times New Roman" w:cs="Times New Roman"/>
        </w:rPr>
        <w:fldChar w:fldCharType="begin"/>
      </w:r>
      <w:r w:rsidRPr="0098588B">
        <w:rPr>
          <w:rFonts w:ascii="Times New Roman" w:hAnsi="Times New Roman" w:cs="Times New Roman"/>
        </w:rPr>
        <w:instrText xml:space="preserve"> SEQ Table \* ARABIC </w:instrText>
      </w:r>
      <w:r w:rsidRPr="0098588B">
        <w:rPr>
          <w:rFonts w:ascii="Times New Roman" w:hAnsi="Times New Roman" w:cs="Times New Roman"/>
        </w:rPr>
        <w:fldChar w:fldCharType="separate"/>
      </w:r>
      <w:r>
        <w:rPr>
          <w:rFonts w:ascii="Times New Roman" w:hAnsi="Times New Roman" w:cs="Times New Roman"/>
          <w:noProof/>
        </w:rPr>
        <w:t>1</w:t>
      </w:r>
      <w:r w:rsidRPr="0098588B">
        <w:rPr>
          <w:rFonts w:ascii="Times New Roman" w:hAnsi="Times New Roman" w:cs="Times New Roman"/>
          <w:noProof/>
        </w:rPr>
        <w:fldChar w:fldCharType="end"/>
      </w:r>
      <w:r>
        <w:rPr>
          <w:rFonts w:ascii="Times New Roman" w:hAnsi="Times New Roman" w:cs="Times New Roman"/>
          <w:noProof/>
        </w:rPr>
        <w:t>c</w:t>
      </w:r>
      <w:r w:rsidRPr="0098588B">
        <w:rPr>
          <w:rFonts w:ascii="Times New Roman" w:hAnsi="Times New Roman" w:cs="Times New Roman"/>
        </w:rPr>
        <w:t xml:space="preserve">. Regression Results for </w:t>
      </w:r>
      <w:r w:rsidRPr="0098588B">
        <w:rPr>
          <w:rFonts w:ascii="Times New Roman" w:hAnsi="Times New Roman" w:cs="Times New Roman"/>
          <w:noProof/>
        </w:rPr>
        <w:t>the proportion of individuals who reported good general health</w:t>
      </w:r>
      <w:r>
        <w:rPr>
          <w:rFonts w:ascii="Times New Roman" w:hAnsi="Times New Roman" w:cs="Times New Roman"/>
          <w:noProof/>
        </w:rPr>
        <w:t xml:space="preserve"> (PSM with no covariates)</w:t>
      </w:r>
    </w:p>
    <w:p w14:paraId="3704E61E" w14:textId="17BD768E" w:rsidR="002664DB" w:rsidRDefault="002664DB" w:rsidP="002664DB">
      <w:pPr>
        <w:jc w:val="center"/>
      </w:pPr>
      <w:r>
        <w:rPr>
          <w:noProof/>
        </w:rPr>
        <w:drawing>
          <wp:inline distT="0" distB="0" distL="0" distR="0" wp14:anchorId="419D21FE" wp14:editId="05A7F70E">
            <wp:extent cx="4781550" cy="2445894"/>
            <wp:effectExtent l="0" t="0" r="0"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792629" cy="2451561"/>
                    </a:xfrm>
                    <a:prstGeom prst="rect">
                      <a:avLst/>
                    </a:prstGeom>
                  </pic:spPr>
                </pic:pic>
              </a:graphicData>
            </a:graphic>
          </wp:inline>
        </w:drawing>
      </w:r>
    </w:p>
    <w:p w14:paraId="4326672D" w14:textId="5007B1D5" w:rsidR="007C1914" w:rsidRDefault="007C1914" w:rsidP="007C1914">
      <w:pPr>
        <w:pStyle w:val="Caption"/>
        <w:keepNext/>
      </w:pPr>
      <w:r>
        <w:t xml:space="preserve">Table </w:t>
      </w:r>
      <w:fldSimple w:instr=" SEQ Table \* ARABIC ">
        <w:r>
          <w:rPr>
            <w:noProof/>
          </w:rPr>
          <w:t>2</w:t>
        </w:r>
      </w:fldSimple>
      <w:r>
        <w:rPr>
          <w:noProof/>
        </w:rPr>
        <w:t>b</w:t>
      </w:r>
      <w:r>
        <w:t>. Regression results for proportion of individuals that reported having poor overall health in the past month (unweighted)</w:t>
      </w:r>
    </w:p>
    <w:p w14:paraId="523E0A20" w14:textId="6466720D" w:rsidR="002664DB" w:rsidRDefault="002664DB" w:rsidP="002664DB">
      <w:pPr>
        <w:jc w:val="center"/>
      </w:pPr>
      <w:r>
        <w:rPr>
          <w:noProof/>
        </w:rPr>
        <w:drawing>
          <wp:inline distT="0" distB="0" distL="0" distR="0" wp14:anchorId="2F9580CC" wp14:editId="190809A3">
            <wp:extent cx="4902200" cy="1723541"/>
            <wp:effectExtent l="0" t="0" r="0" b="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910950" cy="1726617"/>
                    </a:xfrm>
                    <a:prstGeom prst="rect">
                      <a:avLst/>
                    </a:prstGeom>
                  </pic:spPr>
                </pic:pic>
              </a:graphicData>
            </a:graphic>
          </wp:inline>
        </w:drawing>
      </w:r>
    </w:p>
    <w:p w14:paraId="6528EB6D" w14:textId="64AA740B" w:rsidR="007C1914" w:rsidRDefault="007C1914" w:rsidP="007C1914">
      <w:pPr>
        <w:pStyle w:val="Caption"/>
        <w:keepNext/>
      </w:pPr>
      <w:r>
        <w:lastRenderedPageBreak/>
        <w:t xml:space="preserve">Table </w:t>
      </w:r>
      <w:fldSimple w:instr=" SEQ Table \* ARABIC ">
        <w:r>
          <w:rPr>
            <w:noProof/>
          </w:rPr>
          <w:t>2</w:t>
        </w:r>
      </w:fldSimple>
      <w:r>
        <w:rPr>
          <w:noProof/>
        </w:rPr>
        <w:t>c</w:t>
      </w:r>
      <w:r>
        <w:t>. Regression results for proportion of individuals that reported having poor overall health in the past month (PSM with no covariates)</w:t>
      </w:r>
    </w:p>
    <w:p w14:paraId="7A32B750" w14:textId="0ED67E2C" w:rsidR="002664DB" w:rsidRDefault="002664DB" w:rsidP="002664DB">
      <w:pPr>
        <w:jc w:val="center"/>
      </w:pPr>
      <w:r>
        <w:rPr>
          <w:noProof/>
        </w:rPr>
        <w:drawing>
          <wp:inline distT="0" distB="0" distL="0" distR="0" wp14:anchorId="3412D33E" wp14:editId="25B43EB5">
            <wp:extent cx="4787900" cy="2449142"/>
            <wp:effectExtent l="0" t="0" r="0" b="889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800698" cy="2455688"/>
                    </a:xfrm>
                    <a:prstGeom prst="rect">
                      <a:avLst/>
                    </a:prstGeom>
                  </pic:spPr>
                </pic:pic>
              </a:graphicData>
            </a:graphic>
          </wp:inline>
        </w:drawing>
      </w:r>
    </w:p>
    <w:p w14:paraId="2BE48DB4" w14:textId="326D2CB3" w:rsidR="007572AB" w:rsidRDefault="007572AB" w:rsidP="007572AB">
      <w:pPr>
        <w:pStyle w:val="Caption"/>
        <w:keepNext/>
      </w:pPr>
      <w:r>
        <w:t xml:space="preserve">Table </w:t>
      </w:r>
      <w:fldSimple w:instr=" SEQ Table \* ARABIC ">
        <w:r>
          <w:rPr>
            <w:noProof/>
          </w:rPr>
          <w:t>3</w:t>
        </w:r>
      </w:fldSimple>
      <w:r w:rsidR="00C544A9">
        <w:rPr>
          <w:noProof/>
        </w:rPr>
        <w:t>b</w:t>
      </w:r>
      <w:r>
        <w:t xml:space="preserve">. Regression results for the proportion of individuals that suffered from mental distress in the past month </w:t>
      </w:r>
      <w:r w:rsidR="00C544A9">
        <w:t>(unweighted)</w:t>
      </w:r>
    </w:p>
    <w:p w14:paraId="2158A665" w14:textId="57AA3D69" w:rsidR="002664DB" w:rsidRDefault="002664DB" w:rsidP="002664DB">
      <w:pPr>
        <w:jc w:val="center"/>
      </w:pPr>
      <w:r>
        <w:rPr>
          <w:noProof/>
        </w:rPr>
        <w:drawing>
          <wp:inline distT="0" distB="0" distL="0" distR="0" wp14:anchorId="6AF9A13E" wp14:editId="6FDEF6AD">
            <wp:extent cx="4822302" cy="1695450"/>
            <wp:effectExtent l="0" t="0" r="0"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826799" cy="1697031"/>
                    </a:xfrm>
                    <a:prstGeom prst="rect">
                      <a:avLst/>
                    </a:prstGeom>
                  </pic:spPr>
                </pic:pic>
              </a:graphicData>
            </a:graphic>
          </wp:inline>
        </w:drawing>
      </w:r>
    </w:p>
    <w:p w14:paraId="55CD2C12" w14:textId="7D5AFDF8" w:rsidR="00E0625E" w:rsidRDefault="00C544A9" w:rsidP="00C544A9">
      <w:pPr>
        <w:pStyle w:val="Caption"/>
        <w:keepNext/>
      </w:pPr>
      <w:r>
        <w:t xml:space="preserve">Table </w:t>
      </w:r>
      <w:fldSimple w:instr=" SEQ Table \* ARABIC ">
        <w:r>
          <w:rPr>
            <w:noProof/>
          </w:rPr>
          <w:t>3</w:t>
        </w:r>
      </w:fldSimple>
      <w:r>
        <w:rPr>
          <w:noProof/>
        </w:rPr>
        <w:t>c</w:t>
      </w:r>
      <w:r>
        <w:t>. Regression results for the proportion of individuals that suffered from mental distress in the past month (PSM with no covariates)</w:t>
      </w:r>
    </w:p>
    <w:p w14:paraId="26CE1553" w14:textId="4697A1AD" w:rsidR="002664DB" w:rsidRDefault="002664DB" w:rsidP="002664DB">
      <w:pPr>
        <w:jc w:val="center"/>
      </w:pPr>
      <w:r>
        <w:rPr>
          <w:noProof/>
        </w:rPr>
        <w:drawing>
          <wp:inline distT="0" distB="0" distL="0" distR="0" wp14:anchorId="1CC6DC92" wp14:editId="5EDFB109">
            <wp:extent cx="4749800" cy="2429653"/>
            <wp:effectExtent l="0" t="0" r="0" b="889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758304" cy="2434003"/>
                    </a:xfrm>
                    <a:prstGeom prst="rect">
                      <a:avLst/>
                    </a:prstGeom>
                  </pic:spPr>
                </pic:pic>
              </a:graphicData>
            </a:graphic>
          </wp:inline>
        </w:drawing>
      </w:r>
    </w:p>
    <w:p w14:paraId="6F5268D0" w14:textId="129BE9DB" w:rsidR="008C0D5A" w:rsidRDefault="008C0D5A" w:rsidP="008C0D5A">
      <w:pPr>
        <w:pStyle w:val="Caption"/>
        <w:keepNext/>
      </w:pPr>
      <w:r>
        <w:lastRenderedPageBreak/>
        <w:t xml:space="preserve">Table </w:t>
      </w:r>
      <w:fldSimple w:instr=" SEQ Table \* ARABIC ">
        <w:r>
          <w:rPr>
            <w:noProof/>
          </w:rPr>
          <w:t>4</w:t>
        </w:r>
      </w:fldSimple>
      <w:r>
        <w:rPr>
          <w:noProof/>
        </w:rPr>
        <w:t>b</w:t>
      </w:r>
      <w:r>
        <w:t>. Regression results for proportion of individuals that suffered from physical distress in the past month. (unweighted)</w:t>
      </w:r>
    </w:p>
    <w:p w14:paraId="46460E8C" w14:textId="7452FD4E" w:rsidR="009A102D" w:rsidRPr="00E24351" w:rsidRDefault="002664DB" w:rsidP="00E24351">
      <w:pPr>
        <w:jc w:val="center"/>
      </w:pPr>
      <w:r>
        <w:rPr>
          <w:noProof/>
        </w:rPr>
        <w:drawing>
          <wp:inline distT="0" distB="0" distL="0" distR="0" wp14:anchorId="74BCC373" wp14:editId="328E490F">
            <wp:extent cx="4756150" cy="1672192"/>
            <wp:effectExtent l="0" t="0" r="6350" b="4445"/>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760144" cy="1673596"/>
                    </a:xfrm>
                    <a:prstGeom prst="rect">
                      <a:avLst/>
                    </a:prstGeom>
                  </pic:spPr>
                </pic:pic>
              </a:graphicData>
            </a:graphic>
          </wp:inline>
        </w:drawing>
      </w:r>
    </w:p>
    <w:p w14:paraId="18B00032" w14:textId="2ECC8A1B" w:rsidR="008C0D5A" w:rsidRDefault="008C0D5A" w:rsidP="008C0D5A">
      <w:pPr>
        <w:pStyle w:val="Caption"/>
        <w:keepNext/>
      </w:pPr>
      <w:r>
        <w:t xml:space="preserve">Table </w:t>
      </w:r>
      <w:fldSimple w:instr=" SEQ Table \* ARABIC ">
        <w:r>
          <w:rPr>
            <w:noProof/>
          </w:rPr>
          <w:t>4</w:t>
        </w:r>
      </w:fldSimple>
      <w:r>
        <w:rPr>
          <w:noProof/>
        </w:rPr>
        <w:t>c</w:t>
      </w:r>
      <w:r>
        <w:t>. Regression results for proportion of individuals that suffered from physical distress in the past month. (PSM with no covariates)</w:t>
      </w:r>
    </w:p>
    <w:p w14:paraId="52B8B396" w14:textId="7F829DAD" w:rsidR="00843381" w:rsidRPr="00E24351" w:rsidRDefault="00E24351" w:rsidP="00E24351">
      <w:pPr>
        <w:jc w:val="center"/>
      </w:pPr>
      <w:r>
        <w:rPr>
          <w:noProof/>
        </w:rPr>
        <w:drawing>
          <wp:inline distT="0" distB="0" distL="0" distR="0" wp14:anchorId="3B43308D" wp14:editId="59B6A646">
            <wp:extent cx="4768850" cy="2439398"/>
            <wp:effectExtent l="0" t="0" r="0" b="0"/>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781142" cy="2445686"/>
                    </a:xfrm>
                    <a:prstGeom prst="rect">
                      <a:avLst/>
                    </a:prstGeom>
                  </pic:spPr>
                </pic:pic>
              </a:graphicData>
            </a:graphic>
          </wp:inline>
        </w:drawing>
      </w:r>
    </w:p>
    <w:p w14:paraId="125BD480" w14:textId="50E7F513" w:rsidR="00843381" w:rsidRDefault="00843381" w:rsidP="00843381">
      <w:pPr>
        <w:pStyle w:val="Caption"/>
        <w:keepNext/>
      </w:pPr>
      <w:r>
        <w:t xml:space="preserve">Table </w:t>
      </w:r>
      <w:fldSimple w:instr=" SEQ Table \* ARABIC ">
        <w:r>
          <w:rPr>
            <w:noProof/>
          </w:rPr>
          <w:t>5</w:t>
        </w:r>
      </w:fldSimple>
      <w:r>
        <w:rPr>
          <w:noProof/>
        </w:rPr>
        <w:t>b</w:t>
      </w:r>
      <w:r>
        <w:t>. Regression results for the proportion of individuals who have some form of health coverage. (unweighted)</w:t>
      </w:r>
    </w:p>
    <w:p w14:paraId="1C8F18EB" w14:textId="087B3724" w:rsidR="00DB4443" w:rsidRPr="008B086C" w:rsidRDefault="00E24351" w:rsidP="008B086C">
      <w:pPr>
        <w:jc w:val="center"/>
      </w:pPr>
      <w:r>
        <w:rPr>
          <w:noProof/>
        </w:rPr>
        <w:drawing>
          <wp:inline distT="0" distB="0" distL="0" distR="0" wp14:anchorId="3246DAAA" wp14:editId="1E49EF4B">
            <wp:extent cx="4822302" cy="1695450"/>
            <wp:effectExtent l="0" t="0" r="0" b="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836152" cy="1700320"/>
                    </a:xfrm>
                    <a:prstGeom prst="rect">
                      <a:avLst/>
                    </a:prstGeom>
                  </pic:spPr>
                </pic:pic>
              </a:graphicData>
            </a:graphic>
          </wp:inline>
        </w:drawing>
      </w:r>
    </w:p>
    <w:p w14:paraId="4B3DA940" w14:textId="79FF21C9" w:rsidR="00843381" w:rsidRDefault="00843381" w:rsidP="00843381">
      <w:pPr>
        <w:pStyle w:val="Caption"/>
        <w:keepNext/>
      </w:pPr>
      <w:r>
        <w:lastRenderedPageBreak/>
        <w:t xml:space="preserve">Table </w:t>
      </w:r>
      <w:fldSimple w:instr=" SEQ Table \* ARABIC ">
        <w:r>
          <w:rPr>
            <w:noProof/>
          </w:rPr>
          <w:t>5</w:t>
        </w:r>
      </w:fldSimple>
      <w:r>
        <w:rPr>
          <w:noProof/>
        </w:rPr>
        <w:t>c</w:t>
      </w:r>
      <w:r>
        <w:t>. Regression results for the proportion of individuals who have some form of health coverage. (PSM with no covariates)</w:t>
      </w:r>
    </w:p>
    <w:p w14:paraId="4BC027AF" w14:textId="15D89DD4" w:rsidR="008B086C" w:rsidRDefault="008B086C" w:rsidP="008B086C">
      <w:pPr>
        <w:jc w:val="center"/>
      </w:pPr>
      <w:r>
        <w:rPr>
          <w:noProof/>
        </w:rPr>
        <w:drawing>
          <wp:inline distT="0" distB="0" distL="0" distR="0" wp14:anchorId="4E913FBC" wp14:editId="3655D4FC">
            <wp:extent cx="4787900" cy="2449142"/>
            <wp:effectExtent l="0" t="0" r="0" b="8890"/>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4798758" cy="2454696"/>
                    </a:xfrm>
                    <a:prstGeom prst="rect">
                      <a:avLst/>
                    </a:prstGeom>
                  </pic:spPr>
                </pic:pic>
              </a:graphicData>
            </a:graphic>
          </wp:inline>
        </w:drawing>
      </w:r>
    </w:p>
    <w:p w14:paraId="4E87EE01" w14:textId="1D332376" w:rsidR="00A34B81" w:rsidRDefault="00A34B81" w:rsidP="00A34B81">
      <w:pPr>
        <w:pStyle w:val="Caption"/>
        <w:keepNext/>
      </w:pPr>
      <w:r>
        <w:t xml:space="preserve">Table </w:t>
      </w:r>
      <w:fldSimple w:instr=" SEQ Table \* ARABIC ">
        <w:r>
          <w:rPr>
            <w:noProof/>
          </w:rPr>
          <w:t>6</w:t>
        </w:r>
      </w:fldSimple>
      <w:r w:rsidR="009D16F7">
        <w:rPr>
          <w:noProof/>
        </w:rPr>
        <w:t>b</w:t>
      </w:r>
      <w:r>
        <w:t>. Regression results for the proportion of individuals who have at least one (1) personal doctor. (unweighted)</w:t>
      </w:r>
    </w:p>
    <w:p w14:paraId="4DE41572" w14:textId="30A3F956" w:rsidR="008B086C" w:rsidRDefault="008B086C" w:rsidP="008B086C">
      <w:pPr>
        <w:jc w:val="center"/>
      </w:pPr>
      <w:r>
        <w:rPr>
          <w:noProof/>
        </w:rPr>
        <w:drawing>
          <wp:inline distT="0" distB="0" distL="0" distR="0" wp14:anchorId="67762FC6" wp14:editId="64D73F4A">
            <wp:extent cx="4858424" cy="1708150"/>
            <wp:effectExtent l="0" t="0" r="0" b="6350"/>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4874991" cy="1713975"/>
                    </a:xfrm>
                    <a:prstGeom prst="rect">
                      <a:avLst/>
                    </a:prstGeom>
                  </pic:spPr>
                </pic:pic>
              </a:graphicData>
            </a:graphic>
          </wp:inline>
        </w:drawing>
      </w:r>
    </w:p>
    <w:p w14:paraId="631DC1A4" w14:textId="6FC8D682" w:rsidR="002E5CC8" w:rsidRDefault="00A34B81" w:rsidP="00A34B81">
      <w:pPr>
        <w:pStyle w:val="Caption"/>
        <w:keepNext/>
      </w:pPr>
      <w:r>
        <w:t xml:space="preserve">Table </w:t>
      </w:r>
      <w:fldSimple w:instr=" SEQ Table \* ARABIC ">
        <w:r>
          <w:rPr>
            <w:noProof/>
          </w:rPr>
          <w:t>6</w:t>
        </w:r>
      </w:fldSimple>
      <w:r w:rsidR="009D16F7">
        <w:rPr>
          <w:noProof/>
        </w:rPr>
        <w:t>c</w:t>
      </w:r>
      <w:r>
        <w:t>. Regression results for the proportion of individuals who have at least one (1) personal doctor. (PSM with no covariates)</w:t>
      </w:r>
    </w:p>
    <w:p w14:paraId="06DA2B6C" w14:textId="4FDEB198" w:rsidR="008B086C" w:rsidRDefault="008B086C" w:rsidP="008B086C">
      <w:pPr>
        <w:jc w:val="center"/>
      </w:pPr>
      <w:r>
        <w:rPr>
          <w:noProof/>
        </w:rPr>
        <w:drawing>
          <wp:inline distT="0" distB="0" distL="0" distR="0" wp14:anchorId="609567FE" wp14:editId="3BC6ACC4">
            <wp:extent cx="4806950" cy="2458887"/>
            <wp:effectExtent l="0" t="0" r="0" b="0"/>
            <wp:docPr id="31"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4816788" cy="2463919"/>
                    </a:xfrm>
                    <a:prstGeom prst="rect">
                      <a:avLst/>
                    </a:prstGeom>
                  </pic:spPr>
                </pic:pic>
              </a:graphicData>
            </a:graphic>
          </wp:inline>
        </w:drawing>
      </w:r>
    </w:p>
    <w:p w14:paraId="7EAF8E56" w14:textId="1264A525" w:rsidR="00292670" w:rsidRDefault="00292670" w:rsidP="00292670">
      <w:pPr>
        <w:pStyle w:val="Caption"/>
        <w:keepNext/>
      </w:pPr>
      <w:r>
        <w:lastRenderedPageBreak/>
        <w:t xml:space="preserve">Table </w:t>
      </w:r>
      <w:fldSimple w:instr=" SEQ Table \* ARABIC ">
        <w:r>
          <w:rPr>
            <w:noProof/>
          </w:rPr>
          <w:t>7</w:t>
        </w:r>
      </w:fldSimple>
      <w:r w:rsidR="009D16F7">
        <w:rPr>
          <w:noProof/>
        </w:rPr>
        <w:t>b</w:t>
      </w:r>
      <w:r>
        <w:t>. Regression results for the proportion of individuals who did not see a doctor when one was needed due to excessive costs. (unweighted)</w:t>
      </w:r>
    </w:p>
    <w:p w14:paraId="7E7DE38A" w14:textId="492B1428" w:rsidR="00AB66B4" w:rsidRPr="008B086C" w:rsidRDefault="008B086C" w:rsidP="008B086C">
      <w:pPr>
        <w:jc w:val="center"/>
      </w:pPr>
      <w:r>
        <w:rPr>
          <w:noProof/>
        </w:rPr>
        <w:drawing>
          <wp:inline distT="0" distB="0" distL="0" distR="0" wp14:anchorId="35CDDB90" wp14:editId="0930A1E8">
            <wp:extent cx="4857750" cy="1707912"/>
            <wp:effectExtent l="0" t="0" r="0" b="6985"/>
            <wp:docPr id="32" name="Picture 3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 email&#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4874962" cy="1713963"/>
                    </a:xfrm>
                    <a:prstGeom prst="rect">
                      <a:avLst/>
                    </a:prstGeom>
                  </pic:spPr>
                </pic:pic>
              </a:graphicData>
            </a:graphic>
          </wp:inline>
        </w:drawing>
      </w:r>
    </w:p>
    <w:p w14:paraId="647FCD54" w14:textId="14B10DD6" w:rsidR="00292670" w:rsidRDefault="00292670" w:rsidP="00292670">
      <w:pPr>
        <w:pStyle w:val="Caption"/>
        <w:keepNext/>
      </w:pPr>
      <w:r>
        <w:t xml:space="preserve">Table </w:t>
      </w:r>
      <w:fldSimple w:instr=" SEQ Table \* ARABIC ">
        <w:r>
          <w:rPr>
            <w:noProof/>
          </w:rPr>
          <w:t>7</w:t>
        </w:r>
      </w:fldSimple>
      <w:r w:rsidR="009D16F7">
        <w:rPr>
          <w:noProof/>
        </w:rPr>
        <w:t>c</w:t>
      </w:r>
      <w:r>
        <w:t>. Regression results for the proportion of individuals who did not see a doctor when one was needed due to excessive costs. (PSM with no covariates)</w:t>
      </w:r>
    </w:p>
    <w:p w14:paraId="2ADDCD96" w14:textId="025F1854" w:rsidR="009D16F7" w:rsidRPr="008B086C" w:rsidRDefault="008B086C" w:rsidP="008B086C">
      <w:pPr>
        <w:jc w:val="center"/>
      </w:pPr>
      <w:r>
        <w:rPr>
          <w:noProof/>
        </w:rPr>
        <w:drawing>
          <wp:inline distT="0" distB="0" distL="0" distR="0" wp14:anchorId="64D37BAB" wp14:editId="50FD6008">
            <wp:extent cx="4838700" cy="2475128"/>
            <wp:effectExtent l="0" t="0" r="0" b="1905"/>
            <wp:docPr id="33" name="Picture 3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able&#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4855174" cy="2483555"/>
                    </a:xfrm>
                    <a:prstGeom prst="rect">
                      <a:avLst/>
                    </a:prstGeom>
                  </pic:spPr>
                </pic:pic>
              </a:graphicData>
            </a:graphic>
          </wp:inline>
        </w:drawing>
      </w:r>
    </w:p>
    <w:p w14:paraId="66470DD7" w14:textId="1534F435" w:rsidR="008F1646" w:rsidRDefault="008F1646" w:rsidP="008F1646">
      <w:pPr>
        <w:pStyle w:val="Caption"/>
        <w:keepNext/>
      </w:pPr>
      <w:r>
        <w:t xml:space="preserve">Table </w:t>
      </w:r>
      <w:fldSimple w:instr=" SEQ Table \* ARABIC ">
        <w:r>
          <w:rPr>
            <w:noProof/>
          </w:rPr>
          <w:t>8</w:t>
        </w:r>
      </w:fldSimple>
      <w:r w:rsidR="00F85D69">
        <w:rPr>
          <w:noProof/>
        </w:rPr>
        <w:t>b</w:t>
      </w:r>
      <w:r>
        <w:t>. R</w:t>
      </w:r>
      <w:r w:rsidRPr="00101D0A">
        <w:t xml:space="preserve">egression results for </w:t>
      </w:r>
      <w:r>
        <w:t xml:space="preserve">the </w:t>
      </w:r>
      <w:r w:rsidRPr="00101D0A">
        <w:t>proportion of individuals who received a checkup within the past 12 months.</w:t>
      </w:r>
      <w:r>
        <w:t xml:space="preserve"> (unweighted)</w:t>
      </w:r>
    </w:p>
    <w:p w14:paraId="2B8956BF" w14:textId="031811FF" w:rsidR="008B086C" w:rsidRDefault="008B086C" w:rsidP="008B086C">
      <w:pPr>
        <w:jc w:val="center"/>
      </w:pPr>
      <w:r>
        <w:rPr>
          <w:noProof/>
        </w:rPr>
        <w:drawing>
          <wp:inline distT="0" distB="0" distL="0" distR="0" wp14:anchorId="4DFE519A" wp14:editId="7844D123">
            <wp:extent cx="4912608" cy="1727200"/>
            <wp:effectExtent l="0" t="0" r="2540" b="6350"/>
            <wp:docPr id="34" name="Picture 3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 email&#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4918502" cy="1729272"/>
                    </a:xfrm>
                    <a:prstGeom prst="rect">
                      <a:avLst/>
                    </a:prstGeom>
                  </pic:spPr>
                </pic:pic>
              </a:graphicData>
            </a:graphic>
          </wp:inline>
        </w:drawing>
      </w:r>
    </w:p>
    <w:p w14:paraId="2E49FED1" w14:textId="72AEFD46" w:rsidR="008F1646" w:rsidRDefault="008F1646" w:rsidP="008F1646">
      <w:pPr>
        <w:pStyle w:val="Caption"/>
        <w:keepNext/>
      </w:pPr>
      <w:r>
        <w:lastRenderedPageBreak/>
        <w:t xml:space="preserve">Table </w:t>
      </w:r>
      <w:fldSimple w:instr=" SEQ Table \* ARABIC ">
        <w:r>
          <w:rPr>
            <w:noProof/>
          </w:rPr>
          <w:t>8</w:t>
        </w:r>
      </w:fldSimple>
      <w:r w:rsidR="00F85D69">
        <w:rPr>
          <w:noProof/>
        </w:rPr>
        <w:t>c</w:t>
      </w:r>
      <w:r>
        <w:t>. R</w:t>
      </w:r>
      <w:r w:rsidRPr="00101D0A">
        <w:t xml:space="preserve">egression results for </w:t>
      </w:r>
      <w:r>
        <w:t xml:space="preserve">the </w:t>
      </w:r>
      <w:r w:rsidRPr="00101D0A">
        <w:t>proportion of individuals who received a checkup within the past 12 months.</w:t>
      </w:r>
      <w:r>
        <w:t xml:space="preserve"> (PSM with no covariates)</w:t>
      </w:r>
    </w:p>
    <w:p w14:paraId="3E376B6E" w14:textId="2D30E230" w:rsidR="008B086C" w:rsidRDefault="008B086C" w:rsidP="008B086C">
      <w:pPr>
        <w:jc w:val="center"/>
      </w:pPr>
      <w:r>
        <w:rPr>
          <w:noProof/>
        </w:rPr>
        <w:drawing>
          <wp:inline distT="0" distB="0" distL="0" distR="0" wp14:anchorId="465143C8" wp14:editId="7A8A782A">
            <wp:extent cx="4692650" cy="2400419"/>
            <wp:effectExtent l="0" t="0" r="0" b="0"/>
            <wp:docPr id="35" name="Picture 3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able&#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4700191" cy="2404276"/>
                    </a:xfrm>
                    <a:prstGeom prst="rect">
                      <a:avLst/>
                    </a:prstGeom>
                  </pic:spPr>
                </pic:pic>
              </a:graphicData>
            </a:graphic>
          </wp:inline>
        </w:drawing>
      </w:r>
    </w:p>
    <w:p w14:paraId="067E4054" w14:textId="09CDAFEA" w:rsidR="00863529" w:rsidRDefault="00863529" w:rsidP="000D1BBA">
      <w:pPr>
        <w:rPr>
          <w:rFonts w:ascii="Times New Roman" w:hAnsi="Times New Roman" w:cs="Times New Roman"/>
          <w:sz w:val="24"/>
          <w:szCs w:val="24"/>
        </w:rPr>
      </w:pPr>
    </w:p>
    <w:p w14:paraId="32E24EB8" w14:textId="2EF2B0DA" w:rsidR="008B086C" w:rsidRDefault="008B086C" w:rsidP="000D1BBA">
      <w:pPr>
        <w:rPr>
          <w:rFonts w:ascii="Times New Roman" w:hAnsi="Times New Roman" w:cs="Times New Roman"/>
          <w:sz w:val="24"/>
          <w:szCs w:val="24"/>
        </w:rPr>
      </w:pPr>
    </w:p>
    <w:p w14:paraId="2F776407" w14:textId="1245294D" w:rsidR="008B086C" w:rsidRDefault="008B086C" w:rsidP="000D1BBA">
      <w:pPr>
        <w:rPr>
          <w:rFonts w:ascii="Times New Roman" w:hAnsi="Times New Roman" w:cs="Times New Roman"/>
          <w:sz w:val="24"/>
          <w:szCs w:val="24"/>
        </w:rPr>
      </w:pPr>
    </w:p>
    <w:p w14:paraId="024E30C4" w14:textId="0CB16EC0" w:rsidR="008B086C" w:rsidRDefault="008B086C" w:rsidP="000D1BBA">
      <w:pPr>
        <w:rPr>
          <w:rFonts w:ascii="Times New Roman" w:hAnsi="Times New Roman" w:cs="Times New Roman"/>
          <w:sz w:val="24"/>
          <w:szCs w:val="24"/>
        </w:rPr>
      </w:pPr>
    </w:p>
    <w:p w14:paraId="0DF2814A" w14:textId="2B56AD92" w:rsidR="008B086C" w:rsidRDefault="008B086C" w:rsidP="000D1BBA">
      <w:pPr>
        <w:rPr>
          <w:rFonts w:ascii="Times New Roman" w:hAnsi="Times New Roman" w:cs="Times New Roman"/>
          <w:sz w:val="24"/>
          <w:szCs w:val="24"/>
        </w:rPr>
      </w:pPr>
    </w:p>
    <w:p w14:paraId="374D7F63" w14:textId="331CC3C8" w:rsidR="008B086C" w:rsidRDefault="008B086C" w:rsidP="000D1BBA">
      <w:pPr>
        <w:rPr>
          <w:rFonts w:ascii="Times New Roman" w:hAnsi="Times New Roman" w:cs="Times New Roman"/>
          <w:sz w:val="24"/>
          <w:szCs w:val="24"/>
        </w:rPr>
      </w:pPr>
    </w:p>
    <w:p w14:paraId="718FA479" w14:textId="2EA5A77A" w:rsidR="008B086C" w:rsidRDefault="008B086C" w:rsidP="000D1BBA">
      <w:pPr>
        <w:rPr>
          <w:rFonts w:ascii="Times New Roman" w:hAnsi="Times New Roman" w:cs="Times New Roman"/>
          <w:sz w:val="24"/>
          <w:szCs w:val="24"/>
        </w:rPr>
      </w:pPr>
    </w:p>
    <w:p w14:paraId="2416ADFE" w14:textId="151DA55E" w:rsidR="008B086C" w:rsidRDefault="008B086C" w:rsidP="000D1BBA">
      <w:pPr>
        <w:rPr>
          <w:rFonts w:ascii="Times New Roman" w:hAnsi="Times New Roman" w:cs="Times New Roman"/>
          <w:sz w:val="24"/>
          <w:szCs w:val="24"/>
        </w:rPr>
      </w:pPr>
    </w:p>
    <w:p w14:paraId="2D5DD48D" w14:textId="03AFF10E" w:rsidR="008B086C" w:rsidRDefault="008B086C" w:rsidP="000D1BBA">
      <w:pPr>
        <w:rPr>
          <w:rFonts w:ascii="Times New Roman" w:hAnsi="Times New Roman" w:cs="Times New Roman"/>
          <w:sz w:val="24"/>
          <w:szCs w:val="24"/>
        </w:rPr>
      </w:pPr>
    </w:p>
    <w:p w14:paraId="0FBF52AC" w14:textId="39D346E2" w:rsidR="008B086C" w:rsidRDefault="008B086C" w:rsidP="000D1BBA">
      <w:pPr>
        <w:rPr>
          <w:rFonts w:ascii="Times New Roman" w:hAnsi="Times New Roman" w:cs="Times New Roman"/>
          <w:sz w:val="24"/>
          <w:szCs w:val="24"/>
        </w:rPr>
      </w:pPr>
    </w:p>
    <w:p w14:paraId="795320FE" w14:textId="0525A8C3" w:rsidR="008B086C" w:rsidRDefault="008B086C" w:rsidP="000D1BBA">
      <w:pPr>
        <w:rPr>
          <w:rFonts w:ascii="Times New Roman" w:hAnsi="Times New Roman" w:cs="Times New Roman"/>
          <w:sz w:val="24"/>
          <w:szCs w:val="24"/>
        </w:rPr>
      </w:pPr>
    </w:p>
    <w:p w14:paraId="10C7F751" w14:textId="626793EC" w:rsidR="008B086C" w:rsidRDefault="008B086C" w:rsidP="000D1BBA">
      <w:pPr>
        <w:rPr>
          <w:rFonts w:ascii="Times New Roman" w:hAnsi="Times New Roman" w:cs="Times New Roman"/>
          <w:sz w:val="24"/>
          <w:szCs w:val="24"/>
        </w:rPr>
      </w:pPr>
    </w:p>
    <w:p w14:paraId="3AA2B919" w14:textId="0FA3D14C" w:rsidR="008B086C" w:rsidRDefault="008B086C" w:rsidP="000D1BBA">
      <w:pPr>
        <w:rPr>
          <w:rFonts w:ascii="Times New Roman" w:hAnsi="Times New Roman" w:cs="Times New Roman"/>
          <w:sz w:val="24"/>
          <w:szCs w:val="24"/>
        </w:rPr>
      </w:pPr>
    </w:p>
    <w:p w14:paraId="1AA10297" w14:textId="2DED1441" w:rsidR="008B086C" w:rsidRDefault="008B086C" w:rsidP="000D1BBA">
      <w:pPr>
        <w:rPr>
          <w:rFonts w:ascii="Times New Roman" w:hAnsi="Times New Roman" w:cs="Times New Roman"/>
          <w:sz w:val="24"/>
          <w:szCs w:val="24"/>
        </w:rPr>
      </w:pPr>
    </w:p>
    <w:p w14:paraId="7B2EBA55" w14:textId="4AAF3BF9" w:rsidR="008B086C" w:rsidRDefault="008B086C" w:rsidP="000D1BBA">
      <w:pPr>
        <w:rPr>
          <w:rFonts w:ascii="Times New Roman" w:hAnsi="Times New Roman" w:cs="Times New Roman"/>
          <w:sz w:val="24"/>
          <w:szCs w:val="24"/>
        </w:rPr>
      </w:pPr>
    </w:p>
    <w:p w14:paraId="3F9CAB47" w14:textId="7863AB3D" w:rsidR="008B086C" w:rsidRDefault="008B086C" w:rsidP="000D1BBA">
      <w:pPr>
        <w:rPr>
          <w:rFonts w:ascii="Times New Roman" w:hAnsi="Times New Roman" w:cs="Times New Roman"/>
          <w:sz w:val="24"/>
          <w:szCs w:val="24"/>
        </w:rPr>
      </w:pPr>
    </w:p>
    <w:p w14:paraId="22AD4B4F" w14:textId="77777777" w:rsidR="008B086C" w:rsidRDefault="008B086C" w:rsidP="000D1BBA">
      <w:pPr>
        <w:rPr>
          <w:rFonts w:ascii="Times New Roman" w:hAnsi="Times New Roman" w:cs="Times New Roman"/>
          <w:sz w:val="24"/>
          <w:szCs w:val="24"/>
        </w:rPr>
      </w:pPr>
    </w:p>
    <w:p w14:paraId="3191A635" w14:textId="77777777" w:rsidR="00B26C9C" w:rsidRDefault="00B26C9C" w:rsidP="000D1BBA">
      <w:pPr>
        <w:rPr>
          <w:rFonts w:ascii="Times New Roman" w:hAnsi="Times New Roman" w:cs="Times New Roman"/>
          <w:sz w:val="24"/>
          <w:szCs w:val="24"/>
        </w:rPr>
      </w:pPr>
    </w:p>
    <w:p w14:paraId="0CD740DA" w14:textId="77777777" w:rsidR="008F1FF6" w:rsidRPr="008F1FF6" w:rsidRDefault="008F1FF6" w:rsidP="008F1FF6">
      <w:pPr>
        <w:spacing w:after="0"/>
        <w:jc w:val="center"/>
        <w:rPr>
          <w:rFonts w:ascii="Times New Roman" w:hAnsi="Times New Roman"/>
          <w:sz w:val="24"/>
          <w:szCs w:val="24"/>
        </w:rPr>
      </w:pPr>
      <w:r w:rsidRPr="008F1FF6">
        <w:rPr>
          <w:rFonts w:ascii="Times New Roman" w:hAnsi="Times New Roman"/>
          <w:sz w:val="24"/>
          <w:szCs w:val="24"/>
        </w:rPr>
        <w:lastRenderedPageBreak/>
        <w:t>References</w:t>
      </w:r>
    </w:p>
    <w:p w14:paraId="38DFAAF6" w14:textId="77777777" w:rsidR="008F1FF6" w:rsidRPr="008F1FF6" w:rsidRDefault="008F1FF6" w:rsidP="008F1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Menlo"/>
          <w:color w:val="404040"/>
          <w:sz w:val="24"/>
          <w:szCs w:val="24"/>
        </w:rPr>
      </w:pPr>
    </w:p>
    <w:p w14:paraId="77AE68F2" w14:textId="77777777" w:rsidR="008F1FF6" w:rsidRPr="008F1FF6" w:rsidRDefault="008F1FF6" w:rsidP="008F1FF6">
      <w:pPr>
        <w:spacing w:after="0" w:line="480" w:lineRule="auto"/>
        <w:ind w:left="720" w:hanging="720"/>
        <w:rPr>
          <w:rFonts w:ascii="Calibri" w:hAnsi="Calibri" w:cs="Times New Roman"/>
          <w:sz w:val="24"/>
          <w:szCs w:val="24"/>
        </w:rPr>
      </w:pPr>
      <w:r w:rsidRPr="008F1FF6">
        <w:rPr>
          <w:rFonts w:ascii="Times New Roman" w:hAnsi="Times New Roman"/>
          <w:sz w:val="24"/>
          <w:szCs w:val="24"/>
        </w:rPr>
        <w:t xml:space="preserve">Blumenthal, D., Abrams, M., &amp; </w:t>
      </w:r>
      <w:proofErr w:type="spellStart"/>
      <w:r w:rsidRPr="008F1FF6">
        <w:rPr>
          <w:rFonts w:ascii="Times New Roman" w:hAnsi="Times New Roman"/>
          <w:sz w:val="24"/>
          <w:szCs w:val="24"/>
        </w:rPr>
        <w:t>Nuzum</w:t>
      </w:r>
      <w:proofErr w:type="spellEnd"/>
      <w:r w:rsidRPr="008F1FF6">
        <w:rPr>
          <w:rFonts w:ascii="Times New Roman" w:hAnsi="Times New Roman"/>
          <w:sz w:val="24"/>
          <w:szCs w:val="24"/>
        </w:rPr>
        <w:t xml:space="preserve">, R. (2015, June 18). </w:t>
      </w:r>
      <w:r w:rsidRPr="008F1FF6">
        <w:rPr>
          <w:rFonts w:ascii="Times New Roman" w:hAnsi="Times New Roman"/>
          <w:i/>
          <w:sz w:val="24"/>
          <w:szCs w:val="24"/>
        </w:rPr>
        <w:t>The Affordable Care Act at 5 Years</w:t>
      </w:r>
      <w:r w:rsidRPr="008F1FF6">
        <w:rPr>
          <w:rFonts w:ascii="Times New Roman" w:hAnsi="Times New Roman"/>
          <w:sz w:val="24"/>
          <w:szCs w:val="24"/>
        </w:rPr>
        <w:t xml:space="preserve">. The New England Journal of Medicine. https://www-nejm-org.offcampus.lib.washington.edu/doi/10.1056/NEJMhpr1503614. </w:t>
      </w:r>
    </w:p>
    <w:p w14:paraId="78FCF3FC" w14:textId="77777777" w:rsidR="008F1FF6" w:rsidRPr="008F1FF6" w:rsidRDefault="008F1FF6" w:rsidP="008F1FF6">
      <w:pPr>
        <w:spacing w:after="0" w:line="480" w:lineRule="auto"/>
        <w:ind w:left="720" w:hanging="720"/>
        <w:rPr>
          <w:sz w:val="24"/>
          <w:szCs w:val="24"/>
        </w:rPr>
      </w:pPr>
      <w:r w:rsidRPr="008F1FF6">
        <w:rPr>
          <w:rFonts w:ascii="Times New Roman" w:hAnsi="Times New Roman"/>
          <w:sz w:val="24"/>
          <w:szCs w:val="24"/>
        </w:rPr>
        <w:t xml:space="preserve">Claxton, G., Cox, C., Damico, A., Levitt, L., &amp; </w:t>
      </w:r>
      <w:proofErr w:type="spellStart"/>
      <w:r w:rsidRPr="008F1FF6">
        <w:rPr>
          <w:rFonts w:ascii="Times New Roman" w:hAnsi="Times New Roman"/>
          <w:sz w:val="24"/>
          <w:szCs w:val="24"/>
        </w:rPr>
        <w:t>Pollitz</w:t>
      </w:r>
      <w:proofErr w:type="spellEnd"/>
      <w:r w:rsidRPr="008F1FF6">
        <w:rPr>
          <w:rFonts w:ascii="Times New Roman" w:hAnsi="Times New Roman"/>
          <w:sz w:val="24"/>
          <w:szCs w:val="24"/>
        </w:rPr>
        <w:t xml:space="preserve">, K. (2016, December). </w:t>
      </w:r>
      <w:r w:rsidRPr="008F1FF6">
        <w:rPr>
          <w:rFonts w:ascii="Times New Roman" w:hAnsi="Times New Roman"/>
          <w:i/>
          <w:sz w:val="24"/>
          <w:szCs w:val="24"/>
        </w:rPr>
        <w:t>Pre-existing Conditions and Medical Underwriting in the Individual Insurance Market Prior to the ACA</w:t>
      </w:r>
      <w:r w:rsidRPr="008F1FF6">
        <w:rPr>
          <w:rFonts w:ascii="Times New Roman" w:hAnsi="Times New Roman"/>
          <w:sz w:val="24"/>
          <w:szCs w:val="24"/>
        </w:rPr>
        <w:t xml:space="preserve">. Kaiser Family Foundation. https://nationaldisabilitynavigator.org/wp-content/uploads/news-items/KFF_Pre-existing-Conditions-and-Medical-Underwriting-Prior-to-the-ACA_Dec-2016.pdf. </w:t>
      </w:r>
    </w:p>
    <w:p w14:paraId="1B29164A" w14:textId="77777777" w:rsidR="008F1FF6" w:rsidRPr="008F1FF6" w:rsidRDefault="008F1FF6" w:rsidP="008F1FF6">
      <w:pPr>
        <w:spacing w:after="0" w:line="480" w:lineRule="auto"/>
        <w:ind w:left="720" w:hanging="720"/>
        <w:rPr>
          <w:sz w:val="24"/>
          <w:szCs w:val="24"/>
        </w:rPr>
      </w:pPr>
      <w:r w:rsidRPr="008F1FF6">
        <w:rPr>
          <w:rFonts w:ascii="Times New Roman" w:hAnsi="Times New Roman"/>
          <w:sz w:val="24"/>
          <w:szCs w:val="24"/>
        </w:rPr>
        <w:t xml:space="preserve">Cummins, J. J., Dionne, G., Gagne, R., &amp; </w:t>
      </w:r>
      <w:proofErr w:type="spellStart"/>
      <w:r w:rsidRPr="008F1FF6">
        <w:rPr>
          <w:rFonts w:ascii="Times New Roman" w:hAnsi="Times New Roman"/>
          <w:sz w:val="24"/>
          <w:szCs w:val="24"/>
        </w:rPr>
        <w:t>Nouira</w:t>
      </w:r>
      <w:proofErr w:type="spellEnd"/>
      <w:r w:rsidRPr="008F1FF6">
        <w:rPr>
          <w:rFonts w:ascii="Times New Roman" w:hAnsi="Times New Roman"/>
          <w:sz w:val="24"/>
          <w:szCs w:val="24"/>
        </w:rPr>
        <w:t xml:space="preserve">, A. (2008, June). </w:t>
      </w:r>
      <w:r w:rsidRPr="008F1FF6">
        <w:rPr>
          <w:rFonts w:ascii="Times New Roman" w:hAnsi="Times New Roman"/>
          <w:i/>
          <w:sz w:val="24"/>
          <w:szCs w:val="24"/>
        </w:rPr>
        <w:t>The Costs and Benefits of Reinsurance</w:t>
      </w:r>
      <w:r w:rsidRPr="008F1FF6">
        <w:rPr>
          <w:rFonts w:ascii="Times New Roman" w:hAnsi="Times New Roman"/>
          <w:sz w:val="24"/>
          <w:szCs w:val="24"/>
        </w:rPr>
        <w:t xml:space="preserve">. Social Science Research Network. https://www.hec.ca/iea/cahiers/2008/iea0804_rgagne.pdf. </w:t>
      </w:r>
    </w:p>
    <w:p w14:paraId="1248E595" w14:textId="77777777" w:rsidR="008F1FF6" w:rsidRPr="008F1FF6" w:rsidRDefault="008F1FF6" w:rsidP="008F1FF6">
      <w:pPr>
        <w:spacing w:after="0" w:line="480" w:lineRule="auto"/>
        <w:ind w:left="720" w:hanging="720"/>
        <w:rPr>
          <w:sz w:val="24"/>
          <w:szCs w:val="24"/>
        </w:rPr>
      </w:pPr>
      <w:r w:rsidRPr="008F1FF6">
        <w:rPr>
          <w:rFonts w:ascii="Times New Roman" w:hAnsi="Times New Roman"/>
          <w:sz w:val="24"/>
          <w:szCs w:val="24"/>
        </w:rPr>
        <w:t xml:space="preserve">Ellis, R. P., Martins, B., &amp; Zhu, W. (2017, December 13). </w:t>
      </w:r>
      <w:r w:rsidRPr="008F1FF6">
        <w:rPr>
          <w:rFonts w:ascii="Times New Roman" w:hAnsi="Times New Roman"/>
          <w:i/>
          <w:sz w:val="24"/>
          <w:szCs w:val="24"/>
        </w:rPr>
        <w:t>Demand elasticities and service selection incentives among competing private health plans</w:t>
      </w:r>
      <w:r w:rsidRPr="008F1FF6">
        <w:rPr>
          <w:rFonts w:ascii="Times New Roman" w:hAnsi="Times New Roman"/>
          <w:sz w:val="24"/>
          <w:szCs w:val="24"/>
        </w:rPr>
        <w:t xml:space="preserve">. Journal of Health Economics. https://www.sciencedirect.com/science/article/abs/pii/S0167629617308494. </w:t>
      </w:r>
    </w:p>
    <w:p w14:paraId="119C50A9" w14:textId="77777777" w:rsidR="008F1FF6" w:rsidRPr="008F1FF6" w:rsidRDefault="008F1FF6" w:rsidP="008F1FF6">
      <w:pPr>
        <w:spacing w:after="0" w:line="480" w:lineRule="auto"/>
        <w:ind w:left="720" w:hanging="720"/>
        <w:rPr>
          <w:sz w:val="24"/>
          <w:szCs w:val="24"/>
        </w:rPr>
      </w:pPr>
      <w:r w:rsidRPr="008F1FF6">
        <w:rPr>
          <w:rFonts w:ascii="Times New Roman" w:hAnsi="Times New Roman"/>
          <w:sz w:val="24"/>
          <w:szCs w:val="24"/>
        </w:rPr>
        <w:t xml:space="preserve">Hendren, N. (2013, September 18). </w:t>
      </w:r>
      <w:r w:rsidRPr="008F1FF6">
        <w:rPr>
          <w:rFonts w:ascii="Times New Roman" w:hAnsi="Times New Roman"/>
          <w:i/>
          <w:sz w:val="24"/>
          <w:szCs w:val="24"/>
        </w:rPr>
        <w:t>Private Information and Insurance Rejections</w:t>
      </w:r>
      <w:r w:rsidRPr="008F1FF6">
        <w:rPr>
          <w:rFonts w:ascii="Times New Roman" w:hAnsi="Times New Roman"/>
          <w:sz w:val="24"/>
          <w:szCs w:val="24"/>
        </w:rPr>
        <w:t xml:space="preserve">. Wiley Online Library. https://onlinelibrary.wiley.com/doi/abs/10.3982/ecta10931. </w:t>
      </w:r>
    </w:p>
    <w:p w14:paraId="34CF1A78" w14:textId="77777777" w:rsidR="008F1FF6" w:rsidRPr="008F1FF6" w:rsidRDefault="008F1FF6" w:rsidP="008F1FF6">
      <w:pPr>
        <w:spacing w:after="0" w:line="480" w:lineRule="auto"/>
        <w:ind w:left="720" w:hanging="720"/>
        <w:rPr>
          <w:sz w:val="24"/>
          <w:szCs w:val="24"/>
        </w:rPr>
      </w:pPr>
      <w:r w:rsidRPr="008F1FF6">
        <w:rPr>
          <w:rFonts w:ascii="Times New Roman" w:hAnsi="Times New Roman"/>
          <w:sz w:val="24"/>
          <w:szCs w:val="24"/>
        </w:rPr>
        <w:t xml:space="preserve">Hoag, S., </w:t>
      </w:r>
      <w:proofErr w:type="spellStart"/>
      <w:r w:rsidRPr="008F1FF6">
        <w:rPr>
          <w:rFonts w:ascii="Times New Roman" w:hAnsi="Times New Roman"/>
          <w:sz w:val="24"/>
          <w:szCs w:val="24"/>
        </w:rPr>
        <w:t>Pietras</w:t>
      </w:r>
      <w:proofErr w:type="spellEnd"/>
      <w:r w:rsidRPr="008F1FF6">
        <w:rPr>
          <w:rFonts w:ascii="Times New Roman" w:hAnsi="Times New Roman"/>
          <w:sz w:val="24"/>
          <w:szCs w:val="24"/>
        </w:rPr>
        <w:t xml:space="preserve">, S., </w:t>
      </w:r>
      <w:proofErr w:type="spellStart"/>
      <w:r w:rsidRPr="008F1FF6">
        <w:rPr>
          <w:rFonts w:ascii="Times New Roman" w:hAnsi="Times New Roman"/>
          <w:sz w:val="24"/>
          <w:szCs w:val="24"/>
        </w:rPr>
        <w:t>Orfield</w:t>
      </w:r>
      <w:proofErr w:type="spellEnd"/>
      <w:r w:rsidRPr="008F1FF6">
        <w:rPr>
          <w:rFonts w:ascii="Times New Roman" w:hAnsi="Times New Roman"/>
          <w:sz w:val="24"/>
          <w:szCs w:val="24"/>
        </w:rPr>
        <w:t xml:space="preserve">, C., &amp; Dickey, J. (2019, May). </w:t>
      </w:r>
      <w:r w:rsidRPr="008F1FF6">
        <w:rPr>
          <w:rFonts w:ascii="Times New Roman" w:hAnsi="Times New Roman"/>
          <w:i/>
          <w:sz w:val="24"/>
          <w:szCs w:val="24"/>
        </w:rPr>
        <w:t>A Closer Look: Perspectives on the 2019 Marketplace Open Enrollment Period</w:t>
      </w:r>
      <w:r w:rsidRPr="008F1FF6">
        <w:rPr>
          <w:rFonts w:ascii="Times New Roman" w:hAnsi="Times New Roman"/>
          <w:sz w:val="24"/>
          <w:szCs w:val="24"/>
        </w:rPr>
        <w:t xml:space="preserve">. Mathematica.org. https://www.mathematica.org/-/media/publications/pdfs/health/2019/open-enrollment-brief.pdf. </w:t>
      </w:r>
    </w:p>
    <w:p w14:paraId="0837347B" w14:textId="77777777" w:rsidR="008F1FF6" w:rsidRPr="008F1FF6" w:rsidRDefault="008F1FF6" w:rsidP="008F1FF6">
      <w:pPr>
        <w:spacing w:after="0" w:line="480" w:lineRule="auto"/>
        <w:ind w:left="720" w:hanging="720"/>
        <w:rPr>
          <w:sz w:val="24"/>
          <w:szCs w:val="24"/>
        </w:rPr>
      </w:pPr>
      <w:r w:rsidRPr="008F1FF6">
        <w:rPr>
          <w:rFonts w:ascii="Times New Roman" w:hAnsi="Times New Roman"/>
          <w:sz w:val="24"/>
          <w:szCs w:val="24"/>
        </w:rPr>
        <w:lastRenderedPageBreak/>
        <w:t xml:space="preserve">Hong, Y.-R., Jo, A., &amp; </w:t>
      </w:r>
      <w:proofErr w:type="spellStart"/>
      <w:r w:rsidRPr="008F1FF6">
        <w:rPr>
          <w:rFonts w:ascii="Times New Roman" w:hAnsi="Times New Roman"/>
          <w:sz w:val="24"/>
          <w:szCs w:val="24"/>
        </w:rPr>
        <w:t>Mainous</w:t>
      </w:r>
      <w:proofErr w:type="spellEnd"/>
      <w:r w:rsidRPr="008F1FF6">
        <w:rPr>
          <w:rFonts w:ascii="Times New Roman" w:hAnsi="Times New Roman"/>
          <w:sz w:val="24"/>
          <w:szCs w:val="24"/>
        </w:rPr>
        <w:t xml:space="preserve">, A. G. (2017, August 1). </w:t>
      </w:r>
      <w:proofErr w:type="gramStart"/>
      <w:r w:rsidRPr="008F1FF6">
        <w:rPr>
          <w:rFonts w:ascii="Times New Roman" w:hAnsi="Times New Roman"/>
          <w:i/>
          <w:sz w:val="24"/>
          <w:szCs w:val="24"/>
        </w:rPr>
        <w:t>Up-to-Date</w:t>
      </w:r>
      <w:proofErr w:type="gramEnd"/>
      <w:r w:rsidRPr="008F1FF6">
        <w:rPr>
          <w:rFonts w:ascii="Times New Roman" w:hAnsi="Times New Roman"/>
          <w:i/>
          <w:sz w:val="24"/>
          <w:szCs w:val="24"/>
        </w:rPr>
        <w:t xml:space="preserve"> on Preventive Care Services Under Affordable Care Act</w:t>
      </w:r>
      <w:r w:rsidRPr="008F1FF6">
        <w:rPr>
          <w:rFonts w:ascii="Times New Roman" w:hAnsi="Times New Roman"/>
          <w:sz w:val="24"/>
          <w:szCs w:val="24"/>
        </w:rPr>
        <w:t xml:space="preserve">. </w:t>
      </w:r>
      <w:proofErr w:type="spellStart"/>
      <w:r w:rsidRPr="008F1FF6">
        <w:rPr>
          <w:rFonts w:ascii="Times New Roman" w:hAnsi="Times New Roman"/>
          <w:sz w:val="24"/>
          <w:szCs w:val="24"/>
        </w:rPr>
        <w:t>Ingenta</w:t>
      </w:r>
      <w:proofErr w:type="spellEnd"/>
      <w:r w:rsidRPr="008F1FF6">
        <w:rPr>
          <w:rFonts w:ascii="Times New Roman" w:hAnsi="Times New Roman"/>
          <w:sz w:val="24"/>
          <w:szCs w:val="24"/>
        </w:rPr>
        <w:t xml:space="preserve"> Connect. https://www.ingentaconnect.com/content/wk/mcar/2017/00000055/00000008/art00007. </w:t>
      </w:r>
    </w:p>
    <w:p w14:paraId="48E4FFB7" w14:textId="77777777" w:rsidR="008F1FF6" w:rsidRPr="008F1FF6" w:rsidRDefault="008F1FF6" w:rsidP="008F1FF6">
      <w:pPr>
        <w:spacing w:after="0" w:line="480" w:lineRule="auto"/>
        <w:ind w:left="720" w:hanging="720"/>
        <w:rPr>
          <w:sz w:val="24"/>
          <w:szCs w:val="24"/>
        </w:rPr>
      </w:pPr>
      <w:r w:rsidRPr="008F1FF6">
        <w:rPr>
          <w:rFonts w:ascii="Times New Roman" w:hAnsi="Times New Roman"/>
          <w:sz w:val="24"/>
          <w:szCs w:val="24"/>
        </w:rPr>
        <w:t xml:space="preserve">Howard, H. (2020, November 2). </w:t>
      </w:r>
      <w:r w:rsidRPr="008F1FF6">
        <w:rPr>
          <w:rFonts w:ascii="Times New Roman" w:hAnsi="Times New Roman"/>
          <w:i/>
          <w:sz w:val="24"/>
          <w:szCs w:val="24"/>
        </w:rPr>
        <w:t>More States Looking to Section 1332 Waivers</w:t>
      </w:r>
      <w:r w:rsidRPr="008F1FF6">
        <w:rPr>
          <w:rFonts w:ascii="Times New Roman" w:hAnsi="Times New Roman"/>
          <w:sz w:val="24"/>
          <w:szCs w:val="24"/>
        </w:rPr>
        <w:t xml:space="preserve">. State Health and Value Strategies. https://www.shvs.org/more-states-looking-to-section-1332-waivers/. </w:t>
      </w:r>
    </w:p>
    <w:p w14:paraId="1432EFB1" w14:textId="77777777" w:rsidR="008F1FF6" w:rsidRPr="008F1FF6" w:rsidRDefault="008F1FF6" w:rsidP="008F1FF6">
      <w:pPr>
        <w:spacing w:after="0" w:line="480" w:lineRule="auto"/>
        <w:ind w:left="720" w:hanging="720"/>
        <w:rPr>
          <w:sz w:val="24"/>
          <w:szCs w:val="24"/>
        </w:rPr>
      </w:pPr>
      <w:r w:rsidRPr="008F1FF6">
        <w:rPr>
          <w:rFonts w:ascii="Times New Roman" w:hAnsi="Times New Roman"/>
          <w:sz w:val="24"/>
          <w:szCs w:val="24"/>
        </w:rPr>
        <w:t xml:space="preserve">Jack, W. (2001, February 6). </w:t>
      </w:r>
      <w:r w:rsidRPr="008F1FF6">
        <w:rPr>
          <w:rFonts w:ascii="Times New Roman" w:hAnsi="Times New Roman"/>
          <w:i/>
          <w:sz w:val="24"/>
          <w:szCs w:val="24"/>
        </w:rPr>
        <w:t>Controlling selection incentives when health insurance contracts are endogenous</w:t>
      </w:r>
      <w:r w:rsidRPr="008F1FF6">
        <w:rPr>
          <w:rFonts w:ascii="Times New Roman" w:hAnsi="Times New Roman"/>
          <w:sz w:val="24"/>
          <w:szCs w:val="24"/>
        </w:rPr>
        <w:t xml:space="preserve">. Journal of Public Economics. https://www.sciencedirect.com/science/article/abs/pii/S0047272700001031. </w:t>
      </w:r>
    </w:p>
    <w:p w14:paraId="01221579" w14:textId="77777777" w:rsidR="008F1FF6" w:rsidRPr="008F1FF6" w:rsidRDefault="008F1FF6" w:rsidP="008F1FF6">
      <w:pPr>
        <w:spacing w:after="0" w:line="480" w:lineRule="auto"/>
        <w:ind w:left="720" w:hanging="720"/>
        <w:rPr>
          <w:sz w:val="24"/>
          <w:szCs w:val="24"/>
        </w:rPr>
      </w:pPr>
      <w:r w:rsidRPr="008F1FF6">
        <w:rPr>
          <w:rFonts w:ascii="Times New Roman" w:hAnsi="Times New Roman"/>
          <w:sz w:val="24"/>
          <w:szCs w:val="24"/>
        </w:rPr>
        <w:t xml:space="preserve">Kaiser Family Foundation. (2021, March 12). </w:t>
      </w:r>
      <w:r w:rsidRPr="008F1FF6">
        <w:rPr>
          <w:rFonts w:ascii="Times New Roman" w:hAnsi="Times New Roman"/>
          <w:i/>
          <w:sz w:val="24"/>
          <w:szCs w:val="24"/>
        </w:rPr>
        <w:t>Status of State Medicaid Expansion Decisions: Interactive Map</w:t>
      </w:r>
      <w:r w:rsidRPr="008F1FF6">
        <w:rPr>
          <w:rFonts w:ascii="Times New Roman" w:hAnsi="Times New Roman"/>
          <w:sz w:val="24"/>
          <w:szCs w:val="24"/>
        </w:rPr>
        <w:t xml:space="preserve">. KFF. https://www.kff.org/medicaid/issue-brief/status-of-state-medicaid-expansion-decisions-interactive-map/. </w:t>
      </w:r>
    </w:p>
    <w:p w14:paraId="139E70F7" w14:textId="77777777" w:rsidR="008F1FF6" w:rsidRPr="008F1FF6" w:rsidRDefault="008F1FF6" w:rsidP="008F1FF6">
      <w:pPr>
        <w:spacing w:after="0" w:line="480" w:lineRule="auto"/>
        <w:ind w:left="720" w:hanging="720"/>
        <w:rPr>
          <w:sz w:val="24"/>
          <w:szCs w:val="24"/>
        </w:rPr>
      </w:pPr>
      <w:proofErr w:type="spellStart"/>
      <w:r w:rsidRPr="008F1FF6">
        <w:rPr>
          <w:rFonts w:ascii="Times New Roman" w:hAnsi="Times New Roman"/>
          <w:sz w:val="24"/>
          <w:szCs w:val="24"/>
        </w:rPr>
        <w:t>Raifman</w:t>
      </w:r>
      <w:proofErr w:type="spellEnd"/>
      <w:r w:rsidRPr="008F1FF6">
        <w:rPr>
          <w:rFonts w:ascii="Times New Roman" w:hAnsi="Times New Roman"/>
          <w:sz w:val="24"/>
          <w:szCs w:val="24"/>
        </w:rPr>
        <w:t xml:space="preserve">, J., </w:t>
      </w:r>
      <w:proofErr w:type="spellStart"/>
      <w:r w:rsidRPr="008F1FF6">
        <w:rPr>
          <w:rFonts w:ascii="Times New Roman" w:hAnsi="Times New Roman"/>
          <w:sz w:val="24"/>
          <w:szCs w:val="24"/>
        </w:rPr>
        <w:t>Moscoe</w:t>
      </w:r>
      <w:proofErr w:type="spellEnd"/>
      <w:r w:rsidRPr="008F1FF6">
        <w:rPr>
          <w:rFonts w:ascii="Times New Roman" w:hAnsi="Times New Roman"/>
          <w:sz w:val="24"/>
          <w:szCs w:val="24"/>
        </w:rPr>
        <w:t xml:space="preserve">, E., &amp; Austin, B. (2018, July 1). </w:t>
      </w:r>
      <w:r w:rsidRPr="008F1FF6">
        <w:rPr>
          <w:rFonts w:ascii="Times New Roman" w:hAnsi="Times New Roman"/>
          <w:i/>
          <w:sz w:val="24"/>
          <w:szCs w:val="24"/>
        </w:rPr>
        <w:t xml:space="preserve">Association of State Laws Permitting Denial of Services to Same-Sex Couples </w:t>
      </w:r>
      <w:proofErr w:type="gramStart"/>
      <w:r w:rsidRPr="008F1FF6">
        <w:rPr>
          <w:rFonts w:ascii="Times New Roman" w:hAnsi="Times New Roman"/>
          <w:i/>
          <w:sz w:val="24"/>
          <w:szCs w:val="24"/>
        </w:rPr>
        <w:t>With</w:t>
      </w:r>
      <w:proofErr w:type="gramEnd"/>
      <w:r w:rsidRPr="008F1FF6">
        <w:rPr>
          <w:rFonts w:ascii="Times New Roman" w:hAnsi="Times New Roman"/>
          <w:i/>
          <w:sz w:val="24"/>
          <w:szCs w:val="24"/>
        </w:rPr>
        <w:t xml:space="preserve"> Mental Distress in Sexual Minority Adults</w:t>
      </w:r>
      <w:r w:rsidRPr="008F1FF6">
        <w:rPr>
          <w:rFonts w:ascii="Times New Roman" w:hAnsi="Times New Roman"/>
          <w:sz w:val="24"/>
          <w:szCs w:val="24"/>
        </w:rPr>
        <w:t xml:space="preserve">. JAMA Network. https://jamanetwork.com/journals/jamapsychiatry/article-abstract/2680808. </w:t>
      </w:r>
    </w:p>
    <w:p w14:paraId="40607B70" w14:textId="77777777" w:rsidR="008F1FF6" w:rsidRPr="008F1FF6" w:rsidRDefault="008F1FF6" w:rsidP="008F1FF6">
      <w:pPr>
        <w:spacing w:after="0" w:line="480" w:lineRule="auto"/>
        <w:ind w:left="720" w:hanging="720"/>
        <w:rPr>
          <w:sz w:val="24"/>
          <w:szCs w:val="24"/>
        </w:rPr>
      </w:pPr>
      <w:r w:rsidRPr="008F1FF6">
        <w:rPr>
          <w:rFonts w:ascii="Times New Roman" w:hAnsi="Times New Roman"/>
          <w:sz w:val="24"/>
          <w:szCs w:val="24"/>
        </w:rPr>
        <w:t xml:space="preserve">Ridgeway, G., </w:t>
      </w:r>
      <w:proofErr w:type="spellStart"/>
      <w:r w:rsidRPr="008F1FF6">
        <w:rPr>
          <w:rFonts w:ascii="Times New Roman" w:hAnsi="Times New Roman"/>
          <w:sz w:val="24"/>
          <w:szCs w:val="24"/>
        </w:rPr>
        <w:t>Kovalchik</w:t>
      </w:r>
      <w:proofErr w:type="spellEnd"/>
      <w:r w:rsidRPr="008F1FF6">
        <w:rPr>
          <w:rFonts w:ascii="Times New Roman" w:hAnsi="Times New Roman"/>
          <w:sz w:val="24"/>
          <w:szCs w:val="24"/>
        </w:rPr>
        <w:t xml:space="preserve">, S. A., Griffin, B. A., &amp; </w:t>
      </w:r>
      <w:proofErr w:type="spellStart"/>
      <w:r w:rsidRPr="008F1FF6">
        <w:rPr>
          <w:rFonts w:ascii="Times New Roman" w:hAnsi="Times New Roman"/>
          <w:sz w:val="24"/>
          <w:szCs w:val="24"/>
        </w:rPr>
        <w:t>Kabeto</w:t>
      </w:r>
      <w:proofErr w:type="spellEnd"/>
      <w:r w:rsidRPr="008F1FF6">
        <w:rPr>
          <w:rFonts w:ascii="Times New Roman" w:hAnsi="Times New Roman"/>
          <w:sz w:val="24"/>
          <w:szCs w:val="24"/>
        </w:rPr>
        <w:t xml:space="preserve">, M. U. (2015, May 14). </w:t>
      </w:r>
      <w:r w:rsidRPr="008F1FF6">
        <w:rPr>
          <w:rFonts w:ascii="Times New Roman" w:hAnsi="Times New Roman"/>
          <w:i/>
          <w:sz w:val="24"/>
          <w:szCs w:val="24"/>
        </w:rPr>
        <w:t>Propensity Score Analysis with Survey Weighted Data</w:t>
      </w:r>
      <w:r w:rsidRPr="008F1FF6">
        <w:rPr>
          <w:rFonts w:ascii="Times New Roman" w:hAnsi="Times New Roman"/>
          <w:sz w:val="24"/>
          <w:szCs w:val="24"/>
        </w:rPr>
        <w:t xml:space="preserve">. National Center for Biotechnology Information. https://www.ncbi.nlm.nih.gov/pmc/articles/PMC5802372/. </w:t>
      </w:r>
    </w:p>
    <w:p w14:paraId="506C5682" w14:textId="77777777" w:rsidR="008F1FF6" w:rsidRPr="008F1FF6" w:rsidRDefault="008F1FF6" w:rsidP="008F1FF6">
      <w:pPr>
        <w:spacing w:after="0" w:line="480" w:lineRule="auto"/>
        <w:ind w:left="720" w:hanging="720"/>
        <w:rPr>
          <w:sz w:val="24"/>
          <w:szCs w:val="24"/>
        </w:rPr>
      </w:pPr>
      <w:r w:rsidRPr="008F1FF6">
        <w:rPr>
          <w:rFonts w:ascii="Times New Roman" w:hAnsi="Times New Roman"/>
          <w:sz w:val="24"/>
          <w:szCs w:val="24"/>
        </w:rPr>
        <w:t xml:space="preserve">Rose, S., Bergquist, S. L., &amp; Layton, T. J. (2017, March 22). </w:t>
      </w:r>
      <w:r w:rsidRPr="008F1FF6">
        <w:rPr>
          <w:rFonts w:ascii="Times New Roman" w:hAnsi="Times New Roman"/>
          <w:i/>
          <w:sz w:val="24"/>
          <w:szCs w:val="24"/>
        </w:rPr>
        <w:t>Computational health economics for identification of unprofitable health care enrollees</w:t>
      </w:r>
      <w:r w:rsidRPr="008F1FF6">
        <w:rPr>
          <w:rFonts w:ascii="Times New Roman" w:hAnsi="Times New Roman"/>
          <w:sz w:val="24"/>
          <w:szCs w:val="24"/>
        </w:rPr>
        <w:t xml:space="preserve">. Oxford Academic. https://academic.oup.com/biostatistics/article/18/4/682/3077114. </w:t>
      </w:r>
    </w:p>
    <w:p w14:paraId="673FA113" w14:textId="77777777" w:rsidR="008F1FF6" w:rsidRPr="008F1FF6" w:rsidRDefault="008F1FF6" w:rsidP="008F1FF6">
      <w:pPr>
        <w:spacing w:after="0" w:line="480" w:lineRule="auto"/>
        <w:ind w:left="720" w:hanging="720"/>
        <w:rPr>
          <w:sz w:val="24"/>
          <w:szCs w:val="24"/>
        </w:rPr>
      </w:pPr>
      <w:r w:rsidRPr="008F1FF6">
        <w:rPr>
          <w:rFonts w:ascii="Times New Roman" w:hAnsi="Times New Roman"/>
          <w:sz w:val="24"/>
          <w:szCs w:val="24"/>
        </w:rPr>
        <w:lastRenderedPageBreak/>
        <w:t xml:space="preserve">Ryan, A. M., </w:t>
      </w:r>
      <w:proofErr w:type="spellStart"/>
      <w:r w:rsidRPr="008F1FF6">
        <w:rPr>
          <w:rFonts w:ascii="Times New Roman" w:hAnsi="Times New Roman"/>
          <w:sz w:val="24"/>
          <w:szCs w:val="24"/>
        </w:rPr>
        <w:t>Kontopantelis</w:t>
      </w:r>
      <w:proofErr w:type="spellEnd"/>
      <w:r w:rsidRPr="008F1FF6">
        <w:rPr>
          <w:rFonts w:ascii="Times New Roman" w:hAnsi="Times New Roman"/>
          <w:sz w:val="24"/>
          <w:szCs w:val="24"/>
        </w:rPr>
        <w:t xml:space="preserve">, E., Linden, A., &amp; Burgess, J. F. (2018, November 25). </w:t>
      </w:r>
      <w:r w:rsidRPr="008F1FF6">
        <w:rPr>
          <w:rFonts w:ascii="Times New Roman" w:hAnsi="Times New Roman"/>
          <w:i/>
          <w:sz w:val="24"/>
          <w:szCs w:val="24"/>
        </w:rPr>
        <w:t>Now trending: Coping with non-parallel trends in difference-in-differences analysis</w:t>
      </w:r>
      <w:r w:rsidRPr="008F1FF6">
        <w:rPr>
          <w:rFonts w:ascii="Times New Roman" w:hAnsi="Times New Roman"/>
          <w:sz w:val="24"/>
          <w:szCs w:val="24"/>
        </w:rPr>
        <w:t xml:space="preserve">. Sage Journals. https://journals-sagepub-com.offcampus.lib.washington.edu/doi/full/10.1177/0962280218814570. </w:t>
      </w:r>
    </w:p>
    <w:p w14:paraId="0F134CAB" w14:textId="77777777" w:rsidR="008F1FF6" w:rsidRPr="008F1FF6" w:rsidRDefault="008F1FF6" w:rsidP="008F1FF6">
      <w:pPr>
        <w:spacing w:after="0" w:line="480" w:lineRule="auto"/>
        <w:ind w:left="720" w:hanging="720"/>
        <w:rPr>
          <w:sz w:val="24"/>
          <w:szCs w:val="24"/>
        </w:rPr>
      </w:pPr>
      <w:r w:rsidRPr="008F1FF6">
        <w:rPr>
          <w:rFonts w:ascii="Times New Roman" w:hAnsi="Times New Roman"/>
          <w:sz w:val="24"/>
          <w:szCs w:val="24"/>
        </w:rPr>
        <w:t xml:space="preserve">Schwab, R., Curran, E., &amp; Corlette, S. (2018, November). </w:t>
      </w:r>
      <w:r w:rsidRPr="008F1FF6">
        <w:rPr>
          <w:rFonts w:ascii="Times New Roman" w:hAnsi="Times New Roman"/>
          <w:i/>
          <w:sz w:val="24"/>
          <w:szCs w:val="24"/>
        </w:rPr>
        <w:t>Assessing the Effectiveness of State-Based Reinsurance: Case Studies of Three States’ Efforts to Bolster Their Individual Markets</w:t>
      </w:r>
      <w:r w:rsidRPr="008F1FF6">
        <w:rPr>
          <w:rFonts w:ascii="Times New Roman" w:hAnsi="Times New Roman"/>
          <w:sz w:val="24"/>
          <w:szCs w:val="24"/>
        </w:rPr>
        <w:t xml:space="preserve">. Georgetown University Center on Health Insurance Reforms. http://chirblog.org/wp-content/uploads/2020/02/RWJF_Georgetown_StateBased-Reinsurance-Nov2018.pdf. </w:t>
      </w:r>
    </w:p>
    <w:p w14:paraId="7270EBC6" w14:textId="77777777" w:rsidR="008F1FF6" w:rsidRPr="008F1FF6" w:rsidRDefault="008F1FF6" w:rsidP="008F1FF6">
      <w:pPr>
        <w:spacing w:after="0" w:line="480" w:lineRule="auto"/>
        <w:ind w:left="720" w:hanging="720"/>
        <w:rPr>
          <w:sz w:val="24"/>
          <w:szCs w:val="24"/>
        </w:rPr>
      </w:pPr>
      <w:r w:rsidRPr="008F1FF6">
        <w:rPr>
          <w:rFonts w:ascii="Times New Roman" w:hAnsi="Times New Roman"/>
          <w:sz w:val="24"/>
          <w:szCs w:val="24"/>
        </w:rPr>
        <w:t xml:space="preserve">Simon, K., </w:t>
      </w:r>
      <w:proofErr w:type="spellStart"/>
      <w:r w:rsidRPr="008F1FF6">
        <w:rPr>
          <w:rFonts w:ascii="Times New Roman" w:hAnsi="Times New Roman"/>
          <w:sz w:val="24"/>
          <w:szCs w:val="24"/>
        </w:rPr>
        <w:t>Soni</w:t>
      </w:r>
      <w:proofErr w:type="spellEnd"/>
      <w:r w:rsidRPr="008F1FF6">
        <w:rPr>
          <w:rFonts w:ascii="Times New Roman" w:hAnsi="Times New Roman"/>
          <w:sz w:val="24"/>
          <w:szCs w:val="24"/>
        </w:rPr>
        <w:t xml:space="preserve">, A., &amp; Cawley, J. (2017, January 16). </w:t>
      </w:r>
      <w:r w:rsidRPr="008F1FF6">
        <w:rPr>
          <w:rFonts w:ascii="Times New Roman" w:hAnsi="Times New Roman"/>
          <w:i/>
          <w:sz w:val="24"/>
          <w:szCs w:val="24"/>
        </w:rPr>
        <w:t>The Impact of Health Insurance on Preventive Care and Health Behaviors: Evidence from the First Two Years of the ACA Medicaid Expansions</w:t>
      </w:r>
      <w:r w:rsidRPr="008F1FF6">
        <w:rPr>
          <w:rFonts w:ascii="Times New Roman" w:hAnsi="Times New Roman"/>
          <w:sz w:val="24"/>
          <w:szCs w:val="24"/>
        </w:rPr>
        <w:t xml:space="preserve">. Wiley Online Library. https://onlinelibrary.wiley.com/doi/abs/10.1002/pam.21972. </w:t>
      </w:r>
    </w:p>
    <w:p w14:paraId="7111F8D9" w14:textId="77777777" w:rsidR="008F1FF6" w:rsidRPr="008F1FF6" w:rsidRDefault="008F1FF6" w:rsidP="008F1FF6">
      <w:pPr>
        <w:spacing w:after="0" w:line="480" w:lineRule="auto"/>
        <w:ind w:left="720" w:hanging="720"/>
        <w:rPr>
          <w:sz w:val="24"/>
          <w:szCs w:val="24"/>
        </w:rPr>
      </w:pPr>
      <w:r w:rsidRPr="008F1FF6">
        <w:rPr>
          <w:rFonts w:ascii="Times New Roman" w:hAnsi="Times New Roman"/>
          <w:sz w:val="24"/>
          <w:szCs w:val="24"/>
        </w:rPr>
        <w:t xml:space="preserve">Sloan, C., &amp; </w:t>
      </w:r>
      <w:proofErr w:type="spellStart"/>
      <w:r w:rsidRPr="008F1FF6">
        <w:rPr>
          <w:rFonts w:ascii="Times New Roman" w:hAnsi="Times New Roman"/>
          <w:sz w:val="24"/>
          <w:szCs w:val="24"/>
        </w:rPr>
        <w:t>Rosacker</w:t>
      </w:r>
      <w:proofErr w:type="spellEnd"/>
      <w:r w:rsidRPr="008F1FF6">
        <w:rPr>
          <w:rFonts w:ascii="Times New Roman" w:hAnsi="Times New Roman"/>
          <w:sz w:val="24"/>
          <w:szCs w:val="24"/>
        </w:rPr>
        <w:t xml:space="preserve">, N. (2019, October 29). </w:t>
      </w:r>
      <w:r w:rsidRPr="008F1FF6">
        <w:rPr>
          <w:rFonts w:ascii="Times New Roman" w:hAnsi="Times New Roman"/>
          <w:i/>
          <w:sz w:val="24"/>
          <w:szCs w:val="24"/>
        </w:rPr>
        <w:t>State-Run Reinsurance Programs Reduce ACA Premiums by 16.9% on Average</w:t>
      </w:r>
      <w:r w:rsidRPr="008F1FF6">
        <w:rPr>
          <w:rFonts w:ascii="Times New Roman" w:hAnsi="Times New Roman"/>
          <w:sz w:val="24"/>
          <w:szCs w:val="24"/>
        </w:rPr>
        <w:t xml:space="preserve">. Avalere Health. https://avalere.com/press-releases/state-run-reinsurance-programs-reduce-aca-premiums-by-16-9-on-average. </w:t>
      </w:r>
    </w:p>
    <w:p w14:paraId="598488A7" w14:textId="77777777" w:rsidR="008F1FF6" w:rsidRPr="008F1FF6" w:rsidRDefault="008F1FF6" w:rsidP="008F1FF6">
      <w:pPr>
        <w:spacing w:after="0" w:line="480" w:lineRule="auto"/>
        <w:ind w:left="720" w:hanging="720"/>
        <w:rPr>
          <w:sz w:val="24"/>
          <w:szCs w:val="24"/>
        </w:rPr>
      </w:pPr>
      <w:r w:rsidRPr="008F1FF6">
        <w:rPr>
          <w:rFonts w:ascii="Times New Roman" w:hAnsi="Times New Roman"/>
          <w:sz w:val="24"/>
          <w:szCs w:val="24"/>
        </w:rPr>
        <w:t xml:space="preserve">Sommers, B. D., Gawande, A. A., &amp; Baicker, K. (2017, August 10). </w:t>
      </w:r>
      <w:r w:rsidRPr="008F1FF6">
        <w:rPr>
          <w:rFonts w:ascii="Times New Roman" w:hAnsi="Times New Roman"/>
          <w:i/>
          <w:sz w:val="24"/>
          <w:szCs w:val="24"/>
        </w:rPr>
        <w:t>Health Insurance Coverage and Health - What the Recent Evidence Tells Us: NEJM</w:t>
      </w:r>
      <w:r w:rsidRPr="008F1FF6">
        <w:rPr>
          <w:rFonts w:ascii="Times New Roman" w:hAnsi="Times New Roman"/>
          <w:sz w:val="24"/>
          <w:szCs w:val="24"/>
        </w:rPr>
        <w:t xml:space="preserve">. New England Journal of Medicine. https://www.nejm.org/doi/full/10.1056/NEJMsb1706645. </w:t>
      </w:r>
    </w:p>
    <w:p w14:paraId="4C7B5731" w14:textId="77777777" w:rsidR="008F1FF6" w:rsidRPr="008F1FF6" w:rsidRDefault="008F1FF6" w:rsidP="008F1FF6">
      <w:pPr>
        <w:spacing w:after="0" w:line="480" w:lineRule="auto"/>
        <w:ind w:left="720" w:hanging="720"/>
        <w:rPr>
          <w:sz w:val="24"/>
          <w:szCs w:val="24"/>
        </w:rPr>
      </w:pPr>
      <w:proofErr w:type="spellStart"/>
      <w:r w:rsidRPr="008F1FF6">
        <w:rPr>
          <w:rFonts w:ascii="Times New Roman" w:hAnsi="Times New Roman"/>
          <w:sz w:val="24"/>
          <w:szCs w:val="24"/>
        </w:rPr>
        <w:t>Uberoi</w:t>
      </w:r>
      <w:proofErr w:type="spellEnd"/>
      <w:r w:rsidRPr="008F1FF6">
        <w:rPr>
          <w:rFonts w:ascii="Times New Roman" w:hAnsi="Times New Roman"/>
          <w:sz w:val="24"/>
          <w:szCs w:val="24"/>
        </w:rPr>
        <w:t xml:space="preserve">, N. K., &amp; Liu, E. C. (2017, August 23). </w:t>
      </w:r>
      <w:r w:rsidRPr="008F1FF6">
        <w:rPr>
          <w:rFonts w:ascii="Times New Roman" w:hAnsi="Times New Roman"/>
          <w:i/>
          <w:sz w:val="24"/>
          <w:szCs w:val="24"/>
        </w:rPr>
        <w:t>The Patient Protection and Affordable Care Act’s (ACA’s) Transitional Reinsurance Program</w:t>
      </w:r>
      <w:r w:rsidRPr="008F1FF6">
        <w:rPr>
          <w:rFonts w:ascii="Times New Roman" w:hAnsi="Times New Roman"/>
          <w:sz w:val="24"/>
          <w:szCs w:val="24"/>
        </w:rPr>
        <w:t xml:space="preserve">. Congressional Research Service. https://fas.org/sgp/crs/misc/R44690.pdf. </w:t>
      </w:r>
    </w:p>
    <w:p w14:paraId="32CCDB8D" w14:textId="77777777" w:rsidR="008F1FF6" w:rsidRPr="008F1FF6" w:rsidRDefault="008F1FF6" w:rsidP="008F1FF6">
      <w:pPr>
        <w:spacing w:after="0" w:line="480" w:lineRule="auto"/>
        <w:ind w:left="720" w:hanging="720"/>
        <w:rPr>
          <w:sz w:val="24"/>
          <w:szCs w:val="24"/>
        </w:rPr>
      </w:pPr>
      <w:r w:rsidRPr="008F1FF6">
        <w:rPr>
          <w:rFonts w:ascii="Times New Roman" w:hAnsi="Times New Roman"/>
          <w:sz w:val="24"/>
          <w:szCs w:val="24"/>
        </w:rPr>
        <w:lastRenderedPageBreak/>
        <w:t xml:space="preserve">United Health Foundation. (2018). </w:t>
      </w:r>
      <w:r w:rsidRPr="008F1FF6">
        <w:rPr>
          <w:rFonts w:ascii="Times New Roman" w:hAnsi="Times New Roman"/>
          <w:i/>
          <w:sz w:val="24"/>
          <w:szCs w:val="24"/>
        </w:rPr>
        <w:t>2018 Annual Report: State Rankings</w:t>
      </w:r>
      <w:r w:rsidRPr="008F1FF6">
        <w:rPr>
          <w:rFonts w:ascii="Times New Roman" w:hAnsi="Times New Roman"/>
          <w:sz w:val="24"/>
          <w:szCs w:val="24"/>
        </w:rPr>
        <w:t xml:space="preserve">. Americashealthrankings.org. https://www.americashealthrankings.org/learn/reports/2018-annual-report/findings-state-rankings. </w:t>
      </w:r>
    </w:p>
    <w:p w14:paraId="780F8783" w14:textId="77777777" w:rsidR="008F1FF6" w:rsidRPr="008F1FF6" w:rsidRDefault="008F1FF6" w:rsidP="008F1FF6">
      <w:pPr>
        <w:spacing w:after="0" w:line="480" w:lineRule="auto"/>
        <w:ind w:left="720" w:hanging="720"/>
        <w:rPr>
          <w:sz w:val="24"/>
          <w:szCs w:val="24"/>
        </w:rPr>
      </w:pPr>
      <w:r w:rsidRPr="008F1FF6">
        <w:rPr>
          <w:rFonts w:ascii="Times New Roman" w:hAnsi="Times New Roman"/>
          <w:sz w:val="24"/>
          <w:szCs w:val="24"/>
        </w:rPr>
        <w:t xml:space="preserve">Wherry, L. R., &amp; Miller, S. (2016, June 21). </w:t>
      </w:r>
      <w:r w:rsidRPr="008F1FF6">
        <w:rPr>
          <w:rFonts w:ascii="Times New Roman" w:hAnsi="Times New Roman"/>
          <w:i/>
          <w:sz w:val="24"/>
          <w:szCs w:val="24"/>
        </w:rPr>
        <w:t xml:space="preserve">Early Coverage, Access, Utilization, and Health Effects Associated </w:t>
      </w:r>
      <w:proofErr w:type="gramStart"/>
      <w:r w:rsidRPr="008F1FF6">
        <w:rPr>
          <w:rFonts w:ascii="Times New Roman" w:hAnsi="Times New Roman"/>
          <w:i/>
          <w:sz w:val="24"/>
          <w:szCs w:val="24"/>
        </w:rPr>
        <w:t>With</w:t>
      </w:r>
      <w:proofErr w:type="gramEnd"/>
      <w:r w:rsidRPr="008F1FF6">
        <w:rPr>
          <w:rFonts w:ascii="Times New Roman" w:hAnsi="Times New Roman"/>
          <w:i/>
          <w:sz w:val="24"/>
          <w:szCs w:val="24"/>
        </w:rPr>
        <w:t xml:space="preserve"> the Affordable Care Act Medicaid Expansions</w:t>
      </w:r>
      <w:r w:rsidRPr="008F1FF6">
        <w:rPr>
          <w:rFonts w:ascii="Times New Roman" w:hAnsi="Times New Roman"/>
          <w:sz w:val="24"/>
          <w:szCs w:val="24"/>
        </w:rPr>
        <w:t xml:space="preserve">. Annals of Internal Medicine. https://www.acpjournals.org/doi/abs/10.7326/m15-2234. </w:t>
      </w:r>
    </w:p>
    <w:p w14:paraId="06CE9DE3" w14:textId="77777777" w:rsidR="008F1FF6" w:rsidRPr="008F1FF6" w:rsidRDefault="008F1FF6" w:rsidP="008F1FF6">
      <w:pPr>
        <w:spacing w:after="0" w:line="480" w:lineRule="auto"/>
        <w:ind w:left="720" w:hanging="720"/>
        <w:rPr>
          <w:sz w:val="24"/>
          <w:szCs w:val="24"/>
        </w:rPr>
      </w:pPr>
      <w:r w:rsidRPr="008F1FF6">
        <w:rPr>
          <w:rFonts w:ascii="Times New Roman" w:hAnsi="Times New Roman"/>
          <w:sz w:val="24"/>
          <w:szCs w:val="24"/>
        </w:rPr>
        <w:t xml:space="preserve">Zhu, J. M., Layton, T., </w:t>
      </w:r>
      <w:proofErr w:type="spellStart"/>
      <w:r w:rsidRPr="008F1FF6">
        <w:rPr>
          <w:rFonts w:ascii="Times New Roman" w:hAnsi="Times New Roman"/>
          <w:sz w:val="24"/>
          <w:szCs w:val="24"/>
        </w:rPr>
        <w:t>Sinaiko</w:t>
      </w:r>
      <w:proofErr w:type="spellEnd"/>
      <w:r w:rsidRPr="008F1FF6">
        <w:rPr>
          <w:rFonts w:ascii="Times New Roman" w:hAnsi="Times New Roman"/>
          <w:sz w:val="24"/>
          <w:szCs w:val="24"/>
        </w:rPr>
        <w:t xml:space="preserve">, A. D., &amp; McGuire, T. G. (2013, November 1). </w:t>
      </w:r>
      <w:r w:rsidRPr="008F1FF6">
        <w:rPr>
          <w:rFonts w:ascii="Times New Roman" w:hAnsi="Times New Roman"/>
          <w:i/>
          <w:sz w:val="24"/>
          <w:szCs w:val="24"/>
        </w:rPr>
        <w:t xml:space="preserve">The Power of Reinsurance in Health Insurance Exchanges to Improve the Fit of the Payment System and Reduce Incentives for Adverse Selection - Jane M. Zhu, Timothy Layton, Anna D. </w:t>
      </w:r>
      <w:proofErr w:type="spellStart"/>
      <w:r w:rsidRPr="008F1FF6">
        <w:rPr>
          <w:rFonts w:ascii="Times New Roman" w:hAnsi="Times New Roman"/>
          <w:i/>
          <w:sz w:val="24"/>
          <w:szCs w:val="24"/>
        </w:rPr>
        <w:t>Sinaiko</w:t>
      </w:r>
      <w:proofErr w:type="spellEnd"/>
      <w:r w:rsidRPr="008F1FF6">
        <w:rPr>
          <w:rFonts w:ascii="Times New Roman" w:hAnsi="Times New Roman"/>
          <w:i/>
          <w:sz w:val="24"/>
          <w:szCs w:val="24"/>
        </w:rPr>
        <w:t>, Thomas G. McGuire, 2013</w:t>
      </w:r>
      <w:r w:rsidRPr="008F1FF6">
        <w:rPr>
          <w:rFonts w:ascii="Times New Roman" w:hAnsi="Times New Roman"/>
          <w:sz w:val="24"/>
          <w:szCs w:val="24"/>
        </w:rPr>
        <w:t xml:space="preserve">. SAGE Journals. https://journals.sagepub.com/doi/full/10.1177/0046958014538913. </w:t>
      </w:r>
    </w:p>
    <w:p w14:paraId="3F8BB327" w14:textId="77777777" w:rsidR="008F1FF6" w:rsidRPr="008F1FF6" w:rsidRDefault="008F1FF6" w:rsidP="008F1FF6">
      <w:pPr>
        <w:spacing w:after="0" w:line="480" w:lineRule="auto"/>
        <w:ind w:left="720" w:hanging="720"/>
        <w:rPr>
          <w:sz w:val="24"/>
          <w:szCs w:val="24"/>
        </w:rPr>
      </w:pPr>
      <w:r w:rsidRPr="008F1FF6">
        <w:rPr>
          <w:rFonts w:ascii="Times New Roman" w:hAnsi="Times New Roman"/>
          <w:sz w:val="24"/>
          <w:szCs w:val="24"/>
        </w:rPr>
        <w:t xml:space="preserve">Zhuang, S. C., Boonen, T. J., Tan, K. S., &amp; Xu, Z. Q. (2016, May 26). </w:t>
      </w:r>
      <w:r w:rsidRPr="008F1FF6">
        <w:rPr>
          <w:rFonts w:ascii="Times New Roman" w:hAnsi="Times New Roman"/>
          <w:i/>
          <w:sz w:val="24"/>
          <w:szCs w:val="24"/>
        </w:rPr>
        <w:t>Optimal insurance in the presence of reinsurance</w:t>
      </w:r>
      <w:r w:rsidRPr="008F1FF6">
        <w:rPr>
          <w:rFonts w:ascii="Times New Roman" w:hAnsi="Times New Roman"/>
          <w:sz w:val="24"/>
          <w:szCs w:val="24"/>
        </w:rPr>
        <w:t xml:space="preserve">. Taylor &amp; Francis Online. https://www.tandfonline.com/doi/full/10.1080/03461238.2016.1184710. </w:t>
      </w:r>
    </w:p>
    <w:p w14:paraId="22D85A7B" w14:textId="77777777" w:rsidR="002233B2" w:rsidRPr="008F1FF6" w:rsidRDefault="002233B2" w:rsidP="008F1FF6">
      <w:pPr>
        <w:spacing w:after="0" w:line="276" w:lineRule="auto"/>
        <w:jc w:val="center"/>
        <w:rPr>
          <w:rFonts w:ascii="Times New Roman" w:hAnsi="Times New Roman" w:cs="Times New Roman"/>
          <w:b/>
          <w:bCs/>
          <w:sz w:val="24"/>
          <w:szCs w:val="24"/>
        </w:rPr>
      </w:pPr>
    </w:p>
    <w:sectPr w:rsidR="002233B2" w:rsidRPr="008F1FF6">
      <w:head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64E59" w14:textId="77777777" w:rsidR="00C62089" w:rsidRDefault="00C62089" w:rsidP="00A206C0">
      <w:pPr>
        <w:spacing w:after="0" w:line="240" w:lineRule="auto"/>
      </w:pPr>
      <w:r>
        <w:separator/>
      </w:r>
    </w:p>
  </w:endnote>
  <w:endnote w:type="continuationSeparator" w:id="0">
    <w:p w14:paraId="653571B9" w14:textId="77777777" w:rsidR="00C62089" w:rsidRDefault="00C62089" w:rsidP="00A20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nlo">
    <w:charset w:val="00"/>
    <w:family w:val="swiss"/>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1BEE8" w14:textId="77777777" w:rsidR="00C62089" w:rsidRDefault="00C62089" w:rsidP="00A206C0">
      <w:pPr>
        <w:spacing w:after="0" w:line="240" w:lineRule="auto"/>
      </w:pPr>
      <w:r>
        <w:separator/>
      </w:r>
    </w:p>
  </w:footnote>
  <w:footnote w:type="continuationSeparator" w:id="0">
    <w:p w14:paraId="27D58868" w14:textId="77777777" w:rsidR="00C62089" w:rsidRDefault="00C62089" w:rsidP="00A20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193FA" w14:textId="33BCCEB1" w:rsidR="001A2D3C" w:rsidRDefault="001A2D3C">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Roach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14:paraId="03335F81" w14:textId="77777777" w:rsidR="001A2D3C" w:rsidRDefault="001A2D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57445"/>
    <w:multiLevelType w:val="hybridMultilevel"/>
    <w:tmpl w:val="8D741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BA6376"/>
    <w:multiLevelType w:val="hybridMultilevel"/>
    <w:tmpl w:val="E0B8A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54220D"/>
    <w:multiLevelType w:val="hybridMultilevel"/>
    <w:tmpl w:val="1B8AD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650"/>
    <w:rsid w:val="00001D49"/>
    <w:rsid w:val="0000247C"/>
    <w:rsid w:val="00002AA4"/>
    <w:rsid w:val="0000359F"/>
    <w:rsid w:val="0000374B"/>
    <w:rsid w:val="00004B19"/>
    <w:rsid w:val="00005AB2"/>
    <w:rsid w:val="00005AFF"/>
    <w:rsid w:val="000069AA"/>
    <w:rsid w:val="00007DC1"/>
    <w:rsid w:val="00010A05"/>
    <w:rsid w:val="00011EFE"/>
    <w:rsid w:val="00012261"/>
    <w:rsid w:val="000123CD"/>
    <w:rsid w:val="0001378B"/>
    <w:rsid w:val="00014682"/>
    <w:rsid w:val="00014CB6"/>
    <w:rsid w:val="00015136"/>
    <w:rsid w:val="00015AB1"/>
    <w:rsid w:val="00020E49"/>
    <w:rsid w:val="00021EDA"/>
    <w:rsid w:val="0002350D"/>
    <w:rsid w:val="0002373F"/>
    <w:rsid w:val="0002663D"/>
    <w:rsid w:val="0002697D"/>
    <w:rsid w:val="00027017"/>
    <w:rsid w:val="00027094"/>
    <w:rsid w:val="00031884"/>
    <w:rsid w:val="00031C0D"/>
    <w:rsid w:val="00032424"/>
    <w:rsid w:val="0003274E"/>
    <w:rsid w:val="0003377C"/>
    <w:rsid w:val="00033EAD"/>
    <w:rsid w:val="00034E7E"/>
    <w:rsid w:val="0004426A"/>
    <w:rsid w:val="0004455C"/>
    <w:rsid w:val="00044624"/>
    <w:rsid w:val="00044E79"/>
    <w:rsid w:val="00046DDD"/>
    <w:rsid w:val="000502E3"/>
    <w:rsid w:val="0005037C"/>
    <w:rsid w:val="00051E21"/>
    <w:rsid w:val="000527BB"/>
    <w:rsid w:val="00053FF8"/>
    <w:rsid w:val="00055A2F"/>
    <w:rsid w:val="000572EB"/>
    <w:rsid w:val="00060A16"/>
    <w:rsid w:val="00060FBD"/>
    <w:rsid w:val="00061433"/>
    <w:rsid w:val="00061AF0"/>
    <w:rsid w:val="00064411"/>
    <w:rsid w:val="00064700"/>
    <w:rsid w:val="00064BCA"/>
    <w:rsid w:val="000658A8"/>
    <w:rsid w:val="00066DFD"/>
    <w:rsid w:val="000719AA"/>
    <w:rsid w:val="00071D54"/>
    <w:rsid w:val="00072A53"/>
    <w:rsid w:val="00074295"/>
    <w:rsid w:val="000748FB"/>
    <w:rsid w:val="00074953"/>
    <w:rsid w:val="00076558"/>
    <w:rsid w:val="00080983"/>
    <w:rsid w:val="00082028"/>
    <w:rsid w:val="00085118"/>
    <w:rsid w:val="000863A8"/>
    <w:rsid w:val="00087C6E"/>
    <w:rsid w:val="0009084C"/>
    <w:rsid w:val="00093149"/>
    <w:rsid w:val="000938E4"/>
    <w:rsid w:val="00096827"/>
    <w:rsid w:val="00096ACA"/>
    <w:rsid w:val="000A07B7"/>
    <w:rsid w:val="000A14DB"/>
    <w:rsid w:val="000A2872"/>
    <w:rsid w:val="000A5CCF"/>
    <w:rsid w:val="000A672B"/>
    <w:rsid w:val="000A698B"/>
    <w:rsid w:val="000A7279"/>
    <w:rsid w:val="000A7B33"/>
    <w:rsid w:val="000B170F"/>
    <w:rsid w:val="000B2863"/>
    <w:rsid w:val="000B32EA"/>
    <w:rsid w:val="000B3618"/>
    <w:rsid w:val="000B52CC"/>
    <w:rsid w:val="000B597B"/>
    <w:rsid w:val="000B5E49"/>
    <w:rsid w:val="000B6231"/>
    <w:rsid w:val="000B79F6"/>
    <w:rsid w:val="000C02DB"/>
    <w:rsid w:val="000C040B"/>
    <w:rsid w:val="000C1D2F"/>
    <w:rsid w:val="000C344E"/>
    <w:rsid w:val="000C6632"/>
    <w:rsid w:val="000C6DC5"/>
    <w:rsid w:val="000D04AF"/>
    <w:rsid w:val="000D07B3"/>
    <w:rsid w:val="000D0DE2"/>
    <w:rsid w:val="000D1BBA"/>
    <w:rsid w:val="000D28DB"/>
    <w:rsid w:val="000D3D07"/>
    <w:rsid w:val="000D7948"/>
    <w:rsid w:val="000E020E"/>
    <w:rsid w:val="000E0C23"/>
    <w:rsid w:val="000E37C6"/>
    <w:rsid w:val="000E3F99"/>
    <w:rsid w:val="000E4197"/>
    <w:rsid w:val="000E4949"/>
    <w:rsid w:val="000E52FD"/>
    <w:rsid w:val="000E53A3"/>
    <w:rsid w:val="000E5484"/>
    <w:rsid w:val="000E5A00"/>
    <w:rsid w:val="000E6DF6"/>
    <w:rsid w:val="000E7CD2"/>
    <w:rsid w:val="000F0034"/>
    <w:rsid w:val="000F1109"/>
    <w:rsid w:val="000F21A2"/>
    <w:rsid w:val="000F27AE"/>
    <w:rsid w:val="000F3004"/>
    <w:rsid w:val="000F3C21"/>
    <w:rsid w:val="000F43F5"/>
    <w:rsid w:val="000F4A46"/>
    <w:rsid w:val="000F57A7"/>
    <w:rsid w:val="000F69AD"/>
    <w:rsid w:val="000F7891"/>
    <w:rsid w:val="00100349"/>
    <w:rsid w:val="0010312F"/>
    <w:rsid w:val="00103E7E"/>
    <w:rsid w:val="00106098"/>
    <w:rsid w:val="00106BC7"/>
    <w:rsid w:val="00106C2E"/>
    <w:rsid w:val="00107838"/>
    <w:rsid w:val="0010792A"/>
    <w:rsid w:val="0011026B"/>
    <w:rsid w:val="00110831"/>
    <w:rsid w:val="00111288"/>
    <w:rsid w:val="00116590"/>
    <w:rsid w:val="001173C6"/>
    <w:rsid w:val="00117B74"/>
    <w:rsid w:val="001205D5"/>
    <w:rsid w:val="001208F9"/>
    <w:rsid w:val="00121C95"/>
    <w:rsid w:val="00122DA9"/>
    <w:rsid w:val="00127B7E"/>
    <w:rsid w:val="001300EE"/>
    <w:rsid w:val="00130316"/>
    <w:rsid w:val="00130B39"/>
    <w:rsid w:val="00131D50"/>
    <w:rsid w:val="00132B9A"/>
    <w:rsid w:val="0013793E"/>
    <w:rsid w:val="00137C0E"/>
    <w:rsid w:val="00140C34"/>
    <w:rsid w:val="00140FCE"/>
    <w:rsid w:val="001417C6"/>
    <w:rsid w:val="001427B0"/>
    <w:rsid w:val="00142BAF"/>
    <w:rsid w:val="001432FC"/>
    <w:rsid w:val="0014463E"/>
    <w:rsid w:val="00146079"/>
    <w:rsid w:val="00146214"/>
    <w:rsid w:val="00147A7B"/>
    <w:rsid w:val="0015132B"/>
    <w:rsid w:val="00151352"/>
    <w:rsid w:val="001520B0"/>
    <w:rsid w:val="001522D2"/>
    <w:rsid w:val="001537E3"/>
    <w:rsid w:val="00155753"/>
    <w:rsid w:val="0016090D"/>
    <w:rsid w:val="00160CF9"/>
    <w:rsid w:val="00160D4B"/>
    <w:rsid w:val="00161147"/>
    <w:rsid w:val="00162590"/>
    <w:rsid w:val="001627D7"/>
    <w:rsid w:val="0016520A"/>
    <w:rsid w:val="00166458"/>
    <w:rsid w:val="00166AE7"/>
    <w:rsid w:val="00166FC2"/>
    <w:rsid w:val="00167380"/>
    <w:rsid w:val="001678BF"/>
    <w:rsid w:val="001712D1"/>
    <w:rsid w:val="00171C09"/>
    <w:rsid w:val="00171DA7"/>
    <w:rsid w:val="00172131"/>
    <w:rsid w:val="00174498"/>
    <w:rsid w:val="00180D7E"/>
    <w:rsid w:val="0018465B"/>
    <w:rsid w:val="001846F6"/>
    <w:rsid w:val="00184E65"/>
    <w:rsid w:val="001864E1"/>
    <w:rsid w:val="00186847"/>
    <w:rsid w:val="00186D63"/>
    <w:rsid w:val="00187922"/>
    <w:rsid w:val="00187B1C"/>
    <w:rsid w:val="00190884"/>
    <w:rsid w:val="00190F42"/>
    <w:rsid w:val="001924FE"/>
    <w:rsid w:val="00193E24"/>
    <w:rsid w:val="00194EED"/>
    <w:rsid w:val="00195E6E"/>
    <w:rsid w:val="001A0517"/>
    <w:rsid w:val="001A2D3C"/>
    <w:rsid w:val="001A4E27"/>
    <w:rsid w:val="001A5B3C"/>
    <w:rsid w:val="001A6C1E"/>
    <w:rsid w:val="001A7840"/>
    <w:rsid w:val="001B0D8F"/>
    <w:rsid w:val="001B1B4F"/>
    <w:rsid w:val="001B2394"/>
    <w:rsid w:val="001B2C9D"/>
    <w:rsid w:val="001B49BA"/>
    <w:rsid w:val="001B4FEB"/>
    <w:rsid w:val="001B5861"/>
    <w:rsid w:val="001B6714"/>
    <w:rsid w:val="001B6940"/>
    <w:rsid w:val="001C1779"/>
    <w:rsid w:val="001C264D"/>
    <w:rsid w:val="001C2E96"/>
    <w:rsid w:val="001C3B85"/>
    <w:rsid w:val="001D1D09"/>
    <w:rsid w:val="001D23A3"/>
    <w:rsid w:val="001D2767"/>
    <w:rsid w:val="001D2EC1"/>
    <w:rsid w:val="001D4E3C"/>
    <w:rsid w:val="001D6570"/>
    <w:rsid w:val="001D7071"/>
    <w:rsid w:val="001D7214"/>
    <w:rsid w:val="001D76E8"/>
    <w:rsid w:val="001D79F5"/>
    <w:rsid w:val="001D7DE5"/>
    <w:rsid w:val="001E32C4"/>
    <w:rsid w:val="001E5467"/>
    <w:rsid w:val="001E7205"/>
    <w:rsid w:val="001E7A7B"/>
    <w:rsid w:val="001F02D2"/>
    <w:rsid w:val="001F1473"/>
    <w:rsid w:val="001F2D6F"/>
    <w:rsid w:val="001F3F53"/>
    <w:rsid w:val="00202205"/>
    <w:rsid w:val="002024A9"/>
    <w:rsid w:val="00202D62"/>
    <w:rsid w:val="00206E02"/>
    <w:rsid w:val="0020706D"/>
    <w:rsid w:val="0020743B"/>
    <w:rsid w:val="00213806"/>
    <w:rsid w:val="00213C5C"/>
    <w:rsid w:val="00214ED6"/>
    <w:rsid w:val="00222899"/>
    <w:rsid w:val="00222E4B"/>
    <w:rsid w:val="002233B2"/>
    <w:rsid w:val="00224885"/>
    <w:rsid w:val="002249D6"/>
    <w:rsid w:val="002255FE"/>
    <w:rsid w:val="002306A5"/>
    <w:rsid w:val="002313F6"/>
    <w:rsid w:val="00232673"/>
    <w:rsid w:val="00232C36"/>
    <w:rsid w:val="0023319E"/>
    <w:rsid w:val="00236208"/>
    <w:rsid w:val="0023620E"/>
    <w:rsid w:val="00236292"/>
    <w:rsid w:val="00236962"/>
    <w:rsid w:val="00237F07"/>
    <w:rsid w:val="002404CC"/>
    <w:rsid w:val="00241DAE"/>
    <w:rsid w:val="00242C97"/>
    <w:rsid w:val="002457E1"/>
    <w:rsid w:val="00246D57"/>
    <w:rsid w:val="00247DF9"/>
    <w:rsid w:val="0025093E"/>
    <w:rsid w:val="00251AFA"/>
    <w:rsid w:val="0025281A"/>
    <w:rsid w:val="00256E0E"/>
    <w:rsid w:val="00261264"/>
    <w:rsid w:val="0026158A"/>
    <w:rsid w:val="002615D2"/>
    <w:rsid w:val="00265D16"/>
    <w:rsid w:val="00265D5A"/>
    <w:rsid w:val="002664DB"/>
    <w:rsid w:val="00272C96"/>
    <w:rsid w:val="002736B7"/>
    <w:rsid w:val="0027444D"/>
    <w:rsid w:val="002749CE"/>
    <w:rsid w:val="00274A00"/>
    <w:rsid w:val="00275063"/>
    <w:rsid w:val="0027534A"/>
    <w:rsid w:val="00277C57"/>
    <w:rsid w:val="0028100A"/>
    <w:rsid w:val="00281B13"/>
    <w:rsid w:val="00281B5C"/>
    <w:rsid w:val="00281EAD"/>
    <w:rsid w:val="00282A23"/>
    <w:rsid w:val="00283B2F"/>
    <w:rsid w:val="002843F1"/>
    <w:rsid w:val="00284CBE"/>
    <w:rsid w:val="00286C62"/>
    <w:rsid w:val="002900CA"/>
    <w:rsid w:val="00290DA0"/>
    <w:rsid w:val="00291720"/>
    <w:rsid w:val="00291F0E"/>
    <w:rsid w:val="00292670"/>
    <w:rsid w:val="00292D0A"/>
    <w:rsid w:val="00293017"/>
    <w:rsid w:val="00293DC0"/>
    <w:rsid w:val="00294384"/>
    <w:rsid w:val="0029447E"/>
    <w:rsid w:val="00295563"/>
    <w:rsid w:val="00295BA1"/>
    <w:rsid w:val="00297EAC"/>
    <w:rsid w:val="002A1611"/>
    <w:rsid w:val="002A18F3"/>
    <w:rsid w:val="002A1BD1"/>
    <w:rsid w:val="002A31AD"/>
    <w:rsid w:val="002A40E6"/>
    <w:rsid w:val="002A78EA"/>
    <w:rsid w:val="002B0E20"/>
    <w:rsid w:val="002B1116"/>
    <w:rsid w:val="002B1888"/>
    <w:rsid w:val="002B1F82"/>
    <w:rsid w:val="002B2038"/>
    <w:rsid w:val="002B352E"/>
    <w:rsid w:val="002B3ADB"/>
    <w:rsid w:val="002B3F38"/>
    <w:rsid w:val="002B49BE"/>
    <w:rsid w:val="002B4D72"/>
    <w:rsid w:val="002B4E43"/>
    <w:rsid w:val="002B534E"/>
    <w:rsid w:val="002B5913"/>
    <w:rsid w:val="002B6D9B"/>
    <w:rsid w:val="002C021F"/>
    <w:rsid w:val="002C1513"/>
    <w:rsid w:val="002C1A59"/>
    <w:rsid w:val="002C4CD2"/>
    <w:rsid w:val="002C529F"/>
    <w:rsid w:val="002C6B75"/>
    <w:rsid w:val="002D0AAF"/>
    <w:rsid w:val="002D0ACF"/>
    <w:rsid w:val="002D0BD0"/>
    <w:rsid w:val="002D1AB6"/>
    <w:rsid w:val="002D218E"/>
    <w:rsid w:val="002D37A8"/>
    <w:rsid w:val="002D3C07"/>
    <w:rsid w:val="002D47AA"/>
    <w:rsid w:val="002D4946"/>
    <w:rsid w:val="002D61CE"/>
    <w:rsid w:val="002D6442"/>
    <w:rsid w:val="002E0D14"/>
    <w:rsid w:val="002E0F6D"/>
    <w:rsid w:val="002E1952"/>
    <w:rsid w:val="002E2646"/>
    <w:rsid w:val="002E326C"/>
    <w:rsid w:val="002E337B"/>
    <w:rsid w:val="002E3E9F"/>
    <w:rsid w:val="002E44CE"/>
    <w:rsid w:val="002E4760"/>
    <w:rsid w:val="002E48F6"/>
    <w:rsid w:val="002E5CC8"/>
    <w:rsid w:val="002E6298"/>
    <w:rsid w:val="002F012B"/>
    <w:rsid w:val="002F3B21"/>
    <w:rsid w:val="002F500C"/>
    <w:rsid w:val="002F6467"/>
    <w:rsid w:val="002F702C"/>
    <w:rsid w:val="00300879"/>
    <w:rsid w:val="00301434"/>
    <w:rsid w:val="00303A3D"/>
    <w:rsid w:val="00303DDA"/>
    <w:rsid w:val="00305707"/>
    <w:rsid w:val="003061DD"/>
    <w:rsid w:val="0030712F"/>
    <w:rsid w:val="00310A45"/>
    <w:rsid w:val="00311FA1"/>
    <w:rsid w:val="0031546E"/>
    <w:rsid w:val="0031764C"/>
    <w:rsid w:val="00317A69"/>
    <w:rsid w:val="00317E7F"/>
    <w:rsid w:val="00320182"/>
    <w:rsid w:val="00322384"/>
    <w:rsid w:val="00322439"/>
    <w:rsid w:val="003239A6"/>
    <w:rsid w:val="00324408"/>
    <w:rsid w:val="003248EE"/>
    <w:rsid w:val="00327F59"/>
    <w:rsid w:val="003308E4"/>
    <w:rsid w:val="003320C0"/>
    <w:rsid w:val="00332885"/>
    <w:rsid w:val="00335174"/>
    <w:rsid w:val="003361E3"/>
    <w:rsid w:val="003369DB"/>
    <w:rsid w:val="003374C8"/>
    <w:rsid w:val="00337DC8"/>
    <w:rsid w:val="003402AF"/>
    <w:rsid w:val="00340C2C"/>
    <w:rsid w:val="0034216D"/>
    <w:rsid w:val="00342450"/>
    <w:rsid w:val="00342858"/>
    <w:rsid w:val="00342B68"/>
    <w:rsid w:val="00342DB5"/>
    <w:rsid w:val="00343B27"/>
    <w:rsid w:val="00344640"/>
    <w:rsid w:val="003454E5"/>
    <w:rsid w:val="00352A32"/>
    <w:rsid w:val="00353316"/>
    <w:rsid w:val="003552DD"/>
    <w:rsid w:val="003567BB"/>
    <w:rsid w:val="00356960"/>
    <w:rsid w:val="003569AC"/>
    <w:rsid w:val="00360FE7"/>
    <w:rsid w:val="0036306A"/>
    <w:rsid w:val="00363717"/>
    <w:rsid w:val="00365E0C"/>
    <w:rsid w:val="00366619"/>
    <w:rsid w:val="0036788D"/>
    <w:rsid w:val="00370E17"/>
    <w:rsid w:val="00371F23"/>
    <w:rsid w:val="00371F67"/>
    <w:rsid w:val="00372221"/>
    <w:rsid w:val="0037244D"/>
    <w:rsid w:val="00372B9B"/>
    <w:rsid w:val="0037318C"/>
    <w:rsid w:val="00377B1E"/>
    <w:rsid w:val="00381A69"/>
    <w:rsid w:val="003844DF"/>
    <w:rsid w:val="00386F1C"/>
    <w:rsid w:val="00387C3A"/>
    <w:rsid w:val="00387F63"/>
    <w:rsid w:val="0039089C"/>
    <w:rsid w:val="00390BF1"/>
    <w:rsid w:val="00391630"/>
    <w:rsid w:val="003938C5"/>
    <w:rsid w:val="00394435"/>
    <w:rsid w:val="00395A50"/>
    <w:rsid w:val="003960DA"/>
    <w:rsid w:val="00396611"/>
    <w:rsid w:val="00397148"/>
    <w:rsid w:val="003A1B91"/>
    <w:rsid w:val="003A2E9F"/>
    <w:rsid w:val="003A3D2C"/>
    <w:rsid w:val="003A420B"/>
    <w:rsid w:val="003A4306"/>
    <w:rsid w:val="003A4919"/>
    <w:rsid w:val="003A4D7C"/>
    <w:rsid w:val="003A58D9"/>
    <w:rsid w:val="003A78DB"/>
    <w:rsid w:val="003B1B59"/>
    <w:rsid w:val="003B2327"/>
    <w:rsid w:val="003B2ABA"/>
    <w:rsid w:val="003B3613"/>
    <w:rsid w:val="003B3663"/>
    <w:rsid w:val="003B485B"/>
    <w:rsid w:val="003B6BE7"/>
    <w:rsid w:val="003B741A"/>
    <w:rsid w:val="003C0462"/>
    <w:rsid w:val="003C0B04"/>
    <w:rsid w:val="003C25CB"/>
    <w:rsid w:val="003C3775"/>
    <w:rsid w:val="003C394D"/>
    <w:rsid w:val="003C3FA7"/>
    <w:rsid w:val="003C55BF"/>
    <w:rsid w:val="003C55EF"/>
    <w:rsid w:val="003C709A"/>
    <w:rsid w:val="003D2F90"/>
    <w:rsid w:val="003D31A0"/>
    <w:rsid w:val="003D75F2"/>
    <w:rsid w:val="003D7C77"/>
    <w:rsid w:val="003E0FC7"/>
    <w:rsid w:val="003E1630"/>
    <w:rsid w:val="003E1FE0"/>
    <w:rsid w:val="003E6AE4"/>
    <w:rsid w:val="003E6B30"/>
    <w:rsid w:val="003E72E8"/>
    <w:rsid w:val="003E7CEC"/>
    <w:rsid w:val="003F0D35"/>
    <w:rsid w:val="003F0F0F"/>
    <w:rsid w:val="003F19AD"/>
    <w:rsid w:val="003F289E"/>
    <w:rsid w:val="003F3946"/>
    <w:rsid w:val="003F4AFA"/>
    <w:rsid w:val="003F5345"/>
    <w:rsid w:val="003F5AD2"/>
    <w:rsid w:val="003F66D9"/>
    <w:rsid w:val="003F7233"/>
    <w:rsid w:val="004006B1"/>
    <w:rsid w:val="00400C42"/>
    <w:rsid w:val="004041FA"/>
    <w:rsid w:val="00404F19"/>
    <w:rsid w:val="0040565F"/>
    <w:rsid w:val="00405D70"/>
    <w:rsid w:val="00410F0C"/>
    <w:rsid w:val="0041204B"/>
    <w:rsid w:val="004141F2"/>
    <w:rsid w:val="00415F7C"/>
    <w:rsid w:val="00417236"/>
    <w:rsid w:val="0042140C"/>
    <w:rsid w:val="00421467"/>
    <w:rsid w:val="004220EC"/>
    <w:rsid w:val="004245B5"/>
    <w:rsid w:val="00424F00"/>
    <w:rsid w:val="0042604D"/>
    <w:rsid w:val="0042766C"/>
    <w:rsid w:val="004306E8"/>
    <w:rsid w:val="0043164D"/>
    <w:rsid w:val="00432D02"/>
    <w:rsid w:val="0043341D"/>
    <w:rsid w:val="0043378C"/>
    <w:rsid w:val="004337A8"/>
    <w:rsid w:val="00433EBA"/>
    <w:rsid w:val="00433FC0"/>
    <w:rsid w:val="00435619"/>
    <w:rsid w:val="00435815"/>
    <w:rsid w:val="00440C25"/>
    <w:rsid w:val="00442314"/>
    <w:rsid w:val="00442B20"/>
    <w:rsid w:val="0044427C"/>
    <w:rsid w:val="0044495E"/>
    <w:rsid w:val="00447393"/>
    <w:rsid w:val="004475D6"/>
    <w:rsid w:val="00447C0B"/>
    <w:rsid w:val="00447E9F"/>
    <w:rsid w:val="004512D3"/>
    <w:rsid w:val="004521AD"/>
    <w:rsid w:val="0045363D"/>
    <w:rsid w:val="00455296"/>
    <w:rsid w:val="00455BC7"/>
    <w:rsid w:val="0045670A"/>
    <w:rsid w:val="004602C7"/>
    <w:rsid w:val="0046059D"/>
    <w:rsid w:val="0046092D"/>
    <w:rsid w:val="00460CE6"/>
    <w:rsid w:val="00461E37"/>
    <w:rsid w:val="0046367A"/>
    <w:rsid w:val="004656FA"/>
    <w:rsid w:val="00465B4B"/>
    <w:rsid w:val="00467FA9"/>
    <w:rsid w:val="00471712"/>
    <w:rsid w:val="00471A53"/>
    <w:rsid w:val="00472176"/>
    <w:rsid w:val="004727D0"/>
    <w:rsid w:val="004730C8"/>
    <w:rsid w:val="0047376F"/>
    <w:rsid w:val="004743F4"/>
    <w:rsid w:val="0047536B"/>
    <w:rsid w:val="004758B4"/>
    <w:rsid w:val="004760C9"/>
    <w:rsid w:val="0047671E"/>
    <w:rsid w:val="00477A6D"/>
    <w:rsid w:val="00480124"/>
    <w:rsid w:val="004808AD"/>
    <w:rsid w:val="00481B21"/>
    <w:rsid w:val="00481BEE"/>
    <w:rsid w:val="00483871"/>
    <w:rsid w:val="00484F6F"/>
    <w:rsid w:val="004858AD"/>
    <w:rsid w:val="004869DF"/>
    <w:rsid w:val="00486F43"/>
    <w:rsid w:val="00487541"/>
    <w:rsid w:val="004878D3"/>
    <w:rsid w:val="00490BAF"/>
    <w:rsid w:val="0049473A"/>
    <w:rsid w:val="00495175"/>
    <w:rsid w:val="004956E1"/>
    <w:rsid w:val="00495BC8"/>
    <w:rsid w:val="0049719C"/>
    <w:rsid w:val="004A026D"/>
    <w:rsid w:val="004A0BEF"/>
    <w:rsid w:val="004A16A1"/>
    <w:rsid w:val="004A4175"/>
    <w:rsid w:val="004A4300"/>
    <w:rsid w:val="004A5B7A"/>
    <w:rsid w:val="004A6F64"/>
    <w:rsid w:val="004B0423"/>
    <w:rsid w:val="004B19E5"/>
    <w:rsid w:val="004B331C"/>
    <w:rsid w:val="004B37A7"/>
    <w:rsid w:val="004B3AAE"/>
    <w:rsid w:val="004B3E3F"/>
    <w:rsid w:val="004B4F1B"/>
    <w:rsid w:val="004B504C"/>
    <w:rsid w:val="004C134C"/>
    <w:rsid w:val="004C479E"/>
    <w:rsid w:val="004C48A0"/>
    <w:rsid w:val="004C5F49"/>
    <w:rsid w:val="004C6787"/>
    <w:rsid w:val="004C6CBE"/>
    <w:rsid w:val="004C792B"/>
    <w:rsid w:val="004D330C"/>
    <w:rsid w:val="004D4CD2"/>
    <w:rsid w:val="004D51FB"/>
    <w:rsid w:val="004D6B2A"/>
    <w:rsid w:val="004D76DF"/>
    <w:rsid w:val="004D7D22"/>
    <w:rsid w:val="004D7F65"/>
    <w:rsid w:val="004E245B"/>
    <w:rsid w:val="004E3321"/>
    <w:rsid w:val="004E3361"/>
    <w:rsid w:val="004E3D04"/>
    <w:rsid w:val="004E52BD"/>
    <w:rsid w:val="004E7911"/>
    <w:rsid w:val="004E7B13"/>
    <w:rsid w:val="004F04E6"/>
    <w:rsid w:val="004F057C"/>
    <w:rsid w:val="004F10A3"/>
    <w:rsid w:val="004F1F44"/>
    <w:rsid w:val="004F25AC"/>
    <w:rsid w:val="004F2D2A"/>
    <w:rsid w:val="004F56E6"/>
    <w:rsid w:val="004F5F09"/>
    <w:rsid w:val="004F772C"/>
    <w:rsid w:val="00500083"/>
    <w:rsid w:val="00500A0A"/>
    <w:rsid w:val="00500E31"/>
    <w:rsid w:val="00503E29"/>
    <w:rsid w:val="0050514E"/>
    <w:rsid w:val="00506EC1"/>
    <w:rsid w:val="00510579"/>
    <w:rsid w:val="00511CA6"/>
    <w:rsid w:val="0051255D"/>
    <w:rsid w:val="005135FA"/>
    <w:rsid w:val="0051369C"/>
    <w:rsid w:val="00513DEF"/>
    <w:rsid w:val="0051653F"/>
    <w:rsid w:val="00517028"/>
    <w:rsid w:val="005176B2"/>
    <w:rsid w:val="005200CC"/>
    <w:rsid w:val="00520105"/>
    <w:rsid w:val="005206CE"/>
    <w:rsid w:val="0052210C"/>
    <w:rsid w:val="00523422"/>
    <w:rsid w:val="00523FB2"/>
    <w:rsid w:val="0052461A"/>
    <w:rsid w:val="005253CF"/>
    <w:rsid w:val="0052551F"/>
    <w:rsid w:val="00525AD0"/>
    <w:rsid w:val="00527182"/>
    <w:rsid w:val="00527807"/>
    <w:rsid w:val="00531A1C"/>
    <w:rsid w:val="00533113"/>
    <w:rsid w:val="00534C3F"/>
    <w:rsid w:val="005400EA"/>
    <w:rsid w:val="005401BD"/>
    <w:rsid w:val="00541832"/>
    <w:rsid w:val="00541BA3"/>
    <w:rsid w:val="005425B2"/>
    <w:rsid w:val="00543814"/>
    <w:rsid w:val="0054387E"/>
    <w:rsid w:val="005446D5"/>
    <w:rsid w:val="00544B1E"/>
    <w:rsid w:val="00545EEE"/>
    <w:rsid w:val="00546F62"/>
    <w:rsid w:val="00546FB5"/>
    <w:rsid w:val="005502F7"/>
    <w:rsid w:val="0055179C"/>
    <w:rsid w:val="00551ACD"/>
    <w:rsid w:val="0055247C"/>
    <w:rsid w:val="005536BD"/>
    <w:rsid w:val="00554571"/>
    <w:rsid w:val="005549B7"/>
    <w:rsid w:val="00555D0E"/>
    <w:rsid w:val="005567D9"/>
    <w:rsid w:val="00557511"/>
    <w:rsid w:val="005576ED"/>
    <w:rsid w:val="00560288"/>
    <w:rsid w:val="00560344"/>
    <w:rsid w:val="005615F5"/>
    <w:rsid w:val="00561F28"/>
    <w:rsid w:val="00562071"/>
    <w:rsid w:val="00563D10"/>
    <w:rsid w:val="00563FAC"/>
    <w:rsid w:val="005646EA"/>
    <w:rsid w:val="0056606F"/>
    <w:rsid w:val="00567102"/>
    <w:rsid w:val="0057219A"/>
    <w:rsid w:val="00575FA7"/>
    <w:rsid w:val="00576450"/>
    <w:rsid w:val="005769F7"/>
    <w:rsid w:val="005774AE"/>
    <w:rsid w:val="005775B5"/>
    <w:rsid w:val="00580127"/>
    <w:rsid w:val="005808EF"/>
    <w:rsid w:val="00584074"/>
    <w:rsid w:val="005856D7"/>
    <w:rsid w:val="005858A8"/>
    <w:rsid w:val="005870CF"/>
    <w:rsid w:val="005901A1"/>
    <w:rsid w:val="00590384"/>
    <w:rsid w:val="005906C3"/>
    <w:rsid w:val="00593060"/>
    <w:rsid w:val="00593AFE"/>
    <w:rsid w:val="00593F22"/>
    <w:rsid w:val="0059463B"/>
    <w:rsid w:val="00595083"/>
    <w:rsid w:val="00597050"/>
    <w:rsid w:val="005979AD"/>
    <w:rsid w:val="005A095B"/>
    <w:rsid w:val="005A1171"/>
    <w:rsid w:val="005A334C"/>
    <w:rsid w:val="005A4336"/>
    <w:rsid w:val="005A4C05"/>
    <w:rsid w:val="005A56CB"/>
    <w:rsid w:val="005A69B7"/>
    <w:rsid w:val="005A71A6"/>
    <w:rsid w:val="005A741E"/>
    <w:rsid w:val="005B0055"/>
    <w:rsid w:val="005B0C55"/>
    <w:rsid w:val="005B223C"/>
    <w:rsid w:val="005B3E49"/>
    <w:rsid w:val="005B70D0"/>
    <w:rsid w:val="005C2402"/>
    <w:rsid w:val="005C37E0"/>
    <w:rsid w:val="005C61CB"/>
    <w:rsid w:val="005C6F94"/>
    <w:rsid w:val="005D031C"/>
    <w:rsid w:val="005D2E1C"/>
    <w:rsid w:val="005D3A19"/>
    <w:rsid w:val="005D4047"/>
    <w:rsid w:val="005D6A92"/>
    <w:rsid w:val="005E102B"/>
    <w:rsid w:val="005E35E2"/>
    <w:rsid w:val="005E39E9"/>
    <w:rsid w:val="005E495E"/>
    <w:rsid w:val="005E5C61"/>
    <w:rsid w:val="005E6835"/>
    <w:rsid w:val="005F134F"/>
    <w:rsid w:val="005F1F66"/>
    <w:rsid w:val="005F2ADB"/>
    <w:rsid w:val="005F3328"/>
    <w:rsid w:val="005F3892"/>
    <w:rsid w:val="005F4023"/>
    <w:rsid w:val="005F7FE0"/>
    <w:rsid w:val="00600E7C"/>
    <w:rsid w:val="006012AD"/>
    <w:rsid w:val="00601603"/>
    <w:rsid w:val="006017E5"/>
    <w:rsid w:val="00602022"/>
    <w:rsid w:val="00602C4C"/>
    <w:rsid w:val="00603FA0"/>
    <w:rsid w:val="006042F5"/>
    <w:rsid w:val="006046B1"/>
    <w:rsid w:val="006076BE"/>
    <w:rsid w:val="00607AA5"/>
    <w:rsid w:val="00607CC1"/>
    <w:rsid w:val="00611E56"/>
    <w:rsid w:val="0061254F"/>
    <w:rsid w:val="0061309B"/>
    <w:rsid w:val="006133B3"/>
    <w:rsid w:val="00614940"/>
    <w:rsid w:val="00614D2F"/>
    <w:rsid w:val="0061756F"/>
    <w:rsid w:val="00621C3A"/>
    <w:rsid w:val="00622EDE"/>
    <w:rsid w:val="00625DF0"/>
    <w:rsid w:val="006270E1"/>
    <w:rsid w:val="00630AC6"/>
    <w:rsid w:val="00631A88"/>
    <w:rsid w:val="006345CA"/>
    <w:rsid w:val="006360B9"/>
    <w:rsid w:val="006373E1"/>
    <w:rsid w:val="006375AA"/>
    <w:rsid w:val="00640116"/>
    <w:rsid w:val="006407DE"/>
    <w:rsid w:val="006408FD"/>
    <w:rsid w:val="00641326"/>
    <w:rsid w:val="00642A71"/>
    <w:rsid w:val="006434AC"/>
    <w:rsid w:val="00643AE3"/>
    <w:rsid w:val="00643B79"/>
    <w:rsid w:val="00644139"/>
    <w:rsid w:val="0064418A"/>
    <w:rsid w:val="0064658F"/>
    <w:rsid w:val="006471D1"/>
    <w:rsid w:val="006503FE"/>
    <w:rsid w:val="00650530"/>
    <w:rsid w:val="00650C35"/>
    <w:rsid w:val="00651A67"/>
    <w:rsid w:val="00652FD0"/>
    <w:rsid w:val="00653E78"/>
    <w:rsid w:val="006545F1"/>
    <w:rsid w:val="00656201"/>
    <w:rsid w:val="00656978"/>
    <w:rsid w:val="006602E0"/>
    <w:rsid w:val="006607C9"/>
    <w:rsid w:val="00663E56"/>
    <w:rsid w:val="00665994"/>
    <w:rsid w:val="00666133"/>
    <w:rsid w:val="00666638"/>
    <w:rsid w:val="00666995"/>
    <w:rsid w:val="00666BBF"/>
    <w:rsid w:val="00666E4E"/>
    <w:rsid w:val="0067150D"/>
    <w:rsid w:val="00672B76"/>
    <w:rsid w:val="00673AE4"/>
    <w:rsid w:val="006746DF"/>
    <w:rsid w:val="0067714C"/>
    <w:rsid w:val="006829AC"/>
    <w:rsid w:val="006830B9"/>
    <w:rsid w:val="0068334C"/>
    <w:rsid w:val="00683C25"/>
    <w:rsid w:val="00684269"/>
    <w:rsid w:val="006847F7"/>
    <w:rsid w:val="00684CCD"/>
    <w:rsid w:val="00687C16"/>
    <w:rsid w:val="006901D9"/>
    <w:rsid w:val="006902D5"/>
    <w:rsid w:val="006908F6"/>
    <w:rsid w:val="00690DAC"/>
    <w:rsid w:val="006917BA"/>
    <w:rsid w:val="0069242E"/>
    <w:rsid w:val="006927FF"/>
    <w:rsid w:val="00692AA7"/>
    <w:rsid w:val="00694879"/>
    <w:rsid w:val="00695FE3"/>
    <w:rsid w:val="00696703"/>
    <w:rsid w:val="00696B5C"/>
    <w:rsid w:val="006973BA"/>
    <w:rsid w:val="006A0396"/>
    <w:rsid w:val="006A0C0D"/>
    <w:rsid w:val="006A123F"/>
    <w:rsid w:val="006A1C92"/>
    <w:rsid w:val="006A25C1"/>
    <w:rsid w:val="006A3773"/>
    <w:rsid w:val="006A5AE7"/>
    <w:rsid w:val="006A5C79"/>
    <w:rsid w:val="006A7496"/>
    <w:rsid w:val="006A7A10"/>
    <w:rsid w:val="006A7A92"/>
    <w:rsid w:val="006B0942"/>
    <w:rsid w:val="006B16A2"/>
    <w:rsid w:val="006B2A9F"/>
    <w:rsid w:val="006B2C9D"/>
    <w:rsid w:val="006B3E9B"/>
    <w:rsid w:val="006B442D"/>
    <w:rsid w:val="006B5953"/>
    <w:rsid w:val="006B7A99"/>
    <w:rsid w:val="006C004F"/>
    <w:rsid w:val="006C03A1"/>
    <w:rsid w:val="006C0434"/>
    <w:rsid w:val="006C04B1"/>
    <w:rsid w:val="006C0D96"/>
    <w:rsid w:val="006C16F9"/>
    <w:rsid w:val="006C1A20"/>
    <w:rsid w:val="006C296F"/>
    <w:rsid w:val="006C2A23"/>
    <w:rsid w:val="006C2B74"/>
    <w:rsid w:val="006C6192"/>
    <w:rsid w:val="006C723E"/>
    <w:rsid w:val="006C7BDF"/>
    <w:rsid w:val="006C7C6F"/>
    <w:rsid w:val="006D02A8"/>
    <w:rsid w:val="006D077C"/>
    <w:rsid w:val="006D0DA3"/>
    <w:rsid w:val="006D354B"/>
    <w:rsid w:val="006D4336"/>
    <w:rsid w:val="006D4B78"/>
    <w:rsid w:val="006D4F11"/>
    <w:rsid w:val="006D5075"/>
    <w:rsid w:val="006D5F7D"/>
    <w:rsid w:val="006E01E9"/>
    <w:rsid w:val="006E097E"/>
    <w:rsid w:val="006E0B03"/>
    <w:rsid w:val="006E346C"/>
    <w:rsid w:val="006E603A"/>
    <w:rsid w:val="006E66DC"/>
    <w:rsid w:val="006F0159"/>
    <w:rsid w:val="006F0542"/>
    <w:rsid w:val="006F12DD"/>
    <w:rsid w:val="006F227A"/>
    <w:rsid w:val="006F4EA4"/>
    <w:rsid w:val="006F5C64"/>
    <w:rsid w:val="00701AA4"/>
    <w:rsid w:val="00702984"/>
    <w:rsid w:val="007031C4"/>
    <w:rsid w:val="00703D5C"/>
    <w:rsid w:val="007059AC"/>
    <w:rsid w:val="007069D2"/>
    <w:rsid w:val="00711AD7"/>
    <w:rsid w:val="0071243D"/>
    <w:rsid w:val="00713329"/>
    <w:rsid w:val="00713A58"/>
    <w:rsid w:val="00714993"/>
    <w:rsid w:val="00715CBC"/>
    <w:rsid w:val="00716512"/>
    <w:rsid w:val="00717705"/>
    <w:rsid w:val="00720170"/>
    <w:rsid w:val="0072055E"/>
    <w:rsid w:val="00721B66"/>
    <w:rsid w:val="00722A1D"/>
    <w:rsid w:val="00727B58"/>
    <w:rsid w:val="00733A1A"/>
    <w:rsid w:val="00733CBF"/>
    <w:rsid w:val="00733E90"/>
    <w:rsid w:val="00734CE7"/>
    <w:rsid w:val="00734F2A"/>
    <w:rsid w:val="00735C83"/>
    <w:rsid w:val="00735F27"/>
    <w:rsid w:val="00736779"/>
    <w:rsid w:val="00737008"/>
    <w:rsid w:val="00737B06"/>
    <w:rsid w:val="00740883"/>
    <w:rsid w:val="00740BCD"/>
    <w:rsid w:val="00740DEB"/>
    <w:rsid w:val="00741CB7"/>
    <w:rsid w:val="00743975"/>
    <w:rsid w:val="007454FC"/>
    <w:rsid w:val="0074584A"/>
    <w:rsid w:val="00745AB6"/>
    <w:rsid w:val="007473BC"/>
    <w:rsid w:val="00750DA0"/>
    <w:rsid w:val="00752FC5"/>
    <w:rsid w:val="00755435"/>
    <w:rsid w:val="00756100"/>
    <w:rsid w:val="007572AB"/>
    <w:rsid w:val="00760EA4"/>
    <w:rsid w:val="00763642"/>
    <w:rsid w:val="0076385B"/>
    <w:rsid w:val="00763E79"/>
    <w:rsid w:val="00764821"/>
    <w:rsid w:val="007649A8"/>
    <w:rsid w:val="00765277"/>
    <w:rsid w:val="007654C3"/>
    <w:rsid w:val="00771B8A"/>
    <w:rsid w:val="00772ED0"/>
    <w:rsid w:val="007738E3"/>
    <w:rsid w:val="00773E3A"/>
    <w:rsid w:val="007742AB"/>
    <w:rsid w:val="0077476C"/>
    <w:rsid w:val="00777195"/>
    <w:rsid w:val="00780EC8"/>
    <w:rsid w:val="0078173E"/>
    <w:rsid w:val="00781B36"/>
    <w:rsid w:val="00781FFC"/>
    <w:rsid w:val="007823F5"/>
    <w:rsid w:val="0078469B"/>
    <w:rsid w:val="00784DC4"/>
    <w:rsid w:val="00785594"/>
    <w:rsid w:val="00787950"/>
    <w:rsid w:val="00792E81"/>
    <w:rsid w:val="00793067"/>
    <w:rsid w:val="00793C49"/>
    <w:rsid w:val="00794170"/>
    <w:rsid w:val="007944B6"/>
    <w:rsid w:val="00795256"/>
    <w:rsid w:val="0079553B"/>
    <w:rsid w:val="00796BF9"/>
    <w:rsid w:val="007974AB"/>
    <w:rsid w:val="00797EC5"/>
    <w:rsid w:val="00797F00"/>
    <w:rsid w:val="007A1448"/>
    <w:rsid w:val="007A2A40"/>
    <w:rsid w:val="007A3F14"/>
    <w:rsid w:val="007A4CF3"/>
    <w:rsid w:val="007A53C9"/>
    <w:rsid w:val="007A674F"/>
    <w:rsid w:val="007A69EC"/>
    <w:rsid w:val="007A7492"/>
    <w:rsid w:val="007A7EFF"/>
    <w:rsid w:val="007B07C5"/>
    <w:rsid w:val="007B128D"/>
    <w:rsid w:val="007B2895"/>
    <w:rsid w:val="007B2EBA"/>
    <w:rsid w:val="007B410D"/>
    <w:rsid w:val="007B47A6"/>
    <w:rsid w:val="007B4EF0"/>
    <w:rsid w:val="007B519D"/>
    <w:rsid w:val="007B5E35"/>
    <w:rsid w:val="007B6AB9"/>
    <w:rsid w:val="007B7511"/>
    <w:rsid w:val="007C0490"/>
    <w:rsid w:val="007C11EA"/>
    <w:rsid w:val="007C1914"/>
    <w:rsid w:val="007C20D1"/>
    <w:rsid w:val="007C2D67"/>
    <w:rsid w:val="007C304F"/>
    <w:rsid w:val="007C4239"/>
    <w:rsid w:val="007C443B"/>
    <w:rsid w:val="007C513F"/>
    <w:rsid w:val="007C555A"/>
    <w:rsid w:val="007C56A3"/>
    <w:rsid w:val="007C627F"/>
    <w:rsid w:val="007C76E6"/>
    <w:rsid w:val="007C7EFE"/>
    <w:rsid w:val="007D1026"/>
    <w:rsid w:val="007D130E"/>
    <w:rsid w:val="007D1650"/>
    <w:rsid w:val="007D237D"/>
    <w:rsid w:val="007D2B26"/>
    <w:rsid w:val="007D3BA2"/>
    <w:rsid w:val="007D7252"/>
    <w:rsid w:val="007E05FC"/>
    <w:rsid w:val="007E0D34"/>
    <w:rsid w:val="007E0E92"/>
    <w:rsid w:val="007E1879"/>
    <w:rsid w:val="007E2FFD"/>
    <w:rsid w:val="007E5389"/>
    <w:rsid w:val="007E5E1E"/>
    <w:rsid w:val="007E7185"/>
    <w:rsid w:val="007E7C08"/>
    <w:rsid w:val="007E7C56"/>
    <w:rsid w:val="007F0005"/>
    <w:rsid w:val="007F0B7E"/>
    <w:rsid w:val="007F78D8"/>
    <w:rsid w:val="007F7E0F"/>
    <w:rsid w:val="00800267"/>
    <w:rsid w:val="0080073F"/>
    <w:rsid w:val="0080181E"/>
    <w:rsid w:val="008018B5"/>
    <w:rsid w:val="00802954"/>
    <w:rsid w:val="00805D63"/>
    <w:rsid w:val="00807654"/>
    <w:rsid w:val="00810937"/>
    <w:rsid w:val="0081125A"/>
    <w:rsid w:val="00811DE1"/>
    <w:rsid w:val="00811E2E"/>
    <w:rsid w:val="008139DC"/>
    <w:rsid w:val="00813EFF"/>
    <w:rsid w:val="00814CF9"/>
    <w:rsid w:val="008155D0"/>
    <w:rsid w:val="008204E6"/>
    <w:rsid w:val="008206B2"/>
    <w:rsid w:val="00820B3B"/>
    <w:rsid w:val="00821DD2"/>
    <w:rsid w:val="008226E4"/>
    <w:rsid w:val="008230B3"/>
    <w:rsid w:val="00826C92"/>
    <w:rsid w:val="00830339"/>
    <w:rsid w:val="008309B6"/>
    <w:rsid w:val="00832889"/>
    <w:rsid w:val="008331A6"/>
    <w:rsid w:val="00833B1F"/>
    <w:rsid w:val="008342A3"/>
    <w:rsid w:val="008349C2"/>
    <w:rsid w:val="00835324"/>
    <w:rsid w:val="00835A75"/>
    <w:rsid w:val="00837365"/>
    <w:rsid w:val="00837F3D"/>
    <w:rsid w:val="00840F71"/>
    <w:rsid w:val="00841D4B"/>
    <w:rsid w:val="00843381"/>
    <w:rsid w:val="00844B52"/>
    <w:rsid w:val="00844D80"/>
    <w:rsid w:val="00844F71"/>
    <w:rsid w:val="00846D77"/>
    <w:rsid w:val="00847048"/>
    <w:rsid w:val="0085137C"/>
    <w:rsid w:val="00852607"/>
    <w:rsid w:val="00853185"/>
    <w:rsid w:val="0085444F"/>
    <w:rsid w:val="00854E7F"/>
    <w:rsid w:val="00855327"/>
    <w:rsid w:val="00856072"/>
    <w:rsid w:val="00856767"/>
    <w:rsid w:val="0085743A"/>
    <w:rsid w:val="00857DAC"/>
    <w:rsid w:val="0086036D"/>
    <w:rsid w:val="00861C9E"/>
    <w:rsid w:val="00861D0A"/>
    <w:rsid w:val="0086224C"/>
    <w:rsid w:val="00863529"/>
    <w:rsid w:val="008635DC"/>
    <w:rsid w:val="00864003"/>
    <w:rsid w:val="0086423F"/>
    <w:rsid w:val="00864492"/>
    <w:rsid w:val="00864A10"/>
    <w:rsid w:val="00865311"/>
    <w:rsid w:val="0086643B"/>
    <w:rsid w:val="00871B5C"/>
    <w:rsid w:val="008723E4"/>
    <w:rsid w:val="0087248F"/>
    <w:rsid w:val="00872AA2"/>
    <w:rsid w:val="00872DA1"/>
    <w:rsid w:val="00872FF1"/>
    <w:rsid w:val="00873285"/>
    <w:rsid w:val="008761BD"/>
    <w:rsid w:val="00876A04"/>
    <w:rsid w:val="00876F53"/>
    <w:rsid w:val="00877128"/>
    <w:rsid w:val="00880086"/>
    <w:rsid w:val="0088120E"/>
    <w:rsid w:val="0088144A"/>
    <w:rsid w:val="008818EB"/>
    <w:rsid w:val="00882A96"/>
    <w:rsid w:val="0088341C"/>
    <w:rsid w:val="00883BF8"/>
    <w:rsid w:val="0088417B"/>
    <w:rsid w:val="00884844"/>
    <w:rsid w:val="00885A8B"/>
    <w:rsid w:val="00885DD1"/>
    <w:rsid w:val="00885DFC"/>
    <w:rsid w:val="008875C5"/>
    <w:rsid w:val="00887A4A"/>
    <w:rsid w:val="00891D9C"/>
    <w:rsid w:val="00893A5E"/>
    <w:rsid w:val="00893C4E"/>
    <w:rsid w:val="00894018"/>
    <w:rsid w:val="008A386C"/>
    <w:rsid w:val="008A5EA2"/>
    <w:rsid w:val="008A76F8"/>
    <w:rsid w:val="008B0108"/>
    <w:rsid w:val="008B086C"/>
    <w:rsid w:val="008B112C"/>
    <w:rsid w:val="008B1D81"/>
    <w:rsid w:val="008B516B"/>
    <w:rsid w:val="008B52B9"/>
    <w:rsid w:val="008B6323"/>
    <w:rsid w:val="008B6ACF"/>
    <w:rsid w:val="008B6D51"/>
    <w:rsid w:val="008C0114"/>
    <w:rsid w:val="008C0D5A"/>
    <w:rsid w:val="008C4FCA"/>
    <w:rsid w:val="008C5A76"/>
    <w:rsid w:val="008C7046"/>
    <w:rsid w:val="008C7B39"/>
    <w:rsid w:val="008D058E"/>
    <w:rsid w:val="008D14DC"/>
    <w:rsid w:val="008D1518"/>
    <w:rsid w:val="008D1978"/>
    <w:rsid w:val="008D1F6B"/>
    <w:rsid w:val="008D20ED"/>
    <w:rsid w:val="008D2CB4"/>
    <w:rsid w:val="008D3113"/>
    <w:rsid w:val="008D3683"/>
    <w:rsid w:val="008E2AB1"/>
    <w:rsid w:val="008E31AA"/>
    <w:rsid w:val="008E3645"/>
    <w:rsid w:val="008E3DA9"/>
    <w:rsid w:val="008E484A"/>
    <w:rsid w:val="008E4A92"/>
    <w:rsid w:val="008E5734"/>
    <w:rsid w:val="008F0FF3"/>
    <w:rsid w:val="008F1646"/>
    <w:rsid w:val="008F1FF6"/>
    <w:rsid w:val="008F3B4F"/>
    <w:rsid w:val="008F3DA0"/>
    <w:rsid w:val="008F44A9"/>
    <w:rsid w:val="008F5492"/>
    <w:rsid w:val="008F5F6B"/>
    <w:rsid w:val="008F678D"/>
    <w:rsid w:val="008F7AED"/>
    <w:rsid w:val="00900C60"/>
    <w:rsid w:val="00901B53"/>
    <w:rsid w:val="00903DD5"/>
    <w:rsid w:val="009045E3"/>
    <w:rsid w:val="00905FC1"/>
    <w:rsid w:val="009065C2"/>
    <w:rsid w:val="0090685F"/>
    <w:rsid w:val="00910316"/>
    <w:rsid w:val="00912E31"/>
    <w:rsid w:val="009134AC"/>
    <w:rsid w:val="00913A4B"/>
    <w:rsid w:val="00915241"/>
    <w:rsid w:val="0091535E"/>
    <w:rsid w:val="00915448"/>
    <w:rsid w:val="0091551D"/>
    <w:rsid w:val="00915842"/>
    <w:rsid w:val="00916AC8"/>
    <w:rsid w:val="009212B5"/>
    <w:rsid w:val="00921F41"/>
    <w:rsid w:val="0092221E"/>
    <w:rsid w:val="0092255F"/>
    <w:rsid w:val="00923DD5"/>
    <w:rsid w:val="00924A4D"/>
    <w:rsid w:val="00924BD9"/>
    <w:rsid w:val="009275D5"/>
    <w:rsid w:val="00927898"/>
    <w:rsid w:val="00932CCF"/>
    <w:rsid w:val="00932E34"/>
    <w:rsid w:val="00932E9A"/>
    <w:rsid w:val="00933AD6"/>
    <w:rsid w:val="009346C0"/>
    <w:rsid w:val="009402CA"/>
    <w:rsid w:val="009417D2"/>
    <w:rsid w:val="0094268D"/>
    <w:rsid w:val="0094326C"/>
    <w:rsid w:val="00944CF9"/>
    <w:rsid w:val="00947D0D"/>
    <w:rsid w:val="00950CBC"/>
    <w:rsid w:val="009513E1"/>
    <w:rsid w:val="009524A1"/>
    <w:rsid w:val="009535AD"/>
    <w:rsid w:val="009540CD"/>
    <w:rsid w:val="00956293"/>
    <w:rsid w:val="00957143"/>
    <w:rsid w:val="00957F96"/>
    <w:rsid w:val="00960ADE"/>
    <w:rsid w:val="00962542"/>
    <w:rsid w:val="00963659"/>
    <w:rsid w:val="00963AEA"/>
    <w:rsid w:val="00964783"/>
    <w:rsid w:val="00965966"/>
    <w:rsid w:val="00966D00"/>
    <w:rsid w:val="009678F8"/>
    <w:rsid w:val="00967A5A"/>
    <w:rsid w:val="00971AB8"/>
    <w:rsid w:val="00973C7E"/>
    <w:rsid w:val="00974CF7"/>
    <w:rsid w:val="00974DBB"/>
    <w:rsid w:val="00976BF6"/>
    <w:rsid w:val="00981AFF"/>
    <w:rsid w:val="00983019"/>
    <w:rsid w:val="009849B2"/>
    <w:rsid w:val="0098588B"/>
    <w:rsid w:val="00986496"/>
    <w:rsid w:val="009903D9"/>
    <w:rsid w:val="00990971"/>
    <w:rsid w:val="00992029"/>
    <w:rsid w:val="009920A8"/>
    <w:rsid w:val="00992856"/>
    <w:rsid w:val="009943DB"/>
    <w:rsid w:val="00994F0B"/>
    <w:rsid w:val="00995413"/>
    <w:rsid w:val="0099592B"/>
    <w:rsid w:val="00996C10"/>
    <w:rsid w:val="009A01AA"/>
    <w:rsid w:val="009A102D"/>
    <w:rsid w:val="009A267B"/>
    <w:rsid w:val="009A4AD9"/>
    <w:rsid w:val="009A5CB1"/>
    <w:rsid w:val="009A67B9"/>
    <w:rsid w:val="009A6D13"/>
    <w:rsid w:val="009B033D"/>
    <w:rsid w:val="009B0555"/>
    <w:rsid w:val="009B12BA"/>
    <w:rsid w:val="009B20DD"/>
    <w:rsid w:val="009B2792"/>
    <w:rsid w:val="009B2800"/>
    <w:rsid w:val="009B324A"/>
    <w:rsid w:val="009B400A"/>
    <w:rsid w:val="009B4C6A"/>
    <w:rsid w:val="009B5868"/>
    <w:rsid w:val="009C209A"/>
    <w:rsid w:val="009C26B4"/>
    <w:rsid w:val="009C2899"/>
    <w:rsid w:val="009C35C3"/>
    <w:rsid w:val="009C4023"/>
    <w:rsid w:val="009C41EF"/>
    <w:rsid w:val="009D0744"/>
    <w:rsid w:val="009D0A71"/>
    <w:rsid w:val="009D16F7"/>
    <w:rsid w:val="009D1A7A"/>
    <w:rsid w:val="009D234C"/>
    <w:rsid w:val="009D2742"/>
    <w:rsid w:val="009D4383"/>
    <w:rsid w:val="009D577E"/>
    <w:rsid w:val="009D606E"/>
    <w:rsid w:val="009D6289"/>
    <w:rsid w:val="009D7F2E"/>
    <w:rsid w:val="009E02B0"/>
    <w:rsid w:val="009E068E"/>
    <w:rsid w:val="009E25B9"/>
    <w:rsid w:val="009E2EA6"/>
    <w:rsid w:val="009E3500"/>
    <w:rsid w:val="009E3C06"/>
    <w:rsid w:val="009E4072"/>
    <w:rsid w:val="009E51D4"/>
    <w:rsid w:val="009F1E67"/>
    <w:rsid w:val="009F2F9F"/>
    <w:rsid w:val="009F33DA"/>
    <w:rsid w:val="009F3A7E"/>
    <w:rsid w:val="009F4ECB"/>
    <w:rsid w:val="009F6540"/>
    <w:rsid w:val="009F7C1F"/>
    <w:rsid w:val="009F7DCB"/>
    <w:rsid w:val="00A0037D"/>
    <w:rsid w:val="00A018A3"/>
    <w:rsid w:val="00A025F0"/>
    <w:rsid w:val="00A02D8C"/>
    <w:rsid w:val="00A04067"/>
    <w:rsid w:val="00A06363"/>
    <w:rsid w:val="00A06F08"/>
    <w:rsid w:val="00A10E03"/>
    <w:rsid w:val="00A11A53"/>
    <w:rsid w:val="00A1434D"/>
    <w:rsid w:val="00A16BF3"/>
    <w:rsid w:val="00A179BC"/>
    <w:rsid w:val="00A17DB7"/>
    <w:rsid w:val="00A20040"/>
    <w:rsid w:val="00A206C0"/>
    <w:rsid w:val="00A22CCF"/>
    <w:rsid w:val="00A22E7D"/>
    <w:rsid w:val="00A238BF"/>
    <w:rsid w:val="00A2519C"/>
    <w:rsid w:val="00A25A1F"/>
    <w:rsid w:val="00A270F1"/>
    <w:rsid w:val="00A27116"/>
    <w:rsid w:val="00A3078A"/>
    <w:rsid w:val="00A32017"/>
    <w:rsid w:val="00A34B81"/>
    <w:rsid w:val="00A35CB0"/>
    <w:rsid w:val="00A3689D"/>
    <w:rsid w:val="00A36C2A"/>
    <w:rsid w:val="00A40F9A"/>
    <w:rsid w:val="00A41DA2"/>
    <w:rsid w:val="00A44597"/>
    <w:rsid w:val="00A445CC"/>
    <w:rsid w:val="00A4693A"/>
    <w:rsid w:val="00A46C67"/>
    <w:rsid w:val="00A47B28"/>
    <w:rsid w:val="00A50FBB"/>
    <w:rsid w:val="00A51A6C"/>
    <w:rsid w:val="00A523E0"/>
    <w:rsid w:val="00A53D01"/>
    <w:rsid w:val="00A57A40"/>
    <w:rsid w:val="00A60A35"/>
    <w:rsid w:val="00A61A25"/>
    <w:rsid w:val="00A62216"/>
    <w:rsid w:val="00A622CA"/>
    <w:rsid w:val="00A63111"/>
    <w:rsid w:val="00A63ADD"/>
    <w:rsid w:val="00A656A5"/>
    <w:rsid w:val="00A661C2"/>
    <w:rsid w:val="00A66BB4"/>
    <w:rsid w:val="00A67584"/>
    <w:rsid w:val="00A678CB"/>
    <w:rsid w:val="00A67C43"/>
    <w:rsid w:val="00A74054"/>
    <w:rsid w:val="00A74AEE"/>
    <w:rsid w:val="00A74D2E"/>
    <w:rsid w:val="00A74D5F"/>
    <w:rsid w:val="00A74F91"/>
    <w:rsid w:val="00A75002"/>
    <w:rsid w:val="00A76EA0"/>
    <w:rsid w:val="00A777A4"/>
    <w:rsid w:val="00A77D09"/>
    <w:rsid w:val="00A77FE8"/>
    <w:rsid w:val="00A81B33"/>
    <w:rsid w:val="00A81CD4"/>
    <w:rsid w:val="00A83327"/>
    <w:rsid w:val="00A85A04"/>
    <w:rsid w:val="00A878CE"/>
    <w:rsid w:val="00A87C28"/>
    <w:rsid w:val="00A900D1"/>
    <w:rsid w:val="00A91011"/>
    <w:rsid w:val="00A921E4"/>
    <w:rsid w:val="00A92D20"/>
    <w:rsid w:val="00A9310E"/>
    <w:rsid w:val="00A93B3F"/>
    <w:rsid w:val="00A93B7F"/>
    <w:rsid w:val="00A96126"/>
    <w:rsid w:val="00A96FDD"/>
    <w:rsid w:val="00AA216B"/>
    <w:rsid w:val="00AA21C4"/>
    <w:rsid w:val="00AA64C6"/>
    <w:rsid w:val="00AA67E0"/>
    <w:rsid w:val="00AA6976"/>
    <w:rsid w:val="00AA6A98"/>
    <w:rsid w:val="00AB0429"/>
    <w:rsid w:val="00AB14A2"/>
    <w:rsid w:val="00AB32CC"/>
    <w:rsid w:val="00AB45BD"/>
    <w:rsid w:val="00AB4823"/>
    <w:rsid w:val="00AB554F"/>
    <w:rsid w:val="00AB62B9"/>
    <w:rsid w:val="00AB66B4"/>
    <w:rsid w:val="00AB68F0"/>
    <w:rsid w:val="00AB6C55"/>
    <w:rsid w:val="00AB6F34"/>
    <w:rsid w:val="00AB7263"/>
    <w:rsid w:val="00AC0FF3"/>
    <w:rsid w:val="00AC1C4C"/>
    <w:rsid w:val="00AC3F9C"/>
    <w:rsid w:val="00AC3FC8"/>
    <w:rsid w:val="00AC50ED"/>
    <w:rsid w:val="00AC56D3"/>
    <w:rsid w:val="00AC64DB"/>
    <w:rsid w:val="00AC6619"/>
    <w:rsid w:val="00AC79D8"/>
    <w:rsid w:val="00AD042E"/>
    <w:rsid w:val="00AD0536"/>
    <w:rsid w:val="00AD1875"/>
    <w:rsid w:val="00AD223C"/>
    <w:rsid w:val="00AD496D"/>
    <w:rsid w:val="00AE3022"/>
    <w:rsid w:val="00AE37C9"/>
    <w:rsid w:val="00AE3B3E"/>
    <w:rsid w:val="00AE4322"/>
    <w:rsid w:val="00AE4E4F"/>
    <w:rsid w:val="00AE5838"/>
    <w:rsid w:val="00AF10B5"/>
    <w:rsid w:val="00AF5405"/>
    <w:rsid w:val="00AF7D4C"/>
    <w:rsid w:val="00B001F8"/>
    <w:rsid w:val="00B017DE"/>
    <w:rsid w:val="00B102FE"/>
    <w:rsid w:val="00B1168D"/>
    <w:rsid w:val="00B13A41"/>
    <w:rsid w:val="00B141BA"/>
    <w:rsid w:val="00B14C35"/>
    <w:rsid w:val="00B14CF1"/>
    <w:rsid w:val="00B14D26"/>
    <w:rsid w:val="00B1503B"/>
    <w:rsid w:val="00B15293"/>
    <w:rsid w:val="00B15BBB"/>
    <w:rsid w:val="00B165E7"/>
    <w:rsid w:val="00B17B29"/>
    <w:rsid w:val="00B20C13"/>
    <w:rsid w:val="00B20EBE"/>
    <w:rsid w:val="00B20FCB"/>
    <w:rsid w:val="00B21349"/>
    <w:rsid w:val="00B217D2"/>
    <w:rsid w:val="00B227CD"/>
    <w:rsid w:val="00B22D93"/>
    <w:rsid w:val="00B23158"/>
    <w:rsid w:val="00B2357D"/>
    <w:rsid w:val="00B246E8"/>
    <w:rsid w:val="00B2552B"/>
    <w:rsid w:val="00B26C9C"/>
    <w:rsid w:val="00B26F84"/>
    <w:rsid w:val="00B273BF"/>
    <w:rsid w:val="00B27E64"/>
    <w:rsid w:val="00B32724"/>
    <w:rsid w:val="00B35192"/>
    <w:rsid w:val="00B35A36"/>
    <w:rsid w:val="00B406E2"/>
    <w:rsid w:val="00B40887"/>
    <w:rsid w:val="00B41E72"/>
    <w:rsid w:val="00B4200E"/>
    <w:rsid w:val="00B42D62"/>
    <w:rsid w:val="00B430B0"/>
    <w:rsid w:val="00B43D56"/>
    <w:rsid w:val="00B443B2"/>
    <w:rsid w:val="00B44420"/>
    <w:rsid w:val="00B445CE"/>
    <w:rsid w:val="00B4579C"/>
    <w:rsid w:val="00B45954"/>
    <w:rsid w:val="00B45B69"/>
    <w:rsid w:val="00B47041"/>
    <w:rsid w:val="00B471B5"/>
    <w:rsid w:val="00B4765F"/>
    <w:rsid w:val="00B477EC"/>
    <w:rsid w:val="00B501F2"/>
    <w:rsid w:val="00B503E8"/>
    <w:rsid w:val="00B50900"/>
    <w:rsid w:val="00B50A70"/>
    <w:rsid w:val="00B50EDA"/>
    <w:rsid w:val="00B53C75"/>
    <w:rsid w:val="00B53E76"/>
    <w:rsid w:val="00B54379"/>
    <w:rsid w:val="00B552E4"/>
    <w:rsid w:val="00B56C2D"/>
    <w:rsid w:val="00B57091"/>
    <w:rsid w:val="00B60568"/>
    <w:rsid w:val="00B60CE3"/>
    <w:rsid w:val="00B626C8"/>
    <w:rsid w:val="00B62F0D"/>
    <w:rsid w:val="00B63080"/>
    <w:rsid w:val="00B63A9C"/>
    <w:rsid w:val="00B643BE"/>
    <w:rsid w:val="00B64447"/>
    <w:rsid w:val="00B645B6"/>
    <w:rsid w:val="00B64AD3"/>
    <w:rsid w:val="00B6663B"/>
    <w:rsid w:val="00B66949"/>
    <w:rsid w:val="00B66C77"/>
    <w:rsid w:val="00B7010A"/>
    <w:rsid w:val="00B707BE"/>
    <w:rsid w:val="00B7106C"/>
    <w:rsid w:val="00B734F4"/>
    <w:rsid w:val="00B73C2D"/>
    <w:rsid w:val="00B751A9"/>
    <w:rsid w:val="00B75373"/>
    <w:rsid w:val="00B77219"/>
    <w:rsid w:val="00B772C9"/>
    <w:rsid w:val="00B80707"/>
    <w:rsid w:val="00B80ECA"/>
    <w:rsid w:val="00B81E9F"/>
    <w:rsid w:val="00B82538"/>
    <w:rsid w:val="00B82E75"/>
    <w:rsid w:val="00B876CC"/>
    <w:rsid w:val="00B87703"/>
    <w:rsid w:val="00B90B0A"/>
    <w:rsid w:val="00B92815"/>
    <w:rsid w:val="00B92A29"/>
    <w:rsid w:val="00B93EEE"/>
    <w:rsid w:val="00BA0BD7"/>
    <w:rsid w:val="00BA215C"/>
    <w:rsid w:val="00BA27C3"/>
    <w:rsid w:val="00BA28DE"/>
    <w:rsid w:val="00BA2BE0"/>
    <w:rsid w:val="00BA3B55"/>
    <w:rsid w:val="00BA4B97"/>
    <w:rsid w:val="00BA51C5"/>
    <w:rsid w:val="00BA5257"/>
    <w:rsid w:val="00BA6A73"/>
    <w:rsid w:val="00BB0D05"/>
    <w:rsid w:val="00BB14C7"/>
    <w:rsid w:val="00BB1632"/>
    <w:rsid w:val="00BB2FBF"/>
    <w:rsid w:val="00BB470F"/>
    <w:rsid w:val="00BB5AF8"/>
    <w:rsid w:val="00BB5FB8"/>
    <w:rsid w:val="00BB60F3"/>
    <w:rsid w:val="00BB65CA"/>
    <w:rsid w:val="00BC073D"/>
    <w:rsid w:val="00BC16BD"/>
    <w:rsid w:val="00BC1A49"/>
    <w:rsid w:val="00BC25FA"/>
    <w:rsid w:val="00BC48F2"/>
    <w:rsid w:val="00BC5870"/>
    <w:rsid w:val="00BC5B93"/>
    <w:rsid w:val="00BC5C4C"/>
    <w:rsid w:val="00BC68CF"/>
    <w:rsid w:val="00BC7178"/>
    <w:rsid w:val="00BC78FD"/>
    <w:rsid w:val="00BC7C2F"/>
    <w:rsid w:val="00BC7E9C"/>
    <w:rsid w:val="00BD0651"/>
    <w:rsid w:val="00BD18E8"/>
    <w:rsid w:val="00BD2865"/>
    <w:rsid w:val="00BD42B7"/>
    <w:rsid w:val="00BD4EAD"/>
    <w:rsid w:val="00BD66DB"/>
    <w:rsid w:val="00BD741A"/>
    <w:rsid w:val="00BE222C"/>
    <w:rsid w:val="00BE460F"/>
    <w:rsid w:val="00BE60D5"/>
    <w:rsid w:val="00BE6493"/>
    <w:rsid w:val="00BE795C"/>
    <w:rsid w:val="00BF0653"/>
    <w:rsid w:val="00BF14A2"/>
    <w:rsid w:val="00BF1B2F"/>
    <w:rsid w:val="00BF1BEA"/>
    <w:rsid w:val="00BF2F96"/>
    <w:rsid w:val="00BF4805"/>
    <w:rsid w:val="00BF588A"/>
    <w:rsid w:val="00BF7517"/>
    <w:rsid w:val="00C0012B"/>
    <w:rsid w:val="00C01244"/>
    <w:rsid w:val="00C023AA"/>
    <w:rsid w:val="00C03446"/>
    <w:rsid w:val="00C03C2C"/>
    <w:rsid w:val="00C05589"/>
    <w:rsid w:val="00C05F3A"/>
    <w:rsid w:val="00C0631D"/>
    <w:rsid w:val="00C074FD"/>
    <w:rsid w:val="00C07527"/>
    <w:rsid w:val="00C11BA8"/>
    <w:rsid w:val="00C128B4"/>
    <w:rsid w:val="00C128C8"/>
    <w:rsid w:val="00C1332D"/>
    <w:rsid w:val="00C13E3A"/>
    <w:rsid w:val="00C14A30"/>
    <w:rsid w:val="00C15505"/>
    <w:rsid w:val="00C16012"/>
    <w:rsid w:val="00C165CE"/>
    <w:rsid w:val="00C1694C"/>
    <w:rsid w:val="00C16DF2"/>
    <w:rsid w:val="00C16F42"/>
    <w:rsid w:val="00C22280"/>
    <w:rsid w:val="00C24751"/>
    <w:rsid w:val="00C2641A"/>
    <w:rsid w:val="00C264BA"/>
    <w:rsid w:val="00C27AE7"/>
    <w:rsid w:val="00C27F64"/>
    <w:rsid w:val="00C30036"/>
    <w:rsid w:val="00C30E2F"/>
    <w:rsid w:val="00C31298"/>
    <w:rsid w:val="00C318ED"/>
    <w:rsid w:val="00C33F40"/>
    <w:rsid w:val="00C34639"/>
    <w:rsid w:val="00C34B3A"/>
    <w:rsid w:val="00C36C50"/>
    <w:rsid w:val="00C36DAB"/>
    <w:rsid w:val="00C370FC"/>
    <w:rsid w:val="00C37A34"/>
    <w:rsid w:val="00C37DA2"/>
    <w:rsid w:val="00C40D5E"/>
    <w:rsid w:val="00C41322"/>
    <w:rsid w:val="00C41A6C"/>
    <w:rsid w:val="00C4207B"/>
    <w:rsid w:val="00C464AF"/>
    <w:rsid w:val="00C4770A"/>
    <w:rsid w:val="00C47C19"/>
    <w:rsid w:val="00C50A69"/>
    <w:rsid w:val="00C53104"/>
    <w:rsid w:val="00C544A9"/>
    <w:rsid w:val="00C5484A"/>
    <w:rsid w:val="00C550AC"/>
    <w:rsid w:val="00C557C5"/>
    <w:rsid w:val="00C56974"/>
    <w:rsid w:val="00C60BEC"/>
    <w:rsid w:val="00C6115B"/>
    <w:rsid w:val="00C614D3"/>
    <w:rsid w:val="00C62089"/>
    <w:rsid w:val="00C64161"/>
    <w:rsid w:val="00C64467"/>
    <w:rsid w:val="00C65139"/>
    <w:rsid w:val="00C65972"/>
    <w:rsid w:val="00C66486"/>
    <w:rsid w:val="00C66BBF"/>
    <w:rsid w:val="00C66C71"/>
    <w:rsid w:val="00C674F3"/>
    <w:rsid w:val="00C702F4"/>
    <w:rsid w:val="00C720B1"/>
    <w:rsid w:val="00C721B7"/>
    <w:rsid w:val="00C73E7A"/>
    <w:rsid w:val="00C74A92"/>
    <w:rsid w:val="00C77C21"/>
    <w:rsid w:val="00C80BC5"/>
    <w:rsid w:val="00C80E14"/>
    <w:rsid w:val="00C813F0"/>
    <w:rsid w:val="00C814A8"/>
    <w:rsid w:val="00C81587"/>
    <w:rsid w:val="00C8175A"/>
    <w:rsid w:val="00C832E9"/>
    <w:rsid w:val="00C83328"/>
    <w:rsid w:val="00C85376"/>
    <w:rsid w:val="00C86157"/>
    <w:rsid w:val="00C86508"/>
    <w:rsid w:val="00C91035"/>
    <w:rsid w:val="00C9197C"/>
    <w:rsid w:val="00C92A8C"/>
    <w:rsid w:val="00C92E1C"/>
    <w:rsid w:val="00C9304E"/>
    <w:rsid w:val="00C93545"/>
    <w:rsid w:val="00C9499D"/>
    <w:rsid w:val="00CA0181"/>
    <w:rsid w:val="00CA05C2"/>
    <w:rsid w:val="00CA4491"/>
    <w:rsid w:val="00CA7225"/>
    <w:rsid w:val="00CA7286"/>
    <w:rsid w:val="00CA7B25"/>
    <w:rsid w:val="00CB03BC"/>
    <w:rsid w:val="00CB0586"/>
    <w:rsid w:val="00CB0652"/>
    <w:rsid w:val="00CB17A5"/>
    <w:rsid w:val="00CB17C4"/>
    <w:rsid w:val="00CB2224"/>
    <w:rsid w:val="00CB418A"/>
    <w:rsid w:val="00CB4959"/>
    <w:rsid w:val="00CB7C57"/>
    <w:rsid w:val="00CB7FD5"/>
    <w:rsid w:val="00CC02E1"/>
    <w:rsid w:val="00CC1532"/>
    <w:rsid w:val="00CC2663"/>
    <w:rsid w:val="00CC4CB3"/>
    <w:rsid w:val="00CC5291"/>
    <w:rsid w:val="00CC544C"/>
    <w:rsid w:val="00CC6AC5"/>
    <w:rsid w:val="00CC7ED8"/>
    <w:rsid w:val="00CD144D"/>
    <w:rsid w:val="00CD3316"/>
    <w:rsid w:val="00CD4320"/>
    <w:rsid w:val="00CD460F"/>
    <w:rsid w:val="00CD4A95"/>
    <w:rsid w:val="00CD4C71"/>
    <w:rsid w:val="00CD61DC"/>
    <w:rsid w:val="00CE21D0"/>
    <w:rsid w:val="00CE3CA2"/>
    <w:rsid w:val="00CE470D"/>
    <w:rsid w:val="00CE49DB"/>
    <w:rsid w:val="00CE5DF4"/>
    <w:rsid w:val="00CE67A1"/>
    <w:rsid w:val="00CE7ACB"/>
    <w:rsid w:val="00CF1121"/>
    <w:rsid w:val="00CF177B"/>
    <w:rsid w:val="00CF2423"/>
    <w:rsid w:val="00CF25DA"/>
    <w:rsid w:val="00CF2821"/>
    <w:rsid w:val="00CF3907"/>
    <w:rsid w:val="00CF7486"/>
    <w:rsid w:val="00D00043"/>
    <w:rsid w:val="00D01FE6"/>
    <w:rsid w:val="00D02AE7"/>
    <w:rsid w:val="00D04D98"/>
    <w:rsid w:val="00D04DE5"/>
    <w:rsid w:val="00D05309"/>
    <w:rsid w:val="00D14794"/>
    <w:rsid w:val="00D15027"/>
    <w:rsid w:val="00D15B88"/>
    <w:rsid w:val="00D16A8E"/>
    <w:rsid w:val="00D2078C"/>
    <w:rsid w:val="00D20D41"/>
    <w:rsid w:val="00D21977"/>
    <w:rsid w:val="00D22529"/>
    <w:rsid w:val="00D22B4E"/>
    <w:rsid w:val="00D22F40"/>
    <w:rsid w:val="00D23DAC"/>
    <w:rsid w:val="00D23E85"/>
    <w:rsid w:val="00D2447A"/>
    <w:rsid w:val="00D25879"/>
    <w:rsid w:val="00D25DD5"/>
    <w:rsid w:val="00D26C32"/>
    <w:rsid w:val="00D276BA"/>
    <w:rsid w:val="00D3084C"/>
    <w:rsid w:val="00D31404"/>
    <w:rsid w:val="00D32379"/>
    <w:rsid w:val="00D333E4"/>
    <w:rsid w:val="00D34487"/>
    <w:rsid w:val="00D348D4"/>
    <w:rsid w:val="00D34DA5"/>
    <w:rsid w:val="00D35F78"/>
    <w:rsid w:val="00D36134"/>
    <w:rsid w:val="00D401EF"/>
    <w:rsid w:val="00D40C88"/>
    <w:rsid w:val="00D41FD0"/>
    <w:rsid w:val="00D435B1"/>
    <w:rsid w:val="00D44C0F"/>
    <w:rsid w:val="00D4628A"/>
    <w:rsid w:val="00D4664A"/>
    <w:rsid w:val="00D51289"/>
    <w:rsid w:val="00D51D13"/>
    <w:rsid w:val="00D52C60"/>
    <w:rsid w:val="00D53279"/>
    <w:rsid w:val="00D54D7A"/>
    <w:rsid w:val="00D54F16"/>
    <w:rsid w:val="00D54FE9"/>
    <w:rsid w:val="00D560DA"/>
    <w:rsid w:val="00D5610B"/>
    <w:rsid w:val="00D5636D"/>
    <w:rsid w:val="00D56AEB"/>
    <w:rsid w:val="00D57210"/>
    <w:rsid w:val="00D6109C"/>
    <w:rsid w:val="00D65750"/>
    <w:rsid w:val="00D701B2"/>
    <w:rsid w:val="00D71E77"/>
    <w:rsid w:val="00D72A83"/>
    <w:rsid w:val="00D73BE2"/>
    <w:rsid w:val="00D73BEC"/>
    <w:rsid w:val="00D741DE"/>
    <w:rsid w:val="00D75E4A"/>
    <w:rsid w:val="00D77450"/>
    <w:rsid w:val="00D77931"/>
    <w:rsid w:val="00D77A16"/>
    <w:rsid w:val="00D812A5"/>
    <w:rsid w:val="00D8249F"/>
    <w:rsid w:val="00D82673"/>
    <w:rsid w:val="00D82CBA"/>
    <w:rsid w:val="00D838AD"/>
    <w:rsid w:val="00D83E4A"/>
    <w:rsid w:val="00D8438F"/>
    <w:rsid w:val="00D85B12"/>
    <w:rsid w:val="00D869FC"/>
    <w:rsid w:val="00D86B86"/>
    <w:rsid w:val="00D91C02"/>
    <w:rsid w:val="00D92C26"/>
    <w:rsid w:val="00D92CC5"/>
    <w:rsid w:val="00D931A7"/>
    <w:rsid w:val="00D93687"/>
    <w:rsid w:val="00D936D5"/>
    <w:rsid w:val="00D93992"/>
    <w:rsid w:val="00D958E8"/>
    <w:rsid w:val="00D977CE"/>
    <w:rsid w:val="00DA11BB"/>
    <w:rsid w:val="00DA1F5A"/>
    <w:rsid w:val="00DA35F0"/>
    <w:rsid w:val="00DA4232"/>
    <w:rsid w:val="00DA5580"/>
    <w:rsid w:val="00DA55D7"/>
    <w:rsid w:val="00DA73AC"/>
    <w:rsid w:val="00DB2994"/>
    <w:rsid w:val="00DB374D"/>
    <w:rsid w:val="00DB3C3F"/>
    <w:rsid w:val="00DB42B5"/>
    <w:rsid w:val="00DB43C4"/>
    <w:rsid w:val="00DB4443"/>
    <w:rsid w:val="00DB497B"/>
    <w:rsid w:val="00DB4CE1"/>
    <w:rsid w:val="00DB4FB2"/>
    <w:rsid w:val="00DB5B99"/>
    <w:rsid w:val="00DB5F3D"/>
    <w:rsid w:val="00DB76D2"/>
    <w:rsid w:val="00DC1D56"/>
    <w:rsid w:val="00DC2492"/>
    <w:rsid w:val="00DC2575"/>
    <w:rsid w:val="00DC2BB9"/>
    <w:rsid w:val="00DC32CC"/>
    <w:rsid w:val="00DC371B"/>
    <w:rsid w:val="00DC663A"/>
    <w:rsid w:val="00DC66DF"/>
    <w:rsid w:val="00DC7E67"/>
    <w:rsid w:val="00DD14EC"/>
    <w:rsid w:val="00DD1A67"/>
    <w:rsid w:val="00DD1EE5"/>
    <w:rsid w:val="00DD28FE"/>
    <w:rsid w:val="00DD2C0C"/>
    <w:rsid w:val="00DD395E"/>
    <w:rsid w:val="00DE0A27"/>
    <w:rsid w:val="00DE1D07"/>
    <w:rsid w:val="00DE4A10"/>
    <w:rsid w:val="00DE5DEC"/>
    <w:rsid w:val="00DE648B"/>
    <w:rsid w:val="00DE72C4"/>
    <w:rsid w:val="00DE7D3F"/>
    <w:rsid w:val="00DF1CA9"/>
    <w:rsid w:val="00DF398A"/>
    <w:rsid w:val="00DF3F4C"/>
    <w:rsid w:val="00DF4492"/>
    <w:rsid w:val="00E00217"/>
    <w:rsid w:val="00E00CA9"/>
    <w:rsid w:val="00E01B4C"/>
    <w:rsid w:val="00E0438B"/>
    <w:rsid w:val="00E04E68"/>
    <w:rsid w:val="00E059BE"/>
    <w:rsid w:val="00E05CD0"/>
    <w:rsid w:val="00E05E9E"/>
    <w:rsid w:val="00E0625E"/>
    <w:rsid w:val="00E06E6E"/>
    <w:rsid w:val="00E07D64"/>
    <w:rsid w:val="00E1032F"/>
    <w:rsid w:val="00E11E22"/>
    <w:rsid w:val="00E13B4F"/>
    <w:rsid w:val="00E14020"/>
    <w:rsid w:val="00E157F5"/>
    <w:rsid w:val="00E1706A"/>
    <w:rsid w:val="00E172E9"/>
    <w:rsid w:val="00E224E3"/>
    <w:rsid w:val="00E23EAA"/>
    <w:rsid w:val="00E24351"/>
    <w:rsid w:val="00E24BD5"/>
    <w:rsid w:val="00E26E51"/>
    <w:rsid w:val="00E3403F"/>
    <w:rsid w:val="00E3453B"/>
    <w:rsid w:val="00E34AE0"/>
    <w:rsid w:val="00E36B8B"/>
    <w:rsid w:val="00E41B32"/>
    <w:rsid w:val="00E41CC2"/>
    <w:rsid w:val="00E42652"/>
    <w:rsid w:val="00E426B5"/>
    <w:rsid w:val="00E4343A"/>
    <w:rsid w:val="00E43997"/>
    <w:rsid w:val="00E4433A"/>
    <w:rsid w:val="00E4436E"/>
    <w:rsid w:val="00E453EC"/>
    <w:rsid w:val="00E46173"/>
    <w:rsid w:val="00E46FDC"/>
    <w:rsid w:val="00E4748E"/>
    <w:rsid w:val="00E50D31"/>
    <w:rsid w:val="00E51CC3"/>
    <w:rsid w:val="00E551A9"/>
    <w:rsid w:val="00E56A56"/>
    <w:rsid w:val="00E57505"/>
    <w:rsid w:val="00E57FD4"/>
    <w:rsid w:val="00E608CB"/>
    <w:rsid w:val="00E61E15"/>
    <w:rsid w:val="00E62B5A"/>
    <w:rsid w:val="00E64313"/>
    <w:rsid w:val="00E646E7"/>
    <w:rsid w:val="00E64847"/>
    <w:rsid w:val="00E64CFB"/>
    <w:rsid w:val="00E666E9"/>
    <w:rsid w:val="00E66BA3"/>
    <w:rsid w:val="00E6705C"/>
    <w:rsid w:val="00E6728E"/>
    <w:rsid w:val="00E711D6"/>
    <w:rsid w:val="00E717FF"/>
    <w:rsid w:val="00E71B0E"/>
    <w:rsid w:val="00E7258C"/>
    <w:rsid w:val="00E72F3B"/>
    <w:rsid w:val="00E7378D"/>
    <w:rsid w:val="00E75B38"/>
    <w:rsid w:val="00E7736A"/>
    <w:rsid w:val="00E77D9E"/>
    <w:rsid w:val="00E81901"/>
    <w:rsid w:val="00E844EF"/>
    <w:rsid w:val="00E84D83"/>
    <w:rsid w:val="00E85A7B"/>
    <w:rsid w:val="00E87F26"/>
    <w:rsid w:val="00E87F9D"/>
    <w:rsid w:val="00E901BD"/>
    <w:rsid w:val="00E90590"/>
    <w:rsid w:val="00E90891"/>
    <w:rsid w:val="00E908DD"/>
    <w:rsid w:val="00E9233A"/>
    <w:rsid w:val="00E93A9B"/>
    <w:rsid w:val="00E93BC1"/>
    <w:rsid w:val="00E93D98"/>
    <w:rsid w:val="00E95C6E"/>
    <w:rsid w:val="00E964D2"/>
    <w:rsid w:val="00E967CF"/>
    <w:rsid w:val="00E9744D"/>
    <w:rsid w:val="00E97815"/>
    <w:rsid w:val="00E97816"/>
    <w:rsid w:val="00E97FD5"/>
    <w:rsid w:val="00EA2871"/>
    <w:rsid w:val="00EA2CC3"/>
    <w:rsid w:val="00EA31AF"/>
    <w:rsid w:val="00EA328B"/>
    <w:rsid w:val="00EA3348"/>
    <w:rsid w:val="00EA4BE7"/>
    <w:rsid w:val="00EA7F46"/>
    <w:rsid w:val="00EB3682"/>
    <w:rsid w:val="00EB418A"/>
    <w:rsid w:val="00EB6460"/>
    <w:rsid w:val="00EB65DE"/>
    <w:rsid w:val="00EB6A09"/>
    <w:rsid w:val="00EB6AA1"/>
    <w:rsid w:val="00EB7954"/>
    <w:rsid w:val="00EC0142"/>
    <w:rsid w:val="00EC1E40"/>
    <w:rsid w:val="00EC2D51"/>
    <w:rsid w:val="00EC30DD"/>
    <w:rsid w:val="00EC3EB6"/>
    <w:rsid w:val="00EC4A18"/>
    <w:rsid w:val="00EC50AA"/>
    <w:rsid w:val="00EC57FA"/>
    <w:rsid w:val="00EC6339"/>
    <w:rsid w:val="00EC64F8"/>
    <w:rsid w:val="00EC6B3D"/>
    <w:rsid w:val="00ED371A"/>
    <w:rsid w:val="00ED469F"/>
    <w:rsid w:val="00ED5A58"/>
    <w:rsid w:val="00ED6241"/>
    <w:rsid w:val="00ED6B89"/>
    <w:rsid w:val="00ED7804"/>
    <w:rsid w:val="00ED7BEE"/>
    <w:rsid w:val="00ED7CFD"/>
    <w:rsid w:val="00EE185F"/>
    <w:rsid w:val="00EE30BB"/>
    <w:rsid w:val="00EE407B"/>
    <w:rsid w:val="00EE45EC"/>
    <w:rsid w:val="00EE5E24"/>
    <w:rsid w:val="00EE7813"/>
    <w:rsid w:val="00EF1ACF"/>
    <w:rsid w:val="00EF6E2C"/>
    <w:rsid w:val="00EF7793"/>
    <w:rsid w:val="00EF7A2C"/>
    <w:rsid w:val="00F000B1"/>
    <w:rsid w:val="00F000C3"/>
    <w:rsid w:val="00F02530"/>
    <w:rsid w:val="00F02C55"/>
    <w:rsid w:val="00F02CCE"/>
    <w:rsid w:val="00F05584"/>
    <w:rsid w:val="00F06324"/>
    <w:rsid w:val="00F10150"/>
    <w:rsid w:val="00F11C11"/>
    <w:rsid w:val="00F12694"/>
    <w:rsid w:val="00F130A8"/>
    <w:rsid w:val="00F1444B"/>
    <w:rsid w:val="00F14674"/>
    <w:rsid w:val="00F1496B"/>
    <w:rsid w:val="00F14CA4"/>
    <w:rsid w:val="00F154F1"/>
    <w:rsid w:val="00F15D6E"/>
    <w:rsid w:val="00F164A8"/>
    <w:rsid w:val="00F20229"/>
    <w:rsid w:val="00F20721"/>
    <w:rsid w:val="00F22591"/>
    <w:rsid w:val="00F22ED5"/>
    <w:rsid w:val="00F230E2"/>
    <w:rsid w:val="00F234C4"/>
    <w:rsid w:val="00F2470A"/>
    <w:rsid w:val="00F25575"/>
    <w:rsid w:val="00F25579"/>
    <w:rsid w:val="00F27109"/>
    <w:rsid w:val="00F27479"/>
    <w:rsid w:val="00F27B55"/>
    <w:rsid w:val="00F30D1F"/>
    <w:rsid w:val="00F3143D"/>
    <w:rsid w:val="00F3167F"/>
    <w:rsid w:val="00F337C0"/>
    <w:rsid w:val="00F34118"/>
    <w:rsid w:val="00F34BA4"/>
    <w:rsid w:val="00F35C92"/>
    <w:rsid w:val="00F363AB"/>
    <w:rsid w:val="00F36ACC"/>
    <w:rsid w:val="00F377DB"/>
    <w:rsid w:val="00F37A2E"/>
    <w:rsid w:val="00F40E67"/>
    <w:rsid w:val="00F43A0F"/>
    <w:rsid w:val="00F43EC1"/>
    <w:rsid w:val="00F44251"/>
    <w:rsid w:val="00F44D4C"/>
    <w:rsid w:val="00F455B9"/>
    <w:rsid w:val="00F45FDD"/>
    <w:rsid w:val="00F4707E"/>
    <w:rsid w:val="00F507E9"/>
    <w:rsid w:val="00F51DC4"/>
    <w:rsid w:val="00F535D7"/>
    <w:rsid w:val="00F53A6C"/>
    <w:rsid w:val="00F558AA"/>
    <w:rsid w:val="00F606AD"/>
    <w:rsid w:val="00F63255"/>
    <w:rsid w:val="00F636EA"/>
    <w:rsid w:val="00F64136"/>
    <w:rsid w:val="00F64DF7"/>
    <w:rsid w:val="00F66781"/>
    <w:rsid w:val="00F66841"/>
    <w:rsid w:val="00F670F3"/>
    <w:rsid w:val="00F7128F"/>
    <w:rsid w:val="00F7299F"/>
    <w:rsid w:val="00F7310F"/>
    <w:rsid w:val="00F733EA"/>
    <w:rsid w:val="00F735C2"/>
    <w:rsid w:val="00F746FF"/>
    <w:rsid w:val="00F77070"/>
    <w:rsid w:val="00F773FF"/>
    <w:rsid w:val="00F77664"/>
    <w:rsid w:val="00F80E8E"/>
    <w:rsid w:val="00F81AE8"/>
    <w:rsid w:val="00F823FB"/>
    <w:rsid w:val="00F83E78"/>
    <w:rsid w:val="00F841F8"/>
    <w:rsid w:val="00F85121"/>
    <w:rsid w:val="00F85D69"/>
    <w:rsid w:val="00F85E42"/>
    <w:rsid w:val="00F866F7"/>
    <w:rsid w:val="00F9102A"/>
    <w:rsid w:val="00F92BBF"/>
    <w:rsid w:val="00F961AE"/>
    <w:rsid w:val="00F965FF"/>
    <w:rsid w:val="00F969A7"/>
    <w:rsid w:val="00F96AA6"/>
    <w:rsid w:val="00F97051"/>
    <w:rsid w:val="00F97675"/>
    <w:rsid w:val="00F97814"/>
    <w:rsid w:val="00FA2BDC"/>
    <w:rsid w:val="00FA3D49"/>
    <w:rsid w:val="00FA6D65"/>
    <w:rsid w:val="00FA7EE6"/>
    <w:rsid w:val="00FB0DE5"/>
    <w:rsid w:val="00FB20B7"/>
    <w:rsid w:val="00FB2618"/>
    <w:rsid w:val="00FB2B54"/>
    <w:rsid w:val="00FB5586"/>
    <w:rsid w:val="00FB567C"/>
    <w:rsid w:val="00FB665F"/>
    <w:rsid w:val="00FB70E5"/>
    <w:rsid w:val="00FB7D07"/>
    <w:rsid w:val="00FC1ABD"/>
    <w:rsid w:val="00FC27EA"/>
    <w:rsid w:val="00FC3437"/>
    <w:rsid w:val="00FC417F"/>
    <w:rsid w:val="00FC560A"/>
    <w:rsid w:val="00FC5F11"/>
    <w:rsid w:val="00FC68F1"/>
    <w:rsid w:val="00FC73F8"/>
    <w:rsid w:val="00FD0192"/>
    <w:rsid w:val="00FD11C9"/>
    <w:rsid w:val="00FD2150"/>
    <w:rsid w:val="00FD32D3"/>
    <w:rsid w:val="00FD34C1"/>
    <w:rsid w:val="00FD363C"/>
    <w:rsid w:val="00FD38BA"/>
    <w:rsid w:val="00FD5495"/>
    <w:rsid w:val="00FD7DD6"/>
    <w:rsid w:val="00FE0DF8"/>
    <w:rsid w:val="00FE2BD1"/>
    <w:rsid w:val="00FE389C"/>
    <w:rsid w:val="00FE49AF"/>
    <w:rsid w:val="00FE5DE4"/>
    <w:rsid w:val="00FE61E5"/>
    <w:rsid w:val="00FE6D47"/>
    <w:rsid w:val="00FE74B6"/>
    <w:rsid w:val="00FF1A3B"/>
    <w:rsid w:val="00FF268B"/>
    <w:rsid w:val="00FF4848"/>
    <w:rsid w:val="00FF509C"/>
    <w:rsid w:val="00FF5174"/>
    <w:rsid w:val="00FF7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1CE8A"/>
  <w15:chartTrackingRefBased/>
  <w15:docId w15:val="{C0C22B2A-3F38-43AC-8E44-79D016B07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6C0"/>
  </w:style>
  <w:style w:type="paragraph" w:styleId="Footer">
    <w:name w:val="footer"/>
    <w:basedOn w:val="Normal"/>
    <w:link w:val="FooterChar"/>
    <w:uiPriority w:val="99"/>
    <w:unhideWhenUsed/>
    <w:rsid w:val="00A20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6C0"/>
  </w:style>
  <w:style w:type="paragraph" w:styleId="ListParagraph">
    <w:name w:val="List Paragraph"/>
    <w:basedOn w:val="Normal"/>
    <w:uiPriority w:val="34"/>
    <w:qFormat/>
    <w:rsid w:val="00734F2A"/>
    <w:pPr>
      <w:ind w:left="720"/>
      <w:contextualSpacing/>
    </w:pPr>
  </w:style>
  <w:style w:type="character" w:styleId="PlaceholderText">
    <w:name w:val="Placeholder Text"/>
    <w:basedOn w:val="DefaultParagraphFont"/>
    <w:uiPriority w:val="99"/>
    <w:semiHidden/>
    <w:rsid w:val="006360B9"/>
    <w:rPr>
      <w:color w:val="808080"/>
    </w:rPr>
  </w:style>
  <w:style w:type="table" w:styleId="TableGrid">
    <w:name w:val="Table Grid"/>
    <w:basedOn w:val="TableNormal"/>
    <w:uiPriority w:val="39"/>
    <w:rsid w:val="00F06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43B2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86B8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B6694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434405">
      <w:bodyDiv w:val="1"/>
      <w:marLeft w:val="0"/>
      <w:marRight w:val="0"/>
      <w:marTop w:val="0"/>
      <w:marBottom w:val="0"/>
      <w:divBdr>
        <w:top w:val="none" w:sz="0" w:space="0" w:color="auto"/>
        <w:left w:val="none" w:sz="0" w:space="0" w:color="auto"/>
        <w:bottom w:val="none" w:sz="0" w:space="0" w:color="auto"/>
        <w:right w:val="none" w:sz="0" w:space="0" w:color="auto"/>
      </w:divBdr>
    </w:div>
    <w:div w:id="1430541300">
      <w:bodyDiv w:val="1"/>
      <w:marLeft w:val="0"/>
      <w:marRight w:val="0"/>
      <w:marTop w:val="0"/>
      <w:marBottom w:val="0"/>
      <w:divBdr>
        <w:top w:val="none" w:sz="0" w:space="0" w:color="auto"/>
        <w:left w:val="none" w:sz="0" w:space="0" w:color="auto"/>
        <w:bottom w:val="none" w:sz="0" w:space="0" w:color="auto"/>
        <w:right w:val="none" w:sz="0" w:space="0" w:color="auto"/>
      </w:divBdr>
    </w:div>
    <w:div w:id="1885865919">
      <w:bodyDiv w:val="1"/>
      <w:marLeft w:val="0"/>
      <w:marRight w:val="0"/>
      <w:marTop w:val="0"/>
      <w:marBottom w:val="0"/>
      <w:divBdr>
        <w:top w:val="none" w:sz="0" w:space="0" w:color="auto"/>
        <w:left w:val="none" w:sz="0" w:space="0" w:color="auto"/>
        <w:bottom w:val="none" w:sz="0" w:space="0" w:color="auto"/>
        <w:right w:val="none" w:sz="0" w:space="0" w:color="auto"/>
      </w:divBdr>
    </w:div>
    <w:div w:id="191570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0435B-9A9F-487D-AE52-B90128BD3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38</Pages>
  <Words>11202</Words>
  <Characters>63855</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roach</dc:creator>
  <cp:keywords/>
  <dc:description/>
  <cp:lastModifiedBy>joey roach</cp:lastModifiedBy>
  <cp:revision>4</cp:revision>
  <dcterms:created xsi:type="dcterms:W3CDTF">2021-05-17T17:08:00Z</dcterms:created>
  <dcterms:modified xsi:type="dcterms:W3CDTF">2021-05-17T17:51:00Z</dcterms:modified>
</cp:coreProperties>
</file>