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ind w:left="0" w:leftChars="0" w:firstLine="0" w:firstLineChars="0"/>
        <w:jc w:val="center"/>
        <w:rPr>
          <w:rFonts w:hint="eastAsia"/>
          <w:b/>
          <w:sz w:val="36"/>
          <w:szCs w:val="36"/>
        </w:rPr>
      </w:pPr>
      <w:r>
        <w:rPr>
          <w:rFonts w:hint="eastAsia" w:ascii="黑体" w:hAnsi="黑体" w:eastAsia="宋体" w:cs="黑体"/>
          <w:b/>
          <w:sz w:val="44"/>
          <w:szCs w:val="44"/>
          <w:lang w:val="en-US" w:eastAsia="zh-CN"/>
        </w:rPr>
        <w:t>公司</w:t>
      </w:r>
      <w:r>
        <w:rPr>
          <w:rFonts w:hint="eastAsia" w:ascii="黑体" w:hAnsi="黑体" w:eastAsia="宋体" w:cs="黑体"/>
          <w:b/>
          <w:sz w:val="44"/>
          <w:szCs w:val="44"/>
        </w:rPr>
        <w:t>合作協議</w:t>
      </w:r>
    </w:p>
    <w:p>
      <w:pPr>
        <w:spacing w:line="360" w:lineRule="auto"/>
        <w:rPr>
          <w:rFonts w:hint="eastAsia" w:ascii="宋体" w:hAnsi="宋体"/>
          <w:szCs w:val="21"/>
        </w:rPr>
      </w:pPr>
    </w:p>
    <w:p>
      <w:pPr>
        <w:spacing w:line="560" w:lineRule="exact"/>
        <w:rPr>
          <w:rFonts w:hint="eastAsia"/>
          <w:sz w:val="24"/>
          <w:szCs w:val="24"/>
        </w:rPr>
      </w:pPr>
      <w:r>
        <w:rPr>
          <w:rFonts w:hint="eastAsia" w:eastAsia="宋体"/>
          <w:sz w:val="24"/>
          <w:szCs w:val="24"/>
        </w:rPr>
        <w:t>甲方：</w:t>
      </w:r>
      <w:r>
        <w:rPr>
          <w:rFonts w:hint="eastAsia" w:eastAsia="宋体"/>
          <w:sz w:val="24"/>
          <w:u w:val="single"/>
        </w:rPr>
        <w:t xml:space="preserve"> </w:t>
      </w:r>
      <w:bookmarkStart w:id="0" w:name="_GoBack"/>
      <w:bookmarkEnd w:id="0"/>
      <w:r>
        <w:rPr>
          <w:rFonts w:hint="eastAsia" w:eastAsia="宋体"/>
          <w:sz w:val="24"/>
          <w:u w:val="single"/>
        </w:rPr>
        <w:t xml:space="preserve">                             </w:t>
      </w:r>
      <w:r>
        <w:rPr>
          <w:rFonts w:hint="eastAsia" w:eastAsia="宋体"/>
          <w:sz w:val="24"/>
          <w:szCs w:val="24"/>
        </w:rPr>
        <w:t xml:space="preserve">   法定代表人：</w:t>
      </w:r>
      <w:r>
        <w:rPr>
          <w:rFonts w:hint="eastAsia" w:eastAsia="宋体"/>
          <w:sz w:val="24"/>
          <w:u w:val="single"/>
        </w:rPr>
        <w:t xml:space="preserve">            </w:t>
      </w:r>
      <w:r>
        <w:rPr>
          <w:rFonts w:hint="eastAsia" w:eastAsia="宋体"/>
          <w:sz w:val="24"/>
          <w:szCs w:val="24"/>
        </w:rPr>
        <w:t xml:space="preserve">  </w:t>
      </w:r>
    </w:p>
    <w:p>
      <w:pPr>
        <w:spacing w:line="560" w:lineRule="exact"/>
        <w:rPr>
          <w:rFonts w:hint="eastAsia"/>
          <w:sz w:val="24"/>
          <w:szCs w:val="24"/>
        </w:rPr>
      </w:pPr>
      <w:r>
        <w:rPr>
          <w:rFonts w:hint="eastAsia" w:eastAsia="宋体"/>
          <w:sz w:val="24"/>
          <w:szCs w:val="24"/>
        </w:rPr>
        <w:t>乙方：</w:t>
      </w:r>
      <w:r>
        <w:rPr>
          <w:rFonts w:hint="eastAsia" w:eastAsia="宋体"/>
          <w:sz w:val="24"/>
          <w:u w:val="single"/>
        </w:rPr>
        <w:t xml:space="preserve">                              </w:t>
      </w:r>
      <w:r>
        <w:rPr>
          <w:rFonts w:hint="eastAsia" w:eastAsia="宋体"/>
          <w:sz w:val="24"/>
          <w:szCs w:val="24"/>
        </w:rPr>
        <w:t xml:space="preserve">   法定代表人：</w:t>
      </w:r>
      <w:r>
        <w:rPr>
          <w:rFonts w:hint="eastAsia" w:eastAsia="宋体"/>
          <w:sz w:val="24"/>
          <w:u w:val="single"/>
        </w:rPr>
        <w:t xml:space="preserve">            </w:t>
      </w:r>
      <w:r>
        <w:rPr>
          <w:rFonts w:hint="eastAsia" w:eastAsia="宋体"/>
          <w:sz w:val="24"/>
          <w:szCs w:val="24"/>
        </w:rPr>
        <w:t xml:space="preserve">  </w:t>
      </w:r>
    </w:p>
    <w:p>
      <w:pPr>
        <w:spacing w:line="360" w:lineRule="auto"/>
        <w:rPr>
          <w:rFonts w:hint="eastAsia" w:ascii="宋体" w:hAnsi="宋体"/>
          <w:szCs w:val="21"/>
        </w:rPr>
      </w:pPr>
    </w:p>
    <w:p>
      <w:pPr>
        <w:rPr>
          <w:rFonts w:hint="eastAsia"/>
          <w:szCs w:val="21"/>
        </w:rPr>
      </w:pPr>
      <w:r>
        <w:rPr>
          <w:rFonts w:hint="eastAsia" w:eastAsia="宋体"/>
        </w:rPr>
        <w:t>甲乙雙方基於良好的信任，處於雙方長遠發展戰略上的考慮，甲乙雙方決定強強聯合，共同攜手，就</w:t>
      </w:r>
      <w:r>
        <w:rPr>
          <w:rFonts w:hint="eastAsia" w:eastAsia="宋体"/>
          <w:sz w:val="24"/>
          <w:u w:val="single"/>
        </w:rPr>
        <w:t xml:space="preserve">              </w:t>
      </w:r>
      <w:r>
        <w:rPr>
          <w:rFonts w:hint="eastAsia" w:eastAsia="宋体"/>
        </w:rPr>
        <w:t>等領域開展合作。雙方均以優秀的企業理念與專業性，本著“互惠、互利、穩定、恒久、高效、優質”</w:t>
      </w:r>
      <w:r>
        <w:rPr>
          <w:rFonts w:eastAsia="宋体"/>
        </w:rPr>
        <w:t>的</w:t>
      </w:r>
      <w:r>
        <w:rPr>
          <w:rFonts w:hint="eastAsia" w:eastAsia="宋体"/>
        </w:rPr>
        <w:t>合作</w:t>
      </w:r>
      <w:r>
        <w:rPr>
          <w:rFonts w:eastAsia="宋体"/>
        </w:rPr>
        <w:t>精神，</w:t>
      </w:r>
      <w:r>
        <w:rPr>
          <w:rFonts w:hint="eastAsia" w:eastAsia="宋体"/>
        </w:rPr>
        <w:t>結成深度的戰略合作夥伴關係。現</w:t>
      </w:r>
      <w:r>
        <w:rPr>
          <w:rFonts w:eastAsia="宋体"/>
        </w:rPr>
        <w:t>經雙方友好協商，達成以下共識</w:t>
      </w:r>
      <w:r>
        <w:rPr>
          <w:rFonts w:hint="eastAsia" w:eastAsia="宋体"/>
        </w:rPr>
        <w:t>：</w:t>
      </w:r>
    </w:p>
    <w:p>
      <w:pPr>
        <w:rPr>
          <w:rFonts w:hint="eastAsia"/>
          <w:sz w:val="21"/>
          <w:szCs w:val="21"/>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合作綱領</w:t>
      </w: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eastAsia="宋体"/>
        </w:rPr>
        <w:t>合作宗旨</w:t>
      </w:r>
    </w:p>
    <w:p>
      <w:pPr>
        <w:rPr>
          <w:rFonts w:hint="eastAsia"/>
        </w:rPr>
      </w:pPr>
      <w:r>
        <w:rPr>
          <w:rFonts w:hint="eastAsia" w:eastAsia="宋体"/>
        </w:rPr>
        <w:t>甲方與乙方的合作宗旨是通過雙方的緊密合作，打造雙贏、可持續發展的戰略合作夥伴關係。</w:t>
      </w:r>
    </w:p>
    <w:p>
      <w:pPr>
        <w:numPr>
          <w:ilvl w:val="0"/>
          <w:numId w:val="0"/>
        </w:numPr>
        <w:ind w:leftChars="0"/>
        <w:rPr>
          <w:rFonts w:hint="eastAsia" w:ascii="宋体" w:hAnsi="宋体"/>
          <w:szCs w:val="21"/>
        </w:rPr>
      </w:pP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eastAsia="宋体"/>
        </w:rPr>
        <w:t>合作目標</w:t>
      </w:r>
    </w:p>
    <w:p>
      <w:pPr>
        <w:rPr>
          <w:rFonts w:hint="eastAsia" w:ascii="宋体" w:hAnsi="宋体"/>
          <w:szCs w:val="21"/>
        </w:rPr>
      </w:pPr>
      <w:r>
        <w:rPr>
          <w:rFonts w:hint="eastAsia" w:eastAsia="宋体"/>
        </w:rPr>
        <w:t>雙方相信，通過本次戰略合作，能夠幫助雙方進一步提升整體運營效率、降低運營成本、改善提升</w:t>
      </w:r>
      <w:r>
        <w:rPr>
          <w:rFonts w:hint="eastAsia" w:eastAsia="宋体"/>
          <w:sz w:val="24"/>
          <w:u w:val="single"/>
        </w:rPr>
        <w:t xml:space="preserve">              </w:t>
      </w:r>
      <w:r>
        <w:rPr>
          <w:rFonts w:hint="eastAsia" w:eastAsia="宋体"/>
        </w:rPr>
        <w:t>相關產品的工藝技術、產品品質及開發序列等，實現雙方未來的市場擴張策略並獲得市場份額，為雙方創造更大的商業價值。</w:t>
      </w:r>
    </w:p>
    <w:p>
      <w:pPr>
        <w:numPr>
          <w:ilvl w:val="0"/>
          <w:numId w:val="0"/>
        </w:numPr>
        <w:ind w:leftChars="0"/>
        <w:rPr>
          <w:rFonts w:hint="eastAsia" w:ascii="宋体" w:hAnsi="宋体"/>
          <w:szCs w:val="21"/>
        </w:rPr>
      </w:pP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eastAsia="宋体"/>
        </w:rPr>
        <w:t>合作內容</w:t>
      </w:r>
    </w:p>
    <w:p>
      <w:pPr>
        <w:keepNext w:val="0"/>
        <w:keepLines w:val="0"/>
        <w:pageBreakBefore w:val="0"/>
        <w:widowControl w:val="0"/>
        <w:numPr>
          <w:ilvl w:val="2"/>
          <w:numId w:val="1"/>
        </w:numPr>
        <w:kinsoku/>
        <w:wordWrap/>
        <w:overflowPunct/>
        <w:topLinePunct w:val="0"/>
        <w:autoSpaceDE/>
        <w:autoSpaceDN/>
        <w:bidi w:val="0"/>
        <w:adjustRightInd/>
        <w:snapToGrid/>
        <w:ind w:left="709" w:leftChars="0" w:hanging="709" w:firstLineChars="0"/>
        <w:textAlignment w:val="auto"/>
        <w:outlineLvl w:val="2"/>
        <w:rPr>
          <w:rFonts w:hint="eastAsia"/>
        </w:rPr>
      </w:pPr>
      <w:r>
        <w:rPr>
          <w:rFonts w:hint="eastAsia" w:eastAsia="宋体"/>
        </w:rPr>
        <w:t>雙方合作具備排他性。甲方確定乙方為</w:t>
      </w:r>
      <w:r>
        <w:rPr>
          <w:rFonts w:hint="eastAsia" w:eastAsia="宋体"/>
          <w:sz w:val="24"/>
          <w:u w:val="single"/>
        </w:rPr>
        <w:t xml:space="preserve">         </w:t>
      </w:r>
      <w:r>
        <w:rPr>
          <w:rFonts w:hint="eastAsia" w:eastAsia="宋体"/>
        </w:rPr>
        <w:t>範圍內</w:t>
      </w:r>
      <w:r>
        <w:rPr>
          <w:rFonts w:hint="eastAsia" w:eastAsia="宋体"/>
          <w:sz w:val="24"/>
          <w:u w:val="single"/>
        </w:rPr>
        <w:t xml:space="preserve">         </w:t>
      </w:r>
      <w:r>
        <w:rPr>
          <w:rFonts w:hint="eastAsia" w:eastAsia="宋体"/>
        </w:rPr>
        <w:t>產品的唯一生產加工基地，唯一供貨單位；乙方確定甲方為</w:t>
      </w:r>
      <w:r>
        <w:rPr>
          <w:rFonts w:hint="eastAsia" w:eastAsia="宋体"/>
          <w:sz w:val="24"/>
          <w:u w:val="single"/>
        </w:rPr>
        <w:t xml:space="preserve">           </w:t>
      </w:r>
      <w:r>
        <w:rPr>
          <w:rFonts w:hint="eastAsia" w:eastAsia="宋体"/>
        </w:rPr>
        <w:t>範圍內唯一合作夥伴，甲方具唯一銷售權利；</w:t>
      </w:r>
    </w:p>
    <w:p>
      <w:pPr>
        <w:keepNext w:val="0"/>
        <w:keepLines w:val="0"/>
        <w:pageBreakBefore w:val="0"/>
        <w:widowControl w:val="0"/>
        <w:numPr>
          <w:ilvl w:val="2"/>
          <w:numId w:val="1"/>
        </w:numPr>
        <w:kinsoku/>
        <w:wordWrap/>
        <w:overflowPunct/>
        <w:topLinePunct w:val="0"/>
        <w:autoSpaceDE/>
        <w:autoSpaceDN/>
        <w:bidi w:val="0"/>
        <w:adjustRightInd/>
        <w:snapToGrid/>
        <w:ind w:left="709" w:leftChars="0" w:hanging="709" w:firstLineChars="0"/>
        <w:textAlignment w:val="auto"/>
        <w:outlineLvl w:val="2"/>
        <w:rPr>
          <w:rFonts w:hint="eastAsia"/>
        </w:rPr>
      </w:pPr>
      <w:r>
        <w:rPr>
          <w:rFonts w:hint="eastAsia" w:eastAsia="宋体"/>
        </w:rPr>
        <w:t>乙方為甲方提供生產及技術服務；乙方的所有產品均以優惠合作價向甲方提供，由甲方制定市場銷售價格；結算方式如下：（暫略）</w:t>
      </w:r>
    </w:p>
    <w:p>
      <w:pPr>
        <w:keepNext w:val="0"/>
        <w:keepLines w:val="0"/>
        <w:pageBreakBefore w:val="0"/>
        <w:widowControl w:val="0"/>
        <w:numPr>
          <w:ilvl w:val="2"/>
          <w:numId w:val="1"/>
        </w:numPr>
        <w:kinsoku/>
        <w:wordWrap/>
        <w:overflowPunct/>
        <w:topLinePunct w:val="0"/>
        <w:autoSpaceDE/>
        <w:autoSpaceDN/>
        <w:bidi w:val="0"/>
        <w:adjustRightInd/>
        <w:snapToGrid/>
        <w:ind w:left="709" w:leftChars="0" w:hanging="709" w:firstLineChars="0"/>
        <w:textAlignment w:val="auto"/>
        <w:outlineLvl w:val="2"/>
        <w:rPr>
          <w:rFonts w:hint="eastAsia"/>
        </w:rPr>
      </w:pPr>
      <w:r>
        <w:rPr>
          <w:rFonts w:hint="eastAsia" w:eastAsia="宋体"/>
        </w:rPr>
        <w:t>甲方為乙方企業發展、品牌建設等方面提供指導、支援等智力支持。包括：</w:t>
      </w:r>
    </w:p>
    <w:p>
      <w:pPr>
        <w:numPr>
          <w:ilvl w:val="3"/>
          <w:numId w:val="1"/>
        </w:numPr>
        <w:ind w:left="850" w:leftChars="0" w:hanging="850" w:firstLineChars="0"/>
        <w:rPr>
          <w:rFonts w:hint="eastAsia"/>
        </w:rPr>
      </w:pPr>
      <w:r>
        <w:rPr>
          <w:rFonts w:hint="eastAsia" w:eastAsia="宋体"/>
        </w:rPr>
        <w:t>現有產品的推廣宣傳；</w:t>
      </w:r>
    </w:p>
    <w:p>
      <w:pPr>
        <w:numPr>
          <w:ilvl w:val="3"/>
          <w:numId w:val="1"/>
        </w:numPr>
        <w:ind w:left="850" w:leftChars="0" w:hanging="850" w:firstLineChars="0"/>
        <w:rPr>
          <w:rFonts w:hint="eastAsia"/>
        </w:rPr>
      </w:pPr>
      <w:r>
        <w:rPr>
          <w:rFonts w:hint="eastAsia" w:eastAsia="宋体"/>
        </w:rPr>
        <w:t>銷售通路搭建；</w:t>
      </w:r>
    </w:p>
    <w:p>
      <w:pPr>
        <w:numPr>
          <w:ilvl w:val="3"/>
          <w:numId w:val="1"/>
        </w:numPr>
        <w:ind w:left="850" w:leftChars="0" w:hanging="850" w:firstLineChars="0"/>
        <w:rPr>
          <w:rFonts w:hint="eastAsia"/>
        </w:rPr>
      </w:pPr>
      <w:r>
        <w:rPr>
          <w:rFonts w:hint="eastAsia" w:eastAsia="宋体"/>
        </w:rPr>
        <w:t>現有產品的包裝升級及新產品開發設計策劃；</w:t>
      </w:r>
    </w:p>
    <w:p>
      <w:pPr>
        <w:numPr>
          <w:ilvl w:val="3"/>
          <w:numId w:val="1"/>
        </w:numPr>
        <w:ind w:left="850" w:leftChars="0" w:hanging="850" w:firstLineChars="0"/>
        <w:rPr>
          <w:rFonts w:hint="eastAsia"/>
        </w:rPr>
      </w:pPr>
      <w:r>
        <w:rPr>
          <w:rFonts w:hint="eastAsia" w:eastAsia="宋体"/>
        </w:rPr>
        <w:t>梳理提煉產品文化內涵，提升產品附加值；</w:t>
      </w:r>
    </w:p>
    <w:p>
      <w:pPr>
        <w:numPr>
          <w:ilvl w:val="3"/>
          <w:numId w:val="1"/>
        </w:numPr>
        <w:ind w:left="850" w:leftChars="0" w:hanging="850" w:firstLineChars="0"/>
        <w:rPr>
          <w:rFonts w:hint="eastAsia"/>
        </w:rPr>
      </w:pPr>
      <w:r>
        <w:rPr>
          <w:rFonts w:hint="eastAsia" w:eastAsia="宋体"/>
        </w:rPr>
        <w:t>幫助其從生產型企業向文化行銷型企業的轉變；</w:t>
      </w:r>
    </w:p>
    <w:p>
      <w:pPr>
        <w:numPr>
          <w:ilvl w:val="0"/>
          <w:numId w:val="0"/>
        </w:numPr>
        <w:ind w:leftChars="0"/>
        <w:rPr>
          <w:rFonts w:hint="eastAsia"/>
        </w:rPr>
      </w:pP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ascii="宋体" w:hAnsi="宋体" w:eastAsia="宋体"/>
          <w:szCs w:val="21"/>
        </w:rPr>
        <w:t>合作期限</w:t>
      </w:r>
    </w:p>
    <w:p>
      <w:pPr>
        <w:rPr>
          <w:rFonts w:hint="eastAsia"/>
        </w:rPr>
      </w:pPr>
      <w:r>
        <w:rPr>
          <w:rFonts w:hint="eastAsia" w:eastAsia="宋体"/>
        </w:rPr>
        <w:t>雙方合作期限為______年，從_____年_____月_____日到_____年_____月_____日；</w:t>
      </w:r>
    </w:p>
    <w:p>
      <w:pPr>
        <w:numPr>
          <w:ilvl w:val="0"/>
          <w:numId w:val="0"/>
        </w:numPr>
        <w:ind w:leftChars="0"/>
        <w:rPr>
          <w:rFonts w:hint="eastAsia"/>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合作雙方的權利與義務</w:t>
      </w:r>
    </w:p>
    <w:p>
      <w:pPr>
        <w:rPr>
          <w:rFonts w:hint="eastAsia"/>
        </w:rPr>
      </w:pPr>
      <w:r>
        <w:rPr>
          <w:rFonts w:hint="eastAsia" w:eastAsia="宋体"/>
        </w:rPr>
        <w:t>戰略合作雙方需要雙方共同努力才能實現預期效果，故需要對雙方的權利和義務作如下規定：</w:t>
      </w: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eastAsia="宋体"/>
        </w:rPr>
        <w:t>甲乙雙方的權利</w:t>
      </w:r>
    </w:p>
    <w:p>
      <w:pPr>
        <w:numPr>
          <w:ilvl w:val="3"/>
          <w:numId w:val="1"/>
        </w:numPr>
        <w:ind w:left="0" w:leftChars="0" w:hanging="10" w:firstLineChars="0"/>
        <w:rPr>
          <w:rFonts w:hint="eastAsia"/>
        </w:rPr>
      </w:pPr>
      <w:r>
        <w:rPr>
          <w:rFonts w:hint="eastAsia" w:ascii="宋体" w:hAnsi="宋体" w:eastAsia="宋体"/>
          <w:szCs w:val="21"/>
        </w:rPr>
        <w:t>甲乙雙方有要求對方如約提供服務的權利；</w:t>
      </w:r>
    </w:p>
    <w:p>
      <w:pPr>
        <w:numPr>
          <w:ilvl w:val="3"/>
          <w:numId w:val="1"/>
        </w:numPr>
        <w:ind w:left="0" w:leftChars="0" w:hanging="10" w:firstLineChars="0"/>
        <w:rPr>
          <w:rFonts w:hint="eastAsia"/>
        </w:rPr>
      </w:pPr>
      <w:r>
        <w:rPr>
          <w:rFonts w:hint="eastAsia" w:eastAsia="宋体"/>
        </w:rPr>
        <w:t>甲方有向乙方提出質詢的權利；</w:t>
      </w:r>
    </w:p>
    <w:p>
      <w:pPr>
        <w:numPr>
          <w:ilvl w:val="3"/>
          <w:numId w:val="1"/>
        </w:numPr>
        <w:ind w:left="0" w:leftChars="0" w:hanging="10" w:firstLineChars="0"/>
        <w:rPr>
          <w:rFonts w:hint="eastAsia"/>
        </w:rPr>
      </w:pPr>
      <w:r>
        <w:rPr>
          <w:rFonts w:hint="eastAsia" w:eastAsia="宋体"/>
        </w:rPr>
        <w:t>甲方享有本合同約定的經濟權益；</w:t>
      </w:r>
    </w:p>
    <w:p>
      <w:pPr>
        <w:numPr>
          <w:ilvl w:val="3"/>
          <w:numId w:val="1"/>
        </w:numPr>
        <w:ind w:left="0" w:leftChars="0" w:hanging="10" w:firstLineChars="0"/>
        <w:rPr>
          <w:rFonts w:hint="eastAsia"/>
        </w:rPr>
      </w:pPr>
      <w:r>
        <w:rPr>
          <w:rFonts w:hint="eastAsia" w:eastAsia="宋体"/>
        </w:rPr>
        <w:t>甲方有對乙方未履行相關約定及保密責任而帶來損失予以追索經濟賠償的權利；</w:t>
      </w:r>
    </w:p>
    <w:p>
      <w:pPr>
        <w:numPr>
          <w:ilvl w:val="0"/>
          <w:numId w:val="0"/>
        </w:numPr>
        <w:ind w:left="0" w:leftChars="0" w:hanging="10" w:firstLineChars="0"/>
        <w:rPr>
          <w:rFonts w:hint="eastAsia"/>
        </w:rPr>
      </w:pPr>
    </w:p>
    <w:p>
      <w:pPr>
        <w:keepNext w:val="0"/>
        <w:keepLines w:val="0"/>
        <w:pageBreakBefore w:val="0"/>
        <w:widowControl w:val="0"/>
        <w:numPr>
          <w:ilvl w:val="1"/>
          <w:numId w:val="1"/>
        </w:numPr>
        <w:kinsoku/>
        <w:wordWrap/>
        <w:overflowPunct/>
        <w:topLinePunct w:val="0"/>
        <w:autoSpaceDE/>
        <w:autoSpaceDN/>
        <w:bidi w:val="0"/>
        <w:adjustRightInd/>
        <w:snapToGrid/>
        <w:ind w:left="0" w:leftChars="0" w:hanging="11" w:firstLineChars="0"/>
        <w:textAlignment w:val="auto"/>
        <w:outlineLvl w:val="1"/>
        <w:rPr>
          <w:rFonts w:hint="eastAsia"/>
        </w:rPr>
      </w:pPr>
      <w:r>
        <w:rPr>
          <w:rFonts w:hint="eastAsia" w:ascii="宋体" w:hAnsi="宋体" w:eastAsia="宋体"/>
          <w:szCs w:val="21"/>
        </w:rPr>
        <w:t>甲乙雙方的義務</w:t>
      </w:r>
    </w:p>
    <w:p>
      <w:pPr>
        <w:numPr>
          <w:ilvl w:val="3"/>
          <w:numId w:val="1"/>
        </w:numPr>
        <w:ind w:left="0" w:leftChars="0" w:hanging="10" w:firstLineChars="0"/>
        <w:rPr>
          <w:rFonts w:hint="eastAsia" w:ascii="宋体" w:hAnsi="宋体"/>
          <w:szCs w:val="21"/>
        </w:rPr>
      </w:pPr>
      <w:r>
        <w:rPr>
          <w:rFonts w:hint="eastAsia" w:ascii="宋体" w:hAnsi="宋体" w:eastAsia="宋体"/>
          <w:szCs w:val="21"/>
        </w:rPr>
        <w:t>甲乙雙方有按本協議如期履行的義務；</w:t>
      </w:r>
    </w:p>
    <w:p>
      <w:pPr>
        <w:numPr>
          <w:ilvl w:val="3"/>
          <w:numId w:val="1"/>
        </w:numPr>
        <w:ind w:left="0" w:leftChars="0" w:hanging="10" w:firstLineChars="0"/>
        <w:rPr>
          <w:rFonts w:hint="eastAsia" w:ascii="宋体" w:hAnsi="宋体"/>
          <w:szCs w:val="21"/>
        </w:rPr>
      </w:pPr>
      <w:r>
        <w:rPr>
          <w:rFonts w:hint="eastAsia" w:ascii="宋体" w:hAnsi="宋体" w:eastAsia="宋体"/>
          <w:szCs w:val="21"/>
        </w:rPr>
        <w:t>甲方有為乙方提供相關智力支持的義務；</w:t>
      </w:r>
    </w:p>
    <w:p>
      <w:pPr>
        <w:numPr>
          <w:ilvl w:val="3"/>
          <w:numId w:val="1"/>
        </w:numPr>
        <w:ind w:left="0" w:leftChars="0" w:hanging="10" w:firstLineChars="0"/>
        <w:rPr>
          <w:rFonts w:hint="eastAsia" w:ascii="宋体" w:hAnsi="宋体"/>
          <w:szCs w:val="21"/>
        </w:rPr>
      </w:pPr>
      <w:r>
        <w:rPr>
          <w:rFonts w:hint="eastAsia" w:ascii="宋体" w:hAnsi="宋体" w:eastAsia="宋体"/>
          <w:szCs w:val="21"/>
        </w:rPr>
        <w:t>甲方有按計畫推進和完成由甲方承擔的市場推廣、廣告宣傳等任務的義務；</w:t>
      </w:r>
    </w:p>
    <w:p>
      <w:pPr>
        <w:numPr>
          <w:ilvl w:val="3"/>
          <w:numId w:val="1"/>
        </w:numPr>
        <w:ind w:left="0" w:leftChars="0" w:hanging="10" w:firstLineChars="0"/>
        <w:rPr>
          <w:rFonts w:hint="eastAsia" w:ascii="宋体" w:hAnsi="宋体"/>
          <w:szCs w:val="21"/>
        </w:rPr>
      </w:pPr>
      <w:r>
        <w:rPr>
          <w:rFonts w:hint="eastAsia" w:ascii="宋体" w:hAnsi="宋体" w:eastAsia="宋体"/>
          <w:szCs w:val="21"/>
        </w:rPr>
        <w:t>甲方應充分運用其行業影響力和戰略合作夥伴關係，為乙方開拓業務和建構銷售通路提供條件；</w:t>
      </w:r>
    </w:p>
    <w:p>
      <w:pPr>
        <w:numPr>
          <w:ilvl w:val="3"/>
          <w:numId w:val="1"/>
        </w:numPr>
        <w:ind w:left="0" w:leftChars="0" w:hanging="10" w:firstLineChars="0"/>
        <w:rPr>
          <w:rFonts w:hint="eastAsia" w:ascii="宋体" w:hAnsi="宋体"/>
          <w:szCs w:val="21"/>
        </w:rPr>
      </w:pPr>
      <w:r>
        <w:rPr>
          <w:rFonts w:hint="eastAsia" w:ascii="宋体" w:hAnsi="宋体" w:eastAsia="宋体"/>
          <w:szCs w:val="21"/>
        </w:rPr>
        <w:t>乙方有回復甲方質詢的義務；</w:t>
      </w:r>
    </w:p>
    <w:p>
      <w:pPr>
        <w:numPr>
          <w:ilvl w:val="3"/>
          <w:numId w:val="1"/>
        </w:numPr>
        <w:ind w:left="0" w:leftChars="0" w:hanging="10" w:firstLineChars="0"/>
        <w:rPr>
          <w:rFonts w:hint="eastAsia" w:ascii="宋体" w:hAnsi="宋体"/>
          <w:szCs w:val="21"/>
        </w:rPr>
      </w:pPr>
      <w:r>
        <w:rPr>
          <w:rFonts w:hint="eastAsia" w:ascii="宋体" w:hAnsi="宋体" w:eastAsia="宋体"/>
          <w:szCs w:val="21"/>
        </w:rPr>
        <w:t>乙方有對產品品質嚴格管理的義務，不得有損甲方形象和利益；</w:t>
      </w:r>
    </w:p>
    <w:p>
      <w:pPr>
        <w:numPr>
          <w:ilvl w:val="3"/>
          <w:numId w:val="1"/>
        </w:numPr>
        <w:ind w:left="0" w:leftChars="0" w:hanging="10" w:firstLineChars="0"/>
        <w:rPr>
          <w:rFonts w:hint="eastAsia" w:ascii="宋体" w:hAnsi="宋体"/>
          <w:szCs w:val="21"/>
        </w:rPr>
      </w:pPr>
      <w:r>
        <w:rPr>
          <w:rFonts w:hint="eastAsia" w:ascii="宋体" w:hAnsi="宋体" w:eastAsia="宋体"/>
          <w:szCs w:val="21"/>
        </w:rPr>
        <w:t>乙方有對甲方提供的技術秘密和商業秘密承擔保密責任的義務；</w:t>
      </w:r>
    </w:p>
    <w:p>
      <w:pPr>
        <w:numPr>
          <w:ilvl w:val="3"/>
          <w:numId w:val="1"/>
        </w:numPr>
        <w:ind w:left="0" w:leftChars="0" w:hanging="10" w:firstLineChars="0"/>
        <w:rPr>
          <w:rFonts w:hint="eastAsia" w:ascii="宋体" w:hAnsi="宋体"/>
          <w:szCs w:val="21"/>
        </w:rPr>
      </w:pPr>
      <w:r>
        <w:rPr>
          <w:rFonts w:hint="eastAsia" w:ascii="宋体" w:hAnsi="宋体" w:eastAsia="宋体"/>
          <w:szCs w:val="21"/>
        </w:rPr>
        <w:t>對於來自甲方策劃、設計之產品，乙方應給予包括打樣、生產等無條件的積極支持；</w:t>
      </w:r>
    </w:p>
    <w:p>
      <w:pPr>
        <w:numPr>
          <w:ilvl w:val="0"/>
          <w:numId w:val="0"/>
        </w:numPr>
        <w:ind w:leftChars="0"/>
        <w:rPr>
          <w:rFonts w:hint="eastAsia"/>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協議附件</w:t>
      </w:r>
    </w:p>
    <w:p>
      <w:pPr>
        <w:rPr>
          <w:rFonts w:hint="eastAsia"/>
        </w:rPr>
      </w:pPr>
      <w:r>
        <w:rPr>
          <w:rFonts w:hint="eastAsia" w:eastAsia="宋体"/>
        </w:rPr>
        <w:t>本協議項下的合作業務以及相關的商業條款如有不完善的部分，雙方將協商另立書面說明，並作為本協議的附件，是本協議不可分割的一部分。如果沒有特別說明，本協議各項條款同樣適用於協議附件。如果附件中的條款與本協議相抵觸，以附件中的說明為准。雙方針對某一具體合作內容的具體事宜，包括工作流程、合作時間、結算模式等需要共同商討之議題等雙方一致關心的問題，將經由雙方友好協商達成一致後在附件中簽署。</w:t>
      </w:r>
    </w:p>
    <w:p>
      <w:pPr>
        <w:numPr>
          <w:ilvl w:val="0"/>
          <w:numId w:val="0"/>
        </w:numPr>
        <w:ind w:leftChars="0"/>
        <w:rPr>
          <w:rFonts w:hint="eastAsia" w:ascii="宋体" w:hAnsi="宋体"/>
          <w:szCs w:val="21"/>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不可抗力</w:t>
      </w:r>
    </w:p>
    <w:p>
      <w:pPr>
        <w:rPr>
          <w:rFonts w:hint="eastAsia" w:ascii="宋体" w:hAnsi="宋体"/>
          <w:szCs w:val="21"/>
        </w:rPr>
      </w:pPr>
      <w:r>
        <w:rPr>
          <w:rFonts w:hint="eastAsia" w:eastAsia="宋体"/>
        </w:rPr>
        <w:t>如果出現嚴重阻撓任何一方履行協議義務的不可抗力事件，或者此等不可抗力事件使得合同目的無法實現，則該方應當無任何遲延地通知另一方關於其履行合同義務或者履行部分合同義務受影響的程度，並出具有權機關的證明。</w:t>
      </w:r>
    </w:p>
    <w:p>
      <w:pPr>
        <w:numPr>
          <w:ilvl w:val="0"/>
          <w:numId w:val="0"/>
        </w:numPr>
        <w:ind w:leftChars="0"/>
        <w:rPr>
          <w:rFonts w:hint="eastAsia" w:ascii="宋体" w:hAnsi="宋体"/>
          <w:szCs w:val="21"/>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聲明與保證</w:t>
      </w: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ascii="宋体" w:hAnsi="宋体" w:eastAsia="宋体"/>
          <w:szCs w:val="21"/>
        </w:rPr>
        <w:t>乙方向甲方聲明與保證</w:t>
      </w:r>
    </w:p>
    <w:p>
      <w:pPr>
        <w:rPr>
          <w:rFonts w:hint="eastAsia"/>
        </w:rPr>
      </w:pPr>
      <w:r>
        <w:rPr>
          <w:rFonts w:hint="eastAsia" w:eastAsia="宋体"/>
        </w:rPr>
        <w:t>乙方是一家合法成立、且有效存在的公司；</w:t>
      </w:r>
    </w:p>
    <w:p>
      <w:pPr>
        <w:rPr>
          <w:rFonts w:hint="eastAsia"/>
        </w:rPr>
      </w:pPr>
      <w:r>
        <w:rPr>
          <w:rFonts w:hint="eastAsia" w:eastAsia="宋体"/>
        </w:rPr>
        <w:t>乙方具有經營合作範圍符合有關法律法規和國家規定的經營資質。</w:t>
      </w: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eastAsia="宋体"/>
        </w:rPr>
        <w:t>甲方向乙方聲明與保證</w:t>
      </w:r>
    </w:p>
    <w:p>
      <w:pPr>
        <w:rPr>
          <w:rFonts w:hint="eastAsia"/>
        </w:rPr>
      </w:pPr>
      <w:r>
        <w:rPr>
          <w:rFonts w:hint="eastAsia" w:eastAsia="宋体"/>
        </w:rPr>
        <w:t>甲方是一家合法成立且有效存在的公司；</w:t>
      </w:r>
    </w:p>
    <w:p>
      <w:pPr>
        <w:rPr>
          <w:rFonts w:hint="eastAsia"/>
        </w:rPr>
      </w:pPr>
      <w:r>
        <w:rPr>
          <w:rFonts w:hint="eastAsia" w:eastAsia="宋体"/>
        </w:rPr>
        <w:t>甲方具有經營合作範圍符合有關法律法規和國家固定的經營資質。</w:t>
      </w:r>
    </w:p>
    <w:p>
      <w:pPr>
        <w:numPr>
          <w:ilvl w:val="0"/>
          <w:numId w:val="0"/>
        </w:numPr>
        <w:ind w:left="0" w:leftChars="0" w:firstLine="480" w:firstLineChars="200"/>
        <w:rPr>
          <w:rFonts w:hint="eastAsia"/>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保密條款</w:t>
      </w:r>
    </w:p>
    <w:p>
      <w:pPr>
        <w:rPr>
          <w:rFonts w:hint="eastAsia"/>
        </w:rPr>
      </w:pPr>
      <w:r>
        <w:rPr>
          <w:rFonts w:hint="eastAsia" w:eastAsia="宋体"/>
        </w:rPr>
        <w:t>未經對方書面同意，任何一方不得將本協議內容及所有產品、技術、設計等相關事宜，以任何方式透漏給第三方。 本保密條款不因雙方合作的終止而無效。在雙方合作終止後兩年內，本保密條款對雙方仍具有約束力。</w:t>
      </w:r>
    </w:p>
    <w:p>
      <w:pPr>
        <w:rPr>
          <w:rFonts w:hint="eastAsia"/>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其他</w:t>
      </w:r>
    </w:p>
    <w:p>
      <w:pPr>
        <w:rPr>
          <w:rFonts w:hint="eastAsia"/>
        </w:rPr>
      </w:pPr>
      <w:r>
        <w:rPr>
          <w:rFonts w:hint="eastAsia" w:eastAsia="宋体"/>
        </w:rPr>
        <w:t>本合作協議自雙方簽字並蓋章之日起生效，此協議一式貳份，雙方各執壹份，具有同等法律效力。</w:t>
      </w:r>
    </w:p>
    <w:p>
      <w:pPr>
        <w:numPr>
          <w:ilvl w:val="0"/>
          <w:numId w:val="0"/>
        </w:numPr>
        <w:ind w:leftChars="0"/>
        <w:rPr>
          <w:rFonts w:hint="eastAsia" w:ascii="宋体" w:hAnsi="宋体"/>
          <w:szCs w:val="21"/>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爭議解決</w:t>
      </w:r>
    </w:p>
    <w:p>
      <w:pPr>
        <w:rPr>
          <w:rFonts w:hint="eastAsia"/>
        </w:rPr>
      </w:pPr>
      <w:r>
        <w:rPr>
          <w:rFonts w:hint="eastAsia" w:eastAsia="宋体"/>
        </w:rPr>
        <w:t>因執行本協議所發生的或與本協議有關的一切爭議，雙方應通過友好協商解決，如雙方通過協商不能達成協議時，向甲方所在地法院提起訴訟，通過訴訟程式解決。</w:t>
      </w:r>
    </w:p>
    <w:p>
      <w:pPr>
        <w:rPr>
          <w:rFonts w:hint="eastAsia"/>
        </w:rPr>
      </w:pPr>
    </w:p>
    <w:p>
      <w:pPr>
        <w:rPr>
          <w:rFonts w:hint="eastAsia"/>
        </w:rPr>
      </w:pPr>
    </w:p>
    <w:p>
      <w:pPr>
        <w:rPr>
          <w:rFonts w:hint="eastAsia"/>
        </w:rPr>
      </w:pPr>
    </w:p>
    <w:p>
      <w:pPr>
        <w:rPr>
          <w:rFonts w:hint="eastAsia"/>
        </w:rPr>
      </w:pPr>
      <w:r>
        <w:rPr>
          <w:rFonts w:hint="eastAsia" w:eastAsia="宋体"/>
        </w:rPr>
        <w:t>甲方：                                   乙方：</w:t>
      </w:r>
    </w:p>
    <w:p>
      <w:pPr>
        <w:rPr>
          <w:rFonts w:hint="eastAsia"/>
        </w:rPr>
      </w:pPr>
      <w:r>
        <w:rPr>
          <w:rFonts w:hint="eastAsia" w:eastAsia="宋体"/>
        </w:rPr>
        <w:t>公司簽章：                               公司簽章：</w:t>
      </w:r>
    </w:p>
    <w:p>
      <w:pPr>
        <w:rPr>
          <w:rFonts w:hint="eastAsia"/>
        </w:rPr>
      </w:pPr>
      <w:r>
        <w:rPr>
          <w:rFonts w:hint="eastAsia" w:eastAsia="宋体"/>
        </w:rPr>
        <w:t>簽章日期：                               簽章日期：</w:t>
      </w:r>
    </w:p>
    <w:p>
      <w:pPr>
        <w:rPr>
          <w:rFonts w:hint="eastAsia"/>
        </w:rPr>
      </w:pPr>
      <w:r>
        <w:rPr>
          <w:rFonts w:hint="eastAsia" w:eastAsia="宋体"/>
        </w:rPr>
        <w:t>法人或授權代表簽字：                     法人或授權代表簽字：</w:t>
      </w:r>
    </w:p>
    <w:p>
      <w:pPr>
        <w:rPr>
          <w:rFonts w:hint="eastAsia"/>
        </w:rPr>
      </w:pPr>
      <w:r>
        <w:rPr>
          <w:rFonts w:hint="eastAsia" w:eastAsia="宋体"/>
        </w:rPr>
        <w:t>簽字日期：                               簽字日期：</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微软雅黑">
    <w:panose1 w:val="020B0503020204020204"/>
    <w:charset w:val="86"/>
    <w:family w:val="auto"/>
    <w:pitch w:val="default"/>
    <w:sig w:usb0="80000287" w:usb1="280F3C52"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1F35F49"/>
    <w:multiLevelType w:val="multilevel"/>
    <w:tmpl w:val="11F35F49"/>
    <w:lvl w:ilvl="0" w:tentative="0">
      <w:start w:val="1"/>
      <w:numFmt w:val="chineseCounting"/>
      <w:suff w:val="nothing"/>
      <w:lvlText w:val="%1、"/>
      <w:lvlJc w:val="left"/>
      <w:pPr>
        <w:tabs>
          <w:tab w:val="left" w:pos="0"/>
        </w:tabs>
        <w:ind w:left="425" w:hanging="425"/>
      </w:pPr>
      <w:rPr>
        <w:rFonts w:hint="eastAsia" w:ascii="宋体" w:hAnsi="宋体" w:eastAsia="宋体" w:cs="Times New Roman"/>
      </w:rPr>
    </w:lvl>
    <w:lvl w:ilvl="1" w:tentative="0">
      <w:start w:val="1"/>
      <w:numFmt w:val="decimal"/>
      <w:isLgl/>
      <w:lvlText w:val="%1.%2."/>
      <w:lvlJc w:val="left"/>
      <w:pPr>
        <w:tabs>
          <w:tab w:val="left" w:pos="420"/>
        </w:tabs>
        <w:ind w:left="567" w:hanging="567"/>
      </w:pPr>
      <w:rPr>
        <w:rFonts w:hint="eastAsia" w:ascii="Times New Roman" w:hAnsi="Times New Roman" w:eastAsia="宋体" w:cs="宋体"/>
      </w:rPr>
    </w:lvl>
    <w:lvl w:ilvl="2" w:tentative="0">
      <w:start w:val="1"/>
      <w:numFmt w:val="decimal"/>
      <w:isLgl/>
      <w:lvlText w:val="%1.%2.%3."/>
      <w:lvlJc w:val="left"/>
      <w:pPr>
        <w:ind w:left="709" w:hanging="709"/>
      </w:pPr>
      <w:rPr>
        <w:rFonts w:hint="eastAsia" w:ascii="Times New Roman" w:hAnsi="Times New Roman" w:eastAsia="宋体" w:cs="宋体"/>
      </w:rPr>
    </w:lvl>
    <w:lvl w:ilvl="3" w:tentative="0">
      <w:start w:val="1"/>
      <w:numFmt w:val="decimal"/>
      <w:lvlText w:val="(%4)"/>
      <w:lvlJc w:val="left"/>
      <w:pPr>
        <w:ind w:left="850" w:hanging="850"/>
      </w:pPr>
      <w:rPr>
        <w:rFonts w:hint="eastAsia" w:ascii="宋体" w:hAnsi="宋体" w:eastAsia="宋体" w:cs="宋体"/>
      </w:rPr>
    </w:lvl>
    <w:lvl w:ilvl="4" w:tentative="0">
      <w:start w:val="1"/>
      <w:numFmt w:val="decimal"/>
      <w:isLgl/>
      <w:lvlText w:val="%1.%2.%3.%4.%5."/>
      <w:lvlJc w:val="left"/>
      <w:pPr>
        <w:ind w:left="991" w:hanging="991"/>
      </w:pPr>
      <w:rPr>
        <w:rFonts w:hint="eastAsia"/>
      </w:rPr>
    </w:lvl>
    <w:lvl w:ilvl="5" w:tentative="0">
      <w:start w:val="1"/>
      <w:numFmt w:val="decimal"/>
      <w:isLgl/>
      <w:lvlText w:val="%1.%2.%3.%4.%5.%6."/>
      <w:lvlJc w:val="left"/>
      <w:pPr>
        <w:ind w:left="1134" w:hanging="1134"/>
      </w:pPr>
      <w:rPr>
        <w:rFonts w:hint="eastAsia"/>
      </w:rPr>
    </w:lvl>
    <w:lvl w:ilvl="6" w:tentative="0">
      <w:start w:val="1"/>
      <w:numFmt w:val="decimal"/>
      <w:isLgl/>
      <w:lvlText w:val="%1.%2.%3.%4.%5.%6.%7."/>
      <w:lvlJc w:val="left"/>
      <w:pPr>
        <w:ind w:left="1275" w:hanging="1275"/>
      </w:pPr>
      <w:rPr>
        <w:rFonts w:hint="eastAsia"/>
      </w:rPr>
    </w:lvl>
    <w:lvl w:ilvl="7" w:tentative="0">
      <w:start w:val="1"/>
      <w:numFmt w:val="decimal"/>
      <w:isLgl/>
      <w:lvlText w:val="%1.%2.%3.%4.%5.%6.%7.%8."/>
      <w:lvlJc w:val="left"/>
      <w:pPr>
        <w:ind w:left="1418" w:hanging="1418"/>
      </w:pPr>
      <w:rPr>
        <w:rFonts w:hint="eastAsia"/>
      </w:rPr>
    </w:lvl>
    <w:lvl w:ilvl="8" w:tentative="0">
      <w:start w:val="1"/>
      <w:numFmt w:val="decimal"/>
      <w:isLgl/>
      <w:lvlText w:val="%1.%2.%3.%4.%5.%6.%7.%8.%9."/>
      <w:lvlJc w:val="left"/>
      <w:pPr>
        <w:ind w:left="1558" w:hanging="1558"/>
      </w:pPr>
      <w:rPr>
        <w:rFonts w:hint="eastAsia"/>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53862E40"/>
    <w:rsid w:val="06572CC9"/>
    <w:rsid w:val="0F757AF9"/>
    <w:rsid w:val="115B4E08"/>
    <w:rsid w:val="168A3396"/>
    <w:rsid w:val="1A674B7D"/>
    <w:rsid w:val="233216A2"/>
    <w:rsid w:val="27225F62"/>
    <w:rsid w:val="2F267989"/>
    <w:rsid w:val="30F80A27"/>
    <w:rsid w:val="3EF2224A"/>
    <w:rsid w:val="468F5D30"/>
    <w:rsid w:val="53862E40"/>
    <w:rsid w:val="6F73532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ind w:firstLine="883" w:firstLineChars="200"/>
      <w:jc w:val="both"/>
    </w:pPr>
    <w:rPr>
      <w:rFonts w:ascii="Times New Roman" w:hAnsi="Times New Roman" w:eastAsia="宋体" w:cs="Times New Roman"/>
      <w:kern w:val="2"/>
      <w:sz w:val="24"/>
      <w:szCs w:val="24"/>
      <w:lang w:val="en-US" w:eastAsia="zh-CN" w:bidi="ar-SA"/>
    </w:rPr>
  </w:style>
  <w:style w:type="character" w:default="1" w:styleId="3">
    <w:name w:val="Default Paragraph Font"/>
    <w:semiHidden/>
    <w:qFormat/>
    <w:uiPriority w:val="0"/>
  </w:style>
  <w:style w:type="table" w:default="1" w:styleId="4">
    <w:name w:val="Normal Table"/>
    <w:semiHidden/>
    <w:qFormat/>
    <w:uiPriority w:val="0"/>
    <w:tblPr>
      <w:tblLayout w:type="fixed"/>
      <w:tblCellMar>
        <w:top w:w="0" w:type="dxa"/>
        <w:left w:w="108" w:type="dxa"/>
        <w:bottom w:w="0" w:type="dxa"/>
        <w:right w:w="108" w:type="dxa"/>
      </w:tblCellMar>
    </w:tblPr>
  </w:style>
  <w:style w:type="paragraph" w:styleId="2">
    <w:name w:val="Normal (Web)"/>
    <w:basedOn w:val="1"/>
    <w:qFormat/>
    <w:uiPriority w:val="0"/>
    <w:pPr>
      <w:widowControl/>
      <w:spacing w:before="100" w:beforeAutospacing="1" w:after="100" w:afterAutospacing="1"/>
      <w:jc w:val="left"/>
    </w:pPr>
    <w:rPr>
      <w:rFonts w:ascii="宋体" w:hAnsi="宋体"/>
      <w:kern w:val="0"/>
      <w:sz w:val="24"/>
      <w:szCs w:val="20"/>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numbering" Target="numbering.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2</TotalTime>
  <ScaleCrop>false</ScaleCrop>
  <LinksUpToDate>false</LinksUpToDate>
  <CharactersWithSpaces>0</CharactersWithSpaces>
  <Application>WPS Office_11.8.2.8015_F1E327BC-269C-435d-A152-05C5408002CA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2018-08-29T09:10:00Z</dcterms:created>
  <dc:creator>陈欣琪</dc:creator>
  <cp:lastModifiedBy>陈欣琪</cp:lastModifiedBy>
  <dcterms:modified xsi:type="dcterms:W3CDTF">2018-11-29T03:35:50Z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