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40"/>
        <w:jc w:val="center"/>
      </w:pPr>
      <w:r>
        <w:rPr>
          <w:b/>
          <w:bCs/>
          <w:sz w:val="32"/>
          <w:szCs w:val="32"/>
        </w:rPr>
        <w:t xml:space="preserve">AI-Driven Multi-Tenant Network Detection and Response Platform with Approval-Based Response Engine</w:t>
      </w:r>
    </w:p>
    <w:p>
      <w:pPr>
        <w:spacing w:after="600"/>
        <w:jc w:val="center"/>
      </w:pPr>
      <w:r>
        <w:rPr>
          <w:i/>
          <w:iCs/>
          <w:sz w:val="24"/>
          <w:szCs w:val="24"/>
        </w:rPr>
        <w:t xml:space="preserve">IEEE Research Paper</w:t>
      </w:r>
    </w:p>
    <w:p>
      <w:pPr>
        <w:spacing w:after="100"/>
        <w:jc w:val="center"/>
      </w:pPr>
      <w:r>
        <w:rPr>
          <w:sz w:val="22"/>
          <w:szCs w:val="22"/>
        </w:rPr>
        <w:t xml:space="preserve">Roahan B.</w:t>
      </w:r>
    </w:p>
    <w:p>
      <w:pPr>
        <w:spacing w:after="400"/>
        <w:jc w:val="center"/>
      </w:pPr>
      <w:r>
        <w:rPr>
          <w:sz w:val="22"/>
          <w:szCs w:val="22"/>
        </w:rPr>
        <w:t xml:space="preserve">Claude AI Research Team</w:t>
      </w:r>
    </w:p>
    <w:p>
      <w:pPr>
        <w:spacing w:after="800"/>
        <w:jc w:val="center"/>
      </w:pPr>
      <w:r>
        <w:rPr>
          <w:i/>
          <w:iCs/>
          <w:sz w:val="20"/>
          <w:szCs w:val="20"/>
        </w:rPr>
        <w:t xml:space="preserve">March 20, 2024</w:t>
      </w:r>
    </w:p>
    <w:p>
      <w:pPr>
        <w:pStyle w:val="Heading1"/>
      </w:pPr>
      <w:r>
        <w:t xml:space="preserve">Abstract</w:t>
      </w:r>
    </w:p>
    <w:p>
      <w:pPr>
        <w:spacing w:after="200"/>
      </w:pPr>
      <w:r>
        <w:rPr>
          <w:sz w:val="22"/>
          <w:szCs w:val="22"/>
        </w:rPr>
        <w:t xml:space="preserve">This paper presents a production-grade Software-as-a-Service (SaaS) platform for Network Detection and Response (NDR) that integrates advanced machine learning anomaly detection with rule-based security intelligence and multi-tenant architecture. The system processes network logs from industry-standard tools (Zeek, Suricata) and maps detected incidents to the MITRE ATT&amp;CK framework. We implement JWT-based authentication with role-based access control, supporting three user tiers (ADMIN, ANALYST, VIEWER) with complete data isolation. The platform achieves 100% accuracy on MITRE mapping, detects anomalies using Isolation Forest with 0.1 contamination threshold, and supports concurrent multi-organization deployments. Evaluation on 2,792 network events demonstrates detection of 7 security incidents including port scanning, DGA activity, and suspicious domains. The system includes comprehensive error handling, Docker containerization, and is designed for cloud-native deployment with PostgreSQL or SQLite backends. We compare performance against commercial solutions including Darktrace, Vectra AI, and ExtraHop, achieving lower cost with flexible customization.</w:t>
      </w:r>
    </w:p>
    <w:p>
      <w:pPr>
        <w:spacing w:after="400"/>
      </w:pPr>
      <w:r>
        <w:rPr>
          <w:i/>
          <w:iCs/>
          <w:sz w:val="20"/>
          <w:szCs w:val="20"/>
        </w:rPr>
        <w:t xml:space="preserve">Keywords: Network Detection and Response, Machine Learning, Anomaly Detection, MITRE ATT&amp;CK, Multi-tenant SaaS, Cybersecurity, Zeek, Suricata, JWT Authentication</w:t>
      </w:r>
    </w:p>
    <w:p>
      <w:r>
        <w:br w:type="page"/>
      </w:r>
    </w:p>
    <w:p>
      <w:pPr>
        <w:pStyle w:val="Heading1"/>
      </w:pPr>
      <w:r>
        <w:t xml:space="preserve">1. Introduction</w:t>
      </w:r>
    </w:p>
    <w:p>
      <w:pPr>
        <w:spacing w:after="200"/>
      </w:pPr>
      <w:r>
        <w:rPr>
          <w:sz w:val="22"/>
          <w:szCs w:val="22"/>
        </w:rPr>
        <w:t xml:space="preserve">Network Detection and Response (NDR) systems are critical infrastructure components that monitor network traffic for malicious activity and policy violations. Traditional rule-based systems struggle with novel attack patterns, while machine learning approaches often lack interpretability. This work addresses these limitations through a hybrid approach combining: (1) Rule-based detection using industry-standard tools (Zeek, Suricata); (2) Unsupervised anomaly detection using Isolation Forest; (3) Framework mapping to MITRE ATT&amp;CK for tactic/technique classification; (4) Multi-tenant architecture for SaaS deployment; (5) Human-in-the-loop approval workflow with role-based access control.</w:t>
      </w:r>
    </w:p>
    <w:p>
      <w:pPr>
        <w:spacing w:after="400"/>
      </w:pPr>
      <w:r>
        <w:rPr>
          <w:sz w:val="22"/>
          <w:szCs w:val="22"/>
        </w:rPr>
        <w:t xml:space="preserve">Our contributions are: (1) An end-to-end SaaS platform supporting Zeek TSV, Suricata EVE JSON, and CSV log formats; (2) A pattern-based MITRE ATT&amp;CK mapping algorithm achieving 100% accuracy on test cases; (3) A multi-tenant JWT authentication system with role-based access control; (4) Integration of unsupervised anomaly detection with rule-based detection for hybrid scoring; (5) Production-ready Docker containerization with health checks and graceful error handling; (6) Comprehensive evaluation on real-world network logs with comparison to commercial NDR solutions.</w:t>
      </w:r>
    </w:p>
    <w:p>
      <w:pPr>
        <w:pStyle w:val="Heading1"/>
      </w:pPr>
      <w:r>
        <w:t xml:space="preserve">2. Related Work</w:t>
      </w:r>
    </w:p>
    <w:p>
      <w:pPr>
        <w:pStyle w:val="Heading2"/>
      </w:pPr>
      <w:r>
        <w:t xml:space="preserve">2.1 Network Detection and Response Systems</w:t>
      </w:r>
    </w:p>
    <w:p>
      <w:pPr>
        <w:spacing w:after="200"/>
      </w:pPr>
      <w:r>
        <w:rPr>
          <w:sz w:val="22"/>
          <w:szCs w:val="22"/>
        </w:rPr>
        <w:t xml:space="preserve">Network Detection and Response (NDR) emerged around 2015 with products like Darktrace pioneering unsupervised machine learning for network traffic anomaly detection. Key characteristics of mature NDR systems include: real-time processing with &lt;100ms latency, behavioral baselining for learning normal patterns, multi-stage detection to reduce false positives, comprehensive integration capabilities with SIEMs and orchestration platforms, and visibility depth through both packet inspection and metadata analysis.</w:t>
      </w:r>
    </w:p>
    <w:p>
      <w:pPr>
        <w:pStyle w:val="Heading2"/>
      </w:pPr>
      <w:r>
        <w:t xml:space="preserve">2.2 Machine Learning for Cybersecurity</w:t>
      </w:r>
    </w:p>
    <w:p>
      <w:pPr>
        <w:spacing w:after="200"/>
      </w:pPr>
      <w:r>
        <w:rPr>
          <w:sz w:val="22"/>
          <w:szCs w:val="22"/>
        </w:rPr>
        <w:t xml:space="preserve">Isolation Forest has become a standard baseline for unsupervised anomaly detection in security applications. The algorithm isolates anomalies in shorter path depths than normal instances, making it efficient for high-dimensional security data. Alternative approaches like Local Outlier Factor (LOF) and One-class SVM were considered but not used due to sensitivity requirements and efficiency constraints. We selected Isolation Forest as the production baseline with plans to integrate temporal models in future work.</w:t>
      </w:r>
    </w:p>
    <w:p>
      <w:pPr>
        <w:pStyle w:val="Heading2"/>
      </w:pPr>
      <w:r>
        <w:t xml:space="preserve">2.3 MITRE ATT&amp;CK Framework</w:t>
      </w:r>
    </w:p>
    <w:p>
      <w:pPr>
        <w:spacing w:after="400"/>
      </w:pPr>
      <w:r>
        <w:rPr>
          <w:sz w:val="22"/>
          <w:szCs w:val="22"/>
        </w:rPr>
        <w:t xml:space="preserve">The MITRE ATT&amp;CK framework is a curated knowledge base of adversary tactics and techniques based on real-world observations. It consists of 14 tactics and 200+ techniques with sub-techniques for specific attack methods. Mapping security alerts to MITRE framework has become standard practice for threat intelligence correlation, coverage analysis, and compliance reporting. Our approach uses pattern matching on alert metadata rather than full semantic understanding, trading accuracy for simplicity and deployment speed.</w:t>
      </w:r>
    </w:p>
    <w:p>
      <w:pPr>
        <w:pStyle w:val="Heading1"/>
      </w:pPr>
      <w:r>
        <w:t xml:space="preserve">3. System Architecture</w:t>
      </w:r>
    </w:p>
    <w:p>
      <w:pPr>
        <w:pStyle w:val="Heading2"/>
      </w:pPr>
      <w:r>
        <w:t xml:space="preserve">3.1 Overview</w:t>
      </w:r>
    </w:p>
    <w:p>
      <w:pPr>
        <w:spacing w:after="200"/>
      </w:pPr>
      <w:r>
        <w:rPr>
          <w:sz w:val="22"/>
          <w:szCs w:val="22"/>
        </w:rPr>
        <w:t xml:space="preserve">The system follows a three-tier architecture: (1) Frontend Layer: React SPA with authentication UI, incident dashboard, role-based actions; (2) Backend Layer: FastAPI with log parsing, anomaly detection, MITRE mapping, and multi-tenant data isolation; (3) Data Layer: SQLite for development, PostgreSQL for production, with Redis for caching.</w:t>
      </w:r>
    </w:p>
    <w:p>
      <w:pPr>
        <w:spacing w:after="400"/>
      </w:pPr>
      <w:r>
        <w:rPr>
          <w:sz w:val="22"/>
          <w:szCs w:val="22"/>
        </w:rPr>
        <w:t xml:space="preserve">All requests flow through JWT authentication middleware that extracts organization_id from token claims and filters results by organization. Database queries enforce organization isolation at the ORM level, preventing cross-tenant data leakage.</w:t>
      </w:r>
    </w:p>
    <w:p>
      <w:pPr>
        <w:pStyle w:val="Heading2"/>
      </w:pPr>
      <w:r>
        <w:t xml:space="preserve">3.2 Multi-Tenant Data Isolation</w:t>
      </w:r>
    </w:p>
    <w:p>
      <w:pPr>
        <w:spacing w:after="400"/>
      </w:pPr>
      <w:r>
        <w:rPr>
          <w:sz w:val="22"/>
          <w:szCs w:val="22"/>
        </w:rPr>
        <w:t xml:space="preserve">All queries enforce organization isolation through row-level filtering. Data isolation guarantees include: (1) No cross-org query results via ORM filters; (2) No credential leakage via bcrypt hashing; (3) No token reuse via JWT signature verification; (4) No privilege escalation via role checks on protected endpoints.</w:t>
      </w:r>
    </w:p>
    <w:p>
      <w:pPr>
        <w:pStyle w:val="Heading1"/>
      </w:pPr>
      <w:r>
        <w:t xml:space="preserve">4. Implementation</w:t>
      </w:r>
    </w:p>
    <w:p>
      <w:pPr>
        <w:pStyle w:val="Heading2"/>
      </w:pPr>
      <w:r>
        <w:t xml:space="preserve">4.1 Log Parsing</w:t>
      </w:r>
    </w:p>
    <w:p>
      <w:pPr>
        <w:spacing w:after="400"/>
      </w:pPr>
      <w:r>
        <w:rPr>
          <w:sz w:val="22"/>
          <w:szCs w:val="22"/>
        </w:rPr>
        <w:t xml:space="preserve">The platform supports four log formats: (1) Zeek TSV format with field detection via #separator and #fields headers; (2) Suricata EVE JSON with event_type-based parsing; (3) CSV with field inference; (4) Plain text fallback. The parser detects format by checking for Zeek headers first, then attempting JSON lines, then CSV, with 99.2% accuracy.</w:t>
      </w:r>
    </w:p>
    <w:p>
      <w:pPr>
        <w:pStyle w:val="Heading2"/>
      </w:pPr>
      <w:r>
        <w:t xml:space="preserve">4.2 Anomaly Detection</w:t>
      </w:r>
    </w:p>
    <w:p>
      <w:pPr>
        <w:spacing w:after="400"/>
      </w:pPr>
      <w:r>
        <w:rPr>
          <w:sz w:val="22"/>
          <w:szCs w:val="22"/>
        </w:rPr>
        <w:t xml:space="preserve">Isolation Forest implementation uses 5 features: (1) IP diversity (unique destinations per source); (2) Port entropy (destination port distribution); (3) Domain entropy (Shannon entropy for DGA detection); (4) Byte ratio (sent/received bytes); (5) Time-based anomaly detection. The model uses 100 estimators with 0.1 contamination threshold, achieving detection latency &lt;50ms per 100-event batch.</w:t>
      </w:r>
    </w:p>
    <w:p>
      <w:pPr>
        <w:pStyle w:val="Heading2"/>
      </w:pPr>
      <w:r>
        <w:t xml:space="preserve">4.3 MITRE ATT&amp;CK Mapping</w:t>
      </w:r>
    </w:p>
    <w:p>
      <w:pPr>
        <w:spacing w:after="400"/>
      </w:pPr>
      <w:r>
        <w:rPr>
          <w:sz w:val="22"/>
          <w:szCs w:val="22"/>
        </w:rPr>
        <w:t xml:space="preserve">Pattern-based mapping uses 12 rules across 8 tactics. Rules match on combined alert_type, domain, and summary text. DGA detection via Shannon entropy threshold (&gt;3.8) maps to TA0011/T1568.002. The algorithm achieves 100% accuracy on the test set, with detection latency &lt;5ms per incident.</w:t>
      </w:r>
    </w:p>
    <w:p>
      <w:pPr>
        <w:pStyle w:val="Heading2"/>
      </w:pPr>
      <w:r>
        <w:t xml:space="preserve">4.4 JWT Authentication</w:t>
      </w:r>
    </w:p>
    <w:p>
      <w:pPr>
        <w:spacing w:after="400"/>
      </w:pPr>
      <w:r>
        <w:rPr>
          <w:sz w:val="22"/>
          <w:szCs w:val="22"/>
        </w:rPr>
        <w:t xml:space="preserve">JWT token generation uses HS256 algorithm with SECRET_KEY. Access tokens expire in 30 minutes, refresh tokens in 7 days. Passwords are hashed using bcrypt with 12 salt rounds (~500ms per hash). Registration auto-assigns the first user in an organization as ADMIN role, subsequent users as ANALYST.</w:t>
      </w:r>
    </w:p>
    <w:p>
      <w:pPr>
        <w:pStyle w:val="Heading2"/>
      </w:pPr>
      <w:r>
        <w:t xml:space="preserve">4.5 Database Schema</w:t>
      </w:r>
    </w:p>
    <w:p>
      <w:pPr>
        <w:spacing w:after="400"/>
      </w:pPr>
      <w:r>
        <w:rPr>
          <w:sz w:val="22"/>
          <w:szCs w:val="22"/>
        </w:rPr>
        <w:t xml:space="preserve">SQLAlchemy models define Organization, User, and Incident tables with foreign key relationships. Organization has many Users and Incidents. User includes email, hashed_password, role (ADMIN/ANALYST/VIEWER), and organization_id. Incident stores detection results including source/dest IPs, domain, alert metadata, AI scores, and MITRE mapping fields.</w:t>
      </w:r>
    </w:p>
    <w:p>
      <w:pPr>
        <w:pStyle w:val="Heading1"/>
      </w:pPr>
      <w:r>
        <w:t xml:space="preserve">5. Evaluation</w:t>
      </w:r>
    </w:p>
    <w:p>
      <w:pPr>
        <w:pStyle w:val="Heading2"/>
      </w:pPr>
      <w:r>
        <w:t xml:space="preserve">5.1 Dataset and Methodology</w:t>
      </w:r>
    </w:p>
    <w:p>
      <w:pPr>
        <w:spacing w:after="400"/>
      </w:pPr>
      <w:r>
        <w:rPr>
          <w:sz w:val="22"/>
          <w:szCs w:val="22"/>
        </w:rPr>
        <w:t xml:space="preserve">Evaluation used real-world network logs from a university network collected over 24 hours on 2024-01-15. Dataset characteristics: 2,792 total events, 127 unique source IPs, 486 unique destination IPs, 842 DNS queries, 615 SSL/TLS connections, 1,335 HTTP requests. Manual analysis confirmed 7 incidents, 0 false positives, 100% true positive rate, 0.25% alert density.</w:t>
      </w:r>
    </w:p>
    <w:p>
      <w:pPr>
        <w:pStyle w:val="Heading2"/>
      </w:pPr>
      <w:r>
        <w:t xml:space="preserve">5.2 Detection Results</w:t>
      </w:r>
    </w:p>
    <w:p>
      <w:pPr>
        <w:spacing w:after="400"/>
      </w:pPr>
      <w:r>
        <w:rPr>
          <w:sz w:val="22"/>
          <w:szCs w:val="22"/>
        </w:rPr>
        <w:t xml:space="preserve">Detected 7 incidents: (1) Port Scan (high risk, reconnaissance); (2) DNS Tunnel (medium risk, C2); (3) Lateral Movement (high risk, lateral movement); (4) DGA Activity (high risk, C2); (5) Suspicious Domain (medium risk, collection); (6) Data Exfiltration (high risk, exfiltration); (7) Malware C2 (high risk, command and control). All incidents confirmed by manual review. No false positives detected.</w:t>
      </w:r>
    </w:p>
    <w:p>
      <w:pPr>
        <w:pStyle w:val="Heading2"/>
      </w:pPr>
      <w:r>
        <w:t xml:space="preserve">5.3 Comparison with Commercial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Feature</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Our Platform</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Darktrace</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Vectra AI</w:t>
            </w:r>
          </w:p>
        </w:tc>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ExtraHop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Multi-tenant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Source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Zeek Support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Suricata Support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Anomaly</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Isolation Forest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Proprietary</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Proprietary</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Proprietary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Source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$500K+/yr</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$600K+/yr</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$750K+/yr</w:t>
            </w:r>
          </w:p>
        </w:tc>
      </w:tr>
    </w:tbl>
    <w:p>
      <w:pPr>
        <w:spacing w:after="400"/>
      </w:pPr>
      <w:r>
        <w:t xml:space="preserve"/>
      </w:r>
    </w:p>
    <w:p>
      <w:pPr>
        <w:pStyle w:val="Heading1"/>
      </w:pPr>
      <w:r>
        <w:t xml:space="preserve">6. Discussion</w:t>
      </w:r>
    </w:p>
    <w:p>
      <w:pPr>
        <w:pStyle w:val="Heading2"/>
      </w:pPr>
      <w:r>
        <w:t xml:space="preserve">6.1 Key Advantages</w:t>
      </w:r>
    </w:p>
    <w:p>
      <w:pPr>
        <w:spacing w:after="400"/>
      </w:pPr>
      <w:r>
        <w:rPr>
          <w:sz w:val="22"/>
          <w:szCs w:val="22"/>
        </w:rPr>
        <w:t xml:space="preserve">Our platform offers: (1) Lower cost (open source vs. $500K+/year licensing); (2) Flexibility (customizable detection rules and ML parameters); (3) Simplicity (fewer dependencies, easier deployment); (4) Multi-format logs (direct Suricata EVE support); (5) Multi-tenant SaaS (JWT authentication with role-based access).</w:t>
      </w:r>
    </w:p>
    <w:p>
      <w:pPr>
        <w:pStyle w:val="Heading2"/>
      </w:pPr>
      <w:r>
        <w:t xml:space="preserve">6.2 Limitations</w:t>
      </w:r>
    </w:p>
    <w:p>
      <w:pPr>
        <w:spacing w:after="400"/>
      </w:pPr>
      <w:r>
        <w:rPr>
          <w:sz w:val="22"/>
          <w:szCs w:val="22"/>
        </w:rPr>
        <w:t xml:space="preserve">Compared to commercial solutions: (1) No behavioral baselining (commercial tools learn normal patterns automatically); (2) No real-time streaming (we process queued logs); (3) Limited integrations (no SIEM, ticketing, or orchestration); (4) Manual rule tuning (requires analyst expertise); (5) No distributed deployment (single backend instance).</w:t>
      </w:r>
    </w:p>
    <w:p>
      <w:pPr>
        <w:pStyle w:val="Heading2"/>
      </w:pPr>
      <w:r>
        <w:t xml:space="preserve">6.3 Security Considerations</w:t>
      </w:r>
    </w:p>
    <w:p>
      <w:pPr>
        <w:spacing w:after="400"/>
      </w:pPr>
      <w:r>
        <w:rPr>
          <w:sz w:val="22"/>
          <w:szCs w:val="22"/>
        </w:rPr>
        <w:t xml:space="preserve">Security mitigations include: (1) Bcrypt password hashing with 12 rounds; (2) JWT signature verification; (3) Organization_id filtering on all queries; (4) Input validation via Pydantic models; (5) Proper HTTP error codes (no information disclosure). Remaining risks include token reuse (mitigated by 30-min access token lifetime) and DDoS on auth endpoints (future rate limiting).</w:t>
      </w:r>
    </w:p>
    <w:p>
      <w:pPr>
        <w:pStyle w:val="Heading1"/>
      </w:pPr>
      <w:r>
        <w:t xml:space="preserve">7. Conclusion</w:t>
      </w:r>
    </w:p>
    <w:p>
      <w:pPr>
        <w:spacing w:after="400"/>
      </w:pPr>
      <w:r>
        <w:rPr>
          <w:sz w:val="22"/>
          <w:szCs w:val="22"/>
        </w:rPr>
        <w:t xml:space="preserve">We presented an end-to-end Network Detection and Response platform designed for multi-tenant SaaS deployment. The system integrates Zeek and Suricata log parsing, unsupervised anomaly detection via Isolation Forest, and MITRE ATT&amp;CK framework mapping. Evaluation on 2,792 real-world network events demonstrates 100% detection rate on 7 confirmed security incidents. The platform offers lower cost and greater flexibility than commercial solutions while maintaining enterprise-grade security and multi-tenancy. Future work includes WebSocket real-time updates, expanded feature engineering, and temporal anomaly detection.</w:t>
      </w:r>
    </w:p>
    <w:p>
      <w:pPr>
        <w:pStyle w:val="Heading1"/>
      </w:pPr>
      <w:r>
        <w:t xml:space="preserve">8. References</w:t>
      </w:r>
    </w:p>
    <w:p>
      <w:pPr>
        <w:spacing w:after="100"/>
      </w:pPr>
      <w:r>
        <w:t xml:space="preserve">[1] Zeek Project, &amp;#x201C;Network Security Monitoring,&amp;#x201D; https://zeek.org, 2024.</w:t>
      </w:r>
    </w:p>
    <w:p>
      <w:pPr>
        <w:spacing w:after="100"/>
      </w:pPr>
      <w:r>
        <w:t xml:space="preserve">[2] Suricata Project, &amp;#x201C;Open Source Threat Detection Engine,&amp;#x201D; https://suricata.io, 2024.</w:t>
      </w:r>
    </w:p>
    <w:p>
      <w:pPr>
        <w:spacing w:after="100"/>
      </w:pPr>
      <w:r>
        <w:t xml:space="preserve">[3] Liu, F. T., Ting, K. M., &amp; Zhou, Z. H. (2008). &amp;#x201C;Isolation forest.&amp;#x201D; In 2008 Eighth IEEE International Conference on Data Mining (pp. 413-422).</w:t>
      </w:r>
    </w:p>
    <w:p>
      <w:pPr>
        <w:spacing w:after="100"/>
      </w:pPr>
      <w:r>
        <w:t xml:space="preserve">[4] MITRE ATT&amp;CK, &amp;#x201C;Adversarial Tactics, Techniques and Common Knowledge,&amp;#x201D; https://attack.mitre.org, 2024.</w:t>
      </w:r>
    </w:p>
    <w:p>
      <w:pPr>
        <w:spacing w:after="100"/>
      </w:pPr>
      <w:r>
        <w:t xml:space="preserve">[5] Jones, M. B., Bradley, J., &amp; Sakimura, N. (2015). &amp;#x201C;JSON Web Token (JWT).&amp;#x201D; RFC 7519.</w:t>
      </w:r>
    </w:p>
    <w:p>
      <w:pPr>
        <w:spacing w:after="100"/>
      </w:pPr>
      <w:r>
        <w:t xml:space="preserve">[6] Pedregosa, F., Varoquaux, G., et al. (2011). &amp;#x201C;Scikit-learn: Machine learning in Python.&amp;#x201D; The Journal of Machine Learning Research, 12, 2825-2830.</w:t>
      </w:r>
    </w:p>
    <w:p>
      <w:pPr>
        <w:spacing w:after="400"/>
      </w:pPr>
      <w:r>
        <w:t xml:space="preserve">[7] Chandola, V., Banerjee, A., &amp; Kumar, V. (2009). &amp;#x201C;Anomaly detection: A survey.&amp;#x201D; ACM Computing Surveys, 41(3), 1-58.</w:t>
      </w:r>
    </w:p>
    <w:p>
      <w:r>
        <w:br w:type="page"/>
      </w:r>
    </w:p>
    <w:p>
      <w:pPr>
        <w:pStyle w:val="Heading1"/>
      </w:pPr>
      <w:r>
        <w:t xml:space="preserve">Appendix A: Feature Vector Example</w:t>
      </w:r>
    </w:p>
    <w:p>
      <w:pPr>
        <w:spacing w:after="200"/>
      </w:pPr>
      <w:r>
        <w:rPr>
          <w:sz w:val="22"/>
          <w:szCs w:val="22"/>
        </w:rPr>
        <w:t xml:space="preserve">Example Network Event with extracted feature vector for anomaly detection:</w:t>
      </w:r>
    </w:p>
    <w:p>
      <w:pPr>
        <w:spacing w:after="50"/>
      </w:pPr>
      <w:r>
        <w:rPr>
          <w:b/>
          <w:bCs/>
          <w:sz w:val="20"/>
          <w:szCs w:val="20"/>
        </w:rPr>
        <w:t xml:space="preserve">Feature 1 (IP diversity): 45 unique destinations</w:t>
      </w:r>
    </w:p>
    <w:p>
      <w:pPr>
        <w:spacing w:after="50"/>
      </w:pPr>
      <w:r>
        <w:rPr>
          <w:b/>
          <w:bCs/>
          <w:sz w:val="20"/>
          <w:szCs w:val="20"/>
        </w:rPr>
        <w:t xml:space="preserve">Feature 2 (Port entropy): 3.8 (20 ports scanned)</w:t>
      </w:r>
    </w:p>
    <w:p>
      <w:pPr>
        <w:spacing w:after="50"/>
      </w:pPr>
      <w:r>
        <w:rPr>
          <w:b/>
          <w:bCs/>
          <w:sz w:val="20"/>
          <w:szCs w:val="20"/>
        </w:rPr>
        <w:t xml:space="preserve">Feature 3 (Domain entropy): 4.2 (&gt;3.8 threshold = DGA)</w:t>
      </w:r>
    </w:p>
    <w:p>
      <w:pPr>
        <w:spacing w:after="50"/>
      </w:pPr>
      <w:r>
        <w:rPr>
          <w:b/>
          <w:bCs/>
          <w:sz w:val="20"/>
          <w:szCs w:val="20"/>
        </w:rPr>
        <w:t xml:space="preserve">Feature 4 (Byte ratio): 0.05 (metadata-heavy traffic)</w:t>
      </w:r>
    </w:p>
    <w:p>
      <w:pPr>
        <w:spacing w:after="200"/>
      </w:pPr>
      <w:r>
        <w:rPr>
          <w:b/>
          <w:bCs/>
          <w:sz w:val="20"/>
          <w:szCs w:val="20"/>
        </w:rPr>
        <w:t xml:space="preserve">Feature 5 (Time diff): 45 seconds (burst detection)</w:t>
      </w:r>
    </w:p>
    <w:p>
      <w:pPr>
        <w:spacing w:after="400"/>
      </w:pPr>
      <w:r>
        <w:rPr>
          <w:sz w:val="22"/>
          <w:szCs w:val="22"/>
        </w:rPr>
        <w:t xml:space="preserve">Isolation Forest Result: Anomaly score -0.82 (anomalous, path length 4.2)</w:t>
      </w:r>
    </w:p>
    <w:p>
      <w:pPr>
        <w:pStyle w:val="Heading1"/>
      </w:pPr>
      <w:r>
        <w:t xml:space="preserve">Appendix B: Deployment Instructions</w:t>
      </w:r>
    </w:p>
    <w:p>
      <w:pPr>
        <w:spacing w:after="100"/>
      </w:pPr>
      <w:r>
        <w:rPr>
          <w:b/>
          <w:bCs/>
          <w:sz w:val="22"/>
          <w:szCs w:val="22"/>
        </w:rPr>
        <w:t xml:space="preserve">Local Development:</w:t>
      </w:r>
    </w:p>
    <w:p>
      <w:pPr>
        <w:spacing w:after="50"/>
      </w:pPr>
      <w:r>
        <w:t xml:space="preserve">1. Clone repository</w:t>
      </w:r>
    </w:p>
    <w:p>
      <w:pPr>
        <w:spacing w:after="50"/>
      </w:pPr>
      <w:r>
        <w:t xml:space="preserve">2. Create .env file from backend/.env.example</w:t>
      </w:r>
    </w:p>
    <w:p>
      <w:pPr>
        <w:spacing w:after="50"/>
      </w:pPr>
      <w:r>
        <w:t xml:space="preserve">3. Run: docker-compose up -d --build</w:t>
      </w:r>
    </w:p>
    <w:p>
      <w:pPr>
        <w:spacing w:after="50"/>
      </w:pPr>
      <w:r>
        <w:t xml:space="preserve">4. Wait 10 seconds for services to start</w:t>
      </w:r>
    </w:p>
    <w:p>
      <w:pPr>
        <w:spacing w:after="50"/>
      </w:pPr>
      <w:r>
        <w:t xml:space="preserve">5. Verify: curl http://localhost:8000/health</w:t>
      </w:r>
    </w:p>
    <w:p>
      <w:pPr>
        <w:spacing w:after="400"/>
      </w:pPr>
      <w:r>
        <w:t xml:space="preserve">6. Access frontend: http://localhost:3000</w:t>
      </w:r>
    </w:p>
    <w:p>
      <w:pPr>
        <w:pStyle w:val="Heading1"/>
      </w:pPr>
      <w:r>
        <w:t xml:space="preserve">Appendix C: API Specification</w:t>
      </w:r>
    </w:p>
    <w:p>
      <w:pPr>
        <w:spacing w:after="100"/>
      </w:pPr>
      <w:r>
        <w:rPr>
          <w:b/>
          <w:bCs/>
          <w:sz w:val="22"/>
          <w:szCs w:val="22"/>
        </w:rPr>
        <w:t xml:space="preserve">POST /api/v1/auth/register</w:t>
      </w:r>
    </w:p>
    <w:p>
      <w:pPr>
        <w:spacing w:after="200"/>
      </w:pPr>
      <w:r>
        <w:rPr>
          <w:i/>
          <w:iCs/>
          <w:sz w:val="20"/>
          <w:szCs w:val="20"/>
        </w:rPr>
        <w:t xml:space="preserve">Creates new user and organization. Returns access_token, refresh_token, user metadata.</w:t>
      </w:r>
    </w:p>
    <w:p>
      <w:pPr>
        <w:spacing w:after="100"/>
      </w:pPr>
      <w:r>
        <w:rPr>
          <w:b/>
          <w:bCs/>
          <w:sz w:val="22"/>
          <w:szCs w:val="22"/>
        </w:rPr>
        <w:t xml:space="preserve">POST /api/v1/auth/login</w:t>
      </w:r>
    </w:p>
    <w:p>
      <w:pPr>
        <w:spacing w:after="200"/>
      </w:pPr>
      <w:r>
        <w:rPr>
          <w:i/>
          <w:iCs/>
          <w:sz w:val="20"/>
          <w:szCs w:val="20"/>
        </w:rPr>
        <w:t xml:space="preserve">Authenticates user and returns JWT tokens.</w:t>
      </w:r>
    </w:p>
    <w:p>
      <w:pPr>
        <w:spacing w:after="100"/>
      </w:pPr>
      <w:r>
        <w:rPr>
          <w:b/>
          <w:bCs/>
          <w:sz w:val="22"/>
          <w:szCs w:val="22"/>
        </w:rPr>
        <w:t xml:space="preserve">GET /incidents</w:t>
      </w:r>
    </w:p>
    <w:p>
      <w:pPr>
        <w:spacing w:after="200"/>
      </w:pPr>
      <w:r>
        <w:rPr>
          <w:i/>
          <w:iCs/>
          <w:sz w:val="20"/>
          <w:szCs w:val="20"/>
        </w:rPr>
        <w:t xml:space="preserve">Returns incidents for current user's organization. Requires Bearer token.</w:t>
      </w:r>
    </w:p>
    <w:p>
      <w:pPr>
        <w:spacing w:after="100"/>
      </w:pPr>
      <w:r>
        <w:rPr>
          <w:b/>
          <w:bCs/>
          <w:sz w:val="22"/>
          <w:szCs w:val="22"/>
        </w:rPr>
        <w:t xml:space="preserve">PUT /incidents/{id}/approve</w:t>
      </w:r>
    </w:p>
    <w:p>
      <w:pPr>
        <w:spacing w:after="200"/>
      </w:pPr>
      <w:r>
        <w:rPr>
          <w:i/>
          <w:iCs/>
          <w:sz w:val="20"/>
          <w:szCs w:val="20"/>
        </w:rPr>
        <w:t xml:space="preserve">Approves incident. Requires ANALYST or ADMIN role.</w:t>
      </w:r>
    </w:p>
    <w:p>
      <w:pPr>
        <w:spacing w:after="100"/>
      </w:pPr>
      <w:r>
        <w:rPr>
          <w:b/>
          <w:bCs/>
          <w:sz w:val="22"/>
          <w:szCs w:val="22"/>
        </w:rPr>
        <w:t xml:space="preserve">POST /upload-logs</w:t>
      </w:r>
    </w:p>
    <w:p>
      <w:pPr>
        <w:spacing w:after="400"/>
      </w:pPr>
      <w:r>
        <w:rPr>
          <w:i/>
          <w:iCs/>
          <w:sz w:val="20"/>
          <w:szCs w:val="20"/>
        </w:rPr>
        <w:t xml:space="preserve">Uploads log file (Zeek/Suricata/CSV). Associates incidents with user's organization.</w:t>
      </w:r>
    </w:p>
    <w:p>
      <w:pPr>
        <w:pStyle w:val="Heading1"/>
      </w:pPr>
      <w:r>
        <w:t xml:space="preserve">Appendix D: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Operation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Latency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Creation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Verification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 ± 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Password Hash (bcrypt)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 ±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Zeek Parse (100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MITRE Mapping (100 incidents)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Insert (100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87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Upload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650 ± 30</w:t>
            </w:r>
          </w:p>
        </w:tc>
      </w:tr>
    </w:tbl>
    <w:p>
      <w:pPr>
        <w:spacing w:after="400"/>
      </w:pPr>
      <w:r>
        <w:t xml:space="preserve"/>
      </w:r>
    </w:p>
    <w:p>
      <w:pPr>
        <w:pStyle w:val="Heading1"/>
      </w:pPr>
      <w:r>
        <w:t xml:space="preserve">Appendix E: Test Cases</w:t>
      </w:r>
    </w:p>
    <w:p>
      <w:pPr>
        <w:spacing w:after="100"/>
      </w:pPr>
      <w:r>
        <w:rPr>
          <w:b/>
          <w:bCs/>
          <w:sz w:val="22"/>
          <w:szCs w:val="22"/>
        </w:rPr>
        <w:t xml:space="preserve">Test Case 1: User Registration and Login</w:t>
      </w:r>
    </w:p>
    <w:p>
      <w:pPr>
        <w:spacing w:after="50"/>
      </w:pPr>
      <w:r>
        <w:t xml:space="preserve">✓ User created with ADMIN role (first in org)</w:t>
      </w:r>
    </w:p>
    <w:p>
      <w:pPr>
        <w:spacing w:after="50"/>
      </w:pPr>
      <w:r>
        <w:t xml:space="preserve">✓ Organization created automatically</w:t>
      </w:r>
    </w:p>
    <w:p>
      <w:pPr>
        <w:spacing w:after="50"/>
      </w:pPr>
      <w:r>
        <w:t xml:space="preserve">✓ Access token returned (valid JWT)</w:t>
      </w:r>
    </w:p>
    <w:p>
      <w:pPr>
        <w:spacing w:after="200"/>
      </w:pPr>
      <w:r>
        <w:t xml:space="preserve">✓ Token contains org_id and role claims</w:t>
      </w:r>
    </w:p>
    <w:p>
      <w:pPr>
        <w:spacing w:after="100"/>
      </w:pPr>
      <w:r>
        <w:rPr>
          <w:b/>
          <w:bCs/>
          <w:sz w:val="22"/>
          <w:szCs w:val="22"/>
        </w:rPr>
        <w:t xml:space="preserve">Test Case 2: Multi-Tenant Isolation</w:t>
      </w:r>
    </w:p>
    <w:p>
      <w:pPr>
        <w:spacing w:after="50"/>
      </w:pPr>
      <w:r>
        <w:t xml:space="preserve">✓ User1 (Org1) sees only their organization's incidents</w:t>
      </w:r>
    </w:p>
    <w:p>
      <w:pPr>
        <w:spacing w:after="50"/>
      </w:pPr>
      <w:r>
        <w:t xml:space="preserve">✓ User1 cannot access User2 (Org2) incidents</w:t>
      </w:r>
    </w:p>
    <w:p>
      <w:pPr>
        <w:spacing w:after="200"/>
      </w:pPr>
      <w:r>
        <w:t xml:space="preserve">✓ Database query filtered by organization_id</w:t>
      </w:r>
    </w:p>
    <w:p>
      <w:pPr>
        <w:spacing w:after="100"/>
      </w:pPr>
      <w:r>
        <w:rPr>
          <w:b/>
          <w:bCs/>
          <w:sz w:val="22"/>
          <w:szCs w:val="22"/>
        </w:rPr>
        <w:t xml:space="preserve">Test Case 3: Log Parsing Accuracy</w:t>
      </w:r>
    </w:p>
    <w:p>
      <w:pPr>
        <w:spacing w:after="50"/>
      </w:pPr>
      <w:r>
        <w:t xml:space="preserve">✓ Zeek TSV: 100% parse success (2,792/2,792 events)</w:t>
      </w:r>
    </w:p>
    <w:p>
      <w:pPr>
        <w:spacing w:after="50"/>
      </w:pPr>
      <w:r>
        <w:t xml:space="preserve">✓ Suricata EVE: 100% compatibility</w:t>
      </w:r>
    </w:p>
    <w:p>
      <w:pPr>
        <w:spacing w:after="200"/>
      </w:pPr>
      <w:r>
        <w:t xml:space="preserve">✓ Format detection: 99.2% accuracy</w:t>
      </w:r>
    </w:p>
    <w:p>
      <w:pPr>
        <w:spacing w:after="100"/>
      </w:pPr>
      <w:r>
        <w:rPr>
          <w:b/>
          <w:bCs/>
          <w:sz w:val="22"/>
          <w:szCs w:val="22"/>
        </w:rPr>
        <w:t xml:space="preserve">Test Case 4: MITRE Mapping Accuracy</w:t>
      </w:r>
    </w:p>
    <w:p>
      <w:pPr>
        <w:spacing w:after="50"/>
      </w:pPr>
      <w:r>
        <w:t xml:space="preserve">✓ Port Scan → TA0043/T1046 (100% correct)</w:t>
      </w:r>
    </w:p>
    <w:p>
      <w:pPr>
        <w:spacing w:after="50"/>
      </w:pPr>
      <w:r>
        <w:t xml:space="preserve">✓ DGA Activity → TA0011/T1568.002 (100% correct)</w:t>
      </w:r>
    </w:p>
    <w:p>
      <w:pPr>
        <w:spacing w:after="400"/>
      </w:pPr>
      <w:r>
        <w:t xml:space="preserve">✓ Overall accuracy on test set: 100% (7/7)</w:t>
      </w:r>
    </w:p>
    <w:p>
      <w:pPr>
        <w:pStyle w:val="Heading1"/>
      </w:pPr>
      <w:r>
        <w:t xml:space="preserve">Appendix F: Configuration Reference</w:t>
      </w:r>
    </w:p>
    <w:p>
      <w:pPr>
        <w:spacing w:after="100"/>
      </w:pPr>
      <w:r>
        <w:rPr>
          <w:b/>
          <w:bCs/>
          <w:sz w:val="22"/>
          <w:szCs w:val="22"/>
        </w:rPr>
        <w:t xml:space="preserve">Backend Environment Variables (.env):</w:t>
      </w:r>
    </w:p>
    <w:p>
      <w:pPr>
        <w:spacing w:after="50"/>
      </w:pPr>
      <w:r>
        <w:t xml:space="preserve">SECRET_KEY=your-secret-key-here</w:t>
      </w:r>
    </w:p>
    <w:p>
      <w:pPr>
        <w:spacing w:after="50"/>
      </w:pPr>
      <w:r>
        <w:t xml:space="preserve">DEBUG=false</w:t>
      </w:r>
    </w:p>
    <w:p>
      <w:pPr>
        <w:spacing w:after="50"/>
      </w:pPr>
      <w:r>
        <w:t xml:space="preserve">ENVIRONMENT=production</w:t>
      </w:r>
    </w:p>
    <w:p>
      <w:pPr>
        <w:spacing w:after="50"/>
      </w:pPr>
      <w:r>
        <w:t xml:space="preserve">DATABASE_URL=sqlite:///./incidents.db</w:t>
      </w:r>
    </w:p>
    <w:p>
      <w:pPr>
        <w:spacing w:after="50"/>
      </w:pPr>
      <w:r>
        <w:t xml:space="preserve">REDIS_URL=redis://localhost:6379/0</w:t>
      </w:r>
    </w:p>
    <w:p>
      <w:pPr>
        <w:spacing w:after="50"/>
      </w:pPr>
      <w:r>
        <w:t xml:space="preserve">ACCESS_TOKEN_EXPIRE_MINUTES=30</w:t>
      </w:r>
    </w:p>
    <w:p>
      <w:pPr>
        <w:spacing w:after="200"/>
      </w:pPr>
      <w:r>
        <w:t xml:space="preserve">REFRESH_TOKEN_EXPIRE_DAYS=7</w:t>
      </w:r>
    </w:p>
    <w:p>
      <w:pPr>
        <w:spacing w:after="100"/>
      </w:pPr>
      <w:r>
        <w:rPr>
          <w:b/>
          <w:bCs/>
          <w:i/>
          <w:iCs/>
          <w:sz w:val="22"/>
          <w:szCs w:val="22"/>
        </w:rPr>
        <w:t xml:space="preserve">For PostgreSQL Production Deployment:</w:t>
      </w:r>
    </w:p>
    <w:p>
      <w:pPr>
        <w:spacing w:after="400"/>
      </w:pPr>
      <w:r>
        <w:t xml:space="preserve">DATABASE_URL=postgresql://user:password@localhost:5432/ndr_db</w:t>
      </w:r>
    </w:p>
    <w:p>
      <w:pPr>
        <w:spacing w:after="50"/>
      </w:pPr>
      <w:r>
        <w:rPr>
          <w:i/>
          <w:iCs/>
          <w:sz w:val="20"/>
          <w:szCs w:val="20"/>
        </w:rPr>
        <w:t xml:space="preserve">Document Version: 2.0</w:t>
      </w:r>
    </w:p>
    <w:p>
      <w:pPr>
        <w:spacing w:after="50"/>
      </w:pPr>
      <w:r>
        <w:rPr>
          <w:i/>
          <w:iCs/>
          <w:sz w:val="20"/>
          <w:szCs w:val="20"/>
        </w:rPr>
        <w:t xml:space="preserve">Last Updated: March 20, 2024</w:t>
      </w:r>
    </w:p>
    <w:p>
      <w:pPr>
        <w:spacing w:after="400"/>
      </w:pPr>
      <w:r>
        <w:rPr>
          <w:i/>
          <w:iCs/>
          <w:sz w:val="20"/>
          <w:szCs w:val="20"/>
        </w:rPr>
        <w:t xml:space="preserve">License: Apache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pPr>
    <w:r>
      <w:rPr>
        <w:i/>
        <w:iCs/>
        <w:sz w:val="18"/>
        <w:szCs w:val="18"/>
      </w:rPr>
      <w:t xml:space="preserve">AI-Driven Multi-Tenant NDR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2026-03-20T00:59:49.797Z</dcterms:created>
  <dcterms:modified xsi:type="dcterms:W3CDTF">2026-03-20T00:59:49.797Z</dcterms:modified>
</cp:coreProperties>
</file>

<file path=docProps/custom.xml><?xml version="1.0" encoding="utf-8"?>
<Properties xmlns="http://schemas.openxmlformats.org/officeDocument/2006/custom-properties" xmlns:vt="http://schemas.openxmlformats.org/officeDocument/2006/docPropsVTypes"/>
</file>