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B5E6B"/>
          <w:sz w:val="34"/>
        </w:rPr>
        <w:t>FS-STD-001  Field Service Standard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BEE"/>
          </w:tcPr>
          <w:p>
            <w:r>
              <w:rPr>
                <w:b/>
              </w:rPr>
              <w:t>Document no.</w:t>
            </w:r>
          </w:p>
        </w:tc>
        <w:tc>
          <w:tcPr>
            <w:tcW w:type="dxa" w:w="2160"/>
          </w:tcPr>
          <w:p>
            <w:r>
              <w:t>FS-STD-001</w:t>
            </w:r>
          </w:p>
        </w:tc>
        <w:tc>
          <w:tcPr>
            <w:tcW w:type="dxa" w:w="2160"/>
            <w:shd w:val="clear" w:color="auto" w:fill="DCEBEE"/>
          </w:tcPr>
          <w:p>
            <w:r>
              <w:rPr>
                <w:b/>
              </w:rPr>
              <w:t>Revision</w:t>
            </w:r>
          </w:p>
        </w:tc>
        <w:tc>
          <w:tcPr>
            <w:tcW w:type="dxa" w:w="2160"/>
          </w:tcPr>
          <w:p>
            <w:r>
              <w:t>4</w:t>
            </w:r>
          </w:p>
        </w:tc>
      </w:tr>
      <w:tr>
        <w:tc>
          <w:tcPr>
            <w:tcW w:type="dxa" w:w="2160"/>
            <w:shd w:val="clear" w:color="auto" w:fill="DCEBEE"/>
          </w:tcPr>
          <w:p>
            <w:r>
              <w:rPr>
                <w:b/>
              </w:rPr>
              <w:t>Effective date</w:t>
            </w:r>
          </w:p>
        </w:tc>
        <w:tc>
          <w:tcPr>
            <w:tcW w:type="dxa" w:w="2160"/>
          </w:tcPr>
          <w:p>
            <w:r>
              <w:t>2026-01-12</w:t>
            </w:r>
          </w:p>
        </w:tc>
        <w:tc>
          <w:tcPr>
            <w:tcW w:type="dxa" w:w="2160"/>
            <w:shd w:val="clear" w:color="auto" w:fill="DCEBEE"/>
          </w:tcPr>
          <w:p>
            <w:r>
              <w:rPr>
                <w:b/>
              </w:rPr>
              <w:t>Next review</w:t>
            </w:r>
          </w:p>
        </w:tc>
        <w:tc>
          <w:tcPr>
            <w:tcW w:type="dxa" w:w="2160"/>
          </w:tcPr>
          <w:p>
            <w:r>
              <w:t>2027-01-12</w:t>
            </w:r>
          </w:p>
        </w:tc>
      </w:tr>
      <w:tr>
        <w:tc>
          <w:tcPr>
            <w:tcW w:type="dxa" w:w="2160"/>
            <w:shd w:val="clear" w:color="auto" w:fill="DCEBEE"/>
          </w:tcPr>
          <w:p>
            <w:r>
              <w:rPr>
                <w:b/>
              </w:rPr>
              <w:t>Owner</w:t>
            </w:r>
          </w:p>
        </w:tc>
        <w:tc>
          <w:tcPr>
            <w:tcW w:type="dxa" w:w="2160"/>
          </w:tcPr>
          <w:p>
            <w:r>
              <w:t>Rachel Lindqvist, Director of Field Service Operations, NA</w:t>
            </w:r>
          </w:p>
        </w:tc>
        <w:tc>
          <w:tcPr>
            <w:tcW w:type="dxa" w:w="2160"/>
            <w:shd w:val="clear" w:color="auto" w:fill="DCEBEE"/>
          </w:tcPr>
          <w:p>
            <w:r>
              <w:rPr>
                <w:b/>
              </w:rPr>
              <w:t>Approved by</w:t>
            </w:r>
          </w:p>
        </w:tc>
        <w:tc>
          <w:tcPr>
            <w:tcW w:type="dxa" w:w="2160"/>
          </w:tcPr>
          <w:p>
            <w:r>
              <w:t>Rachel Lindqvist; Lena Hoffmann (EU)</w:t>
            </w:r>
          </w:p>
        </w:tc>
      </w:tr>
    </w:tbl>
    <w:p/>
    <w:p>
      <w:r>
        <w:rPr>
          <w:i/>
          <w:sz w:val="18"/>
        </w:rPr>
        <w:t>Applies to all Corvane field service staff in North America and Europe. Read section 7 and section 10 even if you read nothing else.</w:t>
      </w:r>
    </w:p>
    <w:p>
      <w:pPr>
        <w:pStyle w:val="Heading1"/>
      </w:pPr>
      <w:r>
        <w:t>1. Purpose</w:t>
      </w:r>
    </w:p>
    <w:p>
      <w:r>
        <w:t>This standard sets the minimum rules for how Corvane Field Services receives, plans, carries out and closes field service work. It applies the same way in every region. Where a site, a customer contract or a controlled procedure sets a stricter rule, the stricter rule applies.</w:t>
      </w:r>
    </w:p>
    <w:p>
      <w:r>
        <w:t>It is written for technicians, supervisors, dispatchers and team leads. It is not a Salesforce user guide. Screen-by-screen instructions are in the Salesforce Field Service quick reference and the Work Order Writing Guide in the Field Service Confluence space.</w:t>
      </w:r>
    </w:p>
    <w:p>
      <w:pPr>
        <w:pStyle w:val="Heading1"/>
      </w:pPr>
      <w:r>
        <w:t>2. Scope</w:t>
      </w:r>
    </w:p>
    <w:p>
      <w:r>
        <w:t>All field service work under Corvane service contracts in North America and Europe, including the former Kyltek Service BV contracts, which moved to Salesforce Field Service in January 2025. This covers breakdowns, planned maintenance, inspections, OEM campaigns and installation support.</w:t>
      </w:r>
    </w:p>
    <w:p>
      <w:r>
        <w:t>It does not cover new installations quoted as projects, workshop repairs, or customer training. Those follow the project process and the workshop quality plan.</w:t>
      </w:r>
    </w:p>
    <w:p>
      <w:pPr>
        <w:pStyle w:val="Heading1"/>
      </w:pPr>
      <w:r>
        <w:t>3. Definitions</w:t>
      </w:r>
    </w:p>
    <w:tbl>
      <w:tblPr>
        <w:tblStyle w:val="TableGrid"/>
        <w:tblW w:type="auto" w:w="0"/>
        <w:tblLook w:firstColumn="1" w:firstRow="1" w:lastColumn="0" w:lastRow="0" w:noHBand="0" w:noVBand="1" w:val="04A0"/>
      </w:tblPr>
      <w:tblGrid>
        <w:gridCol w:w="4320"/>
        <w:gridCol w:w="4320"/>
      </w:tblGrid>
      <w:tr>
        <w:tc>
          <w:tcPr>
            <w:tcW w:type="dxa" w:w="4320"/>
            <w:shd w:val="clear" w:color="auto" w:fill="0B5E6B"/>
          </w:tcPr>
          <w:p>
            <w:r>
              <w:rPr>
                <w:b/>
                <w:color w:val="FFFFFF"/>
              </w:rPr>
              <w:t>Term</w:t>
            </w:r>
          </w:p>
        </w:tc>
        <w:tc>
          <w:tcPr>
            <w:tcW w:type="dxa" w:w="4320"/>
            <w:shd w:val="clear" w:color="auto" w:fill="0B5E6B"/>
          </w:tcPr>
          <w:p>
            <w:r>
              <w:rPr>
                <w:b/>
                <w:color w:val="FFFFFF"/>
              </w:rPr>
              <w:t>Meaning</w:t>
            </w:r>
          </w:p>
        </w:tc>
      </w:tr>
      <w:tr>
        <w:tc>
          <w:tcPr>
            <w:tcW w:type="dxa" w:w="4320"/>
          </w:tcPr>
          <w:p>
            <w:r>
              <w:t>Case</w:t>
            </w:r>
          </w:p>
        </w:tc>
        <w:tc>
          <w:tcPr>
            <w:tcW w:type="dxa" w:w="4320"/>
          </w:tcPr>
          <w:p>
            <w:r>
              <w:t>The record of a customer problem or request in Salesforce. One case per problem per asset. A case can have several work orders.</w:t>
            </w:r>
          </w:p>
        </w:tc>
      </w:tr>
      <w:tr>
        <w:tc>
          <w:tcPr>
            <w:tcW w:type="dxa" w:w="4320"/>
          </w:tcPr>
          <w:p>
            <w:r>
              <w:t>Work order (WO)</w:t>
            </w:r>
          </w:p>
        </w:tc>
        <w:tc>
          <w:tcPr>
            <w:tcW w:type="dxa" w:w="4320"/>
          </w:tcPr>
          <w:p>
            <w:r>
              <w:t>The record of a piece of work to be done on one asset on one visit. It holds the task, the required certification, the parts, the time and the technician's notes.</w:t>
            </w:r>
          </w:p>
        </w:tc>
      </w:tr>
      <w:tr>
        <w:tc>
          <w:tcPr>
            <w:tcW w:type="dxa" w:w="4320"/>
          </w:tcPr>
          <w:p>
            <w:r>
              <w:t>Service appointment</w:t>
            </w:r>
          </w:p>
        </w:tc>
        <w:tc>
          <w:tcPr>
            <w:tcW w:type="dxa" w:w="4320"/>
          </w:tcPr>
          <w:p>
            <w:r>
              <w:t>The scheduled time slot for a work order, with the assigned technician.</w:t>
            </w:r>
          </w:p>
        </w:tc>
      </w:tr>
      <w:tr>
        <w:tc>
          <w:tcPr>
            <w:tcW w:type="dxa" w:w="4320"/>
          </w:tcPr>
          <w:p>
            <w:r>
              <w:t>Supervisor</w:t>
            </w:r>
          </w:p>
        </w:tc>
        <w:tc>
          <w:tcPr>
            <w:tcW w:type="dxa" w:w="4320"/>
          </w:tcPr>
          <w:p>
            <w:r>
              <w:t>The person who approves work orders and assigns technicians for a region or team. In NA the supervisors sit with dispatch in Sacramento; in the EU the team lead in Rotterdam acts as supervisor.</w:t>
            </w:r>
          </w:p>
        </w:tc>
      </w:tr>
      <w:tr>
        <w:tc>
          <w:tcPr>
            <w:tcW w:type="dxa" w:w="4320"/>
          </w:tcPr>
          <w:p>
            <w:r>
              <w:t>Required certification</w:t>
            </w:r>
          </w:p>
        </w:tc>
        <w:tc>
          <w:tcPr>
            <w:tcW w:type="dxa" w:w="4320"/>
          </w:tcPr>
          <w:p>
            <w:r>
              <w:t>The work order field stating which certification the work needs: None, HV, Refrigerant, or Confined space.</w:t>
            </w:r>
          </w:p>
        </w:tc>
      </w:tr>
      <w:tr>
        <w:tc>
          <w:tcPr>
            <w:tcW w:type="dxa" w:w="4320"/>
          </w:tcPr>
          <w:p>
            <w:r>
              <w:t>Service bulletin</w:t>
            </w:r>
          </w:p>
        </w:tc>
        <w:tc>
          <w:tcPr>
            <w:tcW w:type="dxa" w:w="4320"/>
          </w:tcPr>
          <w:p>
            <w:r>
              <w:t>A technical notice from the equipment manufacturer (OEM) about a fault, a change or a corrective action, often for a named serial range.</w:t>
            </w:r>
          </w:p>
        </w:tc>
      </w:tr>
      <w:tr>
        <w:tc>
          <w:tcPr>
            <w:tcW w:type="dxa" w:w="4320"/>
          </w:tcPr>
          <w:p>
            <w:r>
              <w:t>Campaign</w:t>
            </w:r>
          </w:p>
        </w:tc>
        <w:tc>
          <w:tcPr>
            <w:tcW w:type="dxa" w:w="4320"/>
          </w:tcPr>
          <w:p>
            <w:r>
              <w:t>A corrective action that the OEM asks to be carried out on every unit in a serial range, announced by bulletin and identified by a campaign code.</w:t>
            </w:r>
          </w:p>
        </w:tc>
      </w:tr>
      <w:tr>
        <w:tc>
          <w:tcPr>
            <w:tcW w:type="dxa" w:w="4320"/>
          </w:tcPr>
          <w:p>
            <w:r>
              <w:t>Trip</w:t>
            </w:r>
          </w:p>
        </w:tc>
        <w:tc>
          <w:tcPr>
            <w:tcW w:type="dxa" w:w="4320"/>
          </w:tcPr>
          <w:p>
            <w:r>
              <w:t>A protective shutdown of the equipment by its own controller, including shutdowns followed by an automatic restart.</w:t>
            </w:r>
          </w:p>
        </w:tc>
      </w:tr>
      <w:tr>
        <w:tc>
          <w:tcPr>
            <w:tcW w:type="dxa" w:w="4320"/>
          </w:tcPr>
          <w:p>
            <w:r>
              <w:t>Repeat visit</w:t>
            </w:r>
          </w:p>
        </w:tc>
        <w:tc>
          <w:tcPr>
            <w:tcW w:type="dxa" w:w="4320"/>
          </w:tcPr>
          <w:p>
            <w:r>
              <w:t>A visit to the same asset for the same symptom within 30 days of a previous visit that was marked resolved.</w:t>
            </w:r>
          </w:p>
        </w:tc>
      </w:tr>
      <w:tr>
        <w:tc>
          <w:tcPr>
            <w:tcW w:type="dxa" w:w="4320"/>
          </w:tcPr>
          <w:p>
            <w:r>
              <w:t>First-time fix</w:t>
            </w:r>
          </w:p>
        </w:tc>
        <w:tc>
          <w:tcPr>
            <w:tcW w:type="dxa" w:w="4320"/>
          </w:tcPr>
          <w:p>
            <w:r>
              <w:t>A case resolved on the first visit, without a repeat visit within 30 days.</w:t>
            </w:r>
          </w:p>
        </w:tc>
      </w:tr>
      <w:tr>
        <w:tc>
          <w:tcPr>
            <w:tcW w:type="dxa" w:w="4320"/>
          </w:tcPr>
          <w:p>
            <w:r>
              <w:t>Asset history</w:t>
            </w:r>
          </w:p>
        </w:tc>
        <w:tc>
          <w:tcPr>
            <w:tcW w:type="dxa" w:w="4320"/>
          </w:tcPr>
          <w:p>
            <w:r>
              <w:t>Salesforce cases and work orders from 2025; before that, MaintPro for NA assets and the monthly Servio export for EU (ex-Kyltek) assets.</w:t>
            </w:r>
          </w:p>
        </w:tc>
      </w:tr>
    </w:tbl>
    <w:p/>
    <w:p>
      <w:pPr>
        <w:pStyle w:val="Heading1"/>
      </w:pPr>
      <w:r>
        <w:t>4. Roles and responsibilities</w:t>
      </w:r>
    </w:p>
    <w:tbl>
      <w:tblPr>
        <w:tblStyle w:val="TableGrid"/>
        <w:tblW w:type="auto" w:w="0"/>
        <w:tblLook w:firstColumn="1" w:firstRow="1" w:lastColumn="0" w:lastRow="0" w:noHBand="0" w:noVBand="1" w:val="04A0"/>
      </w:tblPr>
      <w:tblGrid>
        <w:gridCol w:w="4320"/>
        <w:gridCol w:w="4320"/>
      </w:tblGrid>
      <w:tr>
        <w:tc>
          <w:tcPr>
            <w:tcW w:type="dxa" w:w="4320"/>
            <w:shd w:val="clear" w:color="auto" w:fill="0B5E6B"/>
          </w:tcPr>
          <w:p>
            <w:r>
              <w:rPr>
                <w:b/>
                <w:color w:val="FFFFFF"/>
              </w:rPr>
              <w:t>Role</w:t>
            </w:r>
          </w:p>
        </w:tc>
        <w:tc>
          <w:tcPr>
            <w:tcW w:type="dxa" w:w="4320"/>
            <w:shd w:val="clear" w:color="auto" w:fill="0B5E6B"/>
          </w:tcPr>
          <w:p>
            <w:r>
              <w:rPr>
                <w:b/>
                <w:color w:val="FFFFFF"/>
              </w:rPr>
              <w:t>Responsible for</w:t>
            </w:r>
          </w:p>
        </w:tc>
      </w:tr>
      <w:tr>
        <w:tc>
          <w:tcPr>
            <w:tcW w:type="dxa" w:w="4320"/>
          </w:tcPr>
          <w:p>
            <w:r>
              <w:t>Technician</w:t>
            </w:r>
          </w:p>
        </w:tc>
        <w:tc>
          <w:tcPr>
            <w:tcW w:type="dxa" w:w="4320"/>
          </w:tcPr>
          <w:p>
            <w:r>
              <w:t>Doing the work safely and to the procedure; checking bulletins and history before repairs (section 8); writing the case resolution (section 10); refusing work they are not certified for.</w:t>
            </w:r>
          </w:p>
        </w:tc>
      </w:tr>
      <w:tr>
        <w:tc>
          <w:tcPr>
            <w:tcW w:type="dxa" w:w="4320"/>
          </w:tcPr>
          <w:p>
            <w:r>
              <w:t>Dispatcher</w:t>
            </w:r>
          </w:p>
        </w:tc>
        <w:tc>
          <w:tcPr>
            <w:tcW w:type="dxa" w:w="4320"/>
          </w:tcPr>
          <w:p>
            <w:r>
              <w:t>Opening and triaging cases, setting the first priority, proposing a technician and a time slot.</w:t>
            </w:r>
          </w:p>
        </w:tc>
      </w:tr>
      <w:tr>
        <w:tc>
          <w:tcPr>
            <w:tcW w:type="dxa" w:w="4320"/>
          </w:tcPr>
          <w:p>
            <w:r>
              <w:t>Supervisor</w:t>
            </w:r>
          </w:p>
        </w:tc>
        <w:tc>
          <w:tcPr>
            <w:tcW w:type="dxa" w:w="4320"/>
          </w:tcPr>
          <w:p>
            <w:r>
              <w:t>Approving every work order before it is scheduled; assigning the technician; checking certifications against the Technician Certification Matrix; reviewing resolutions before cases close.</w:t>
            </w:r>
          </w:p>
        </w:tc>
      </w:tr>
      <w:tr>
        <w:tc>
          <w:tcPr>
            <w:tcW w:type="dxa" w:w="4320"/>
          </w:tcPr>
          <w:p>
            <w:r>
              <w:t>Team lead</w:t>
            </w:r>
          </w:p>
        </w:tc>
        <w:tc>
          <w:tcPr>
            <w:tcW w:type="dxa" w:w="4320"/>
          </w:tcPr>
          <w:p>
            <w:r>
              <w:t>Technical escalation, OEM contact, customer escalations, monthly review of repeat visits and case quality, and keeping the Technician Certification Matrix current for their region.</w:t>
            </w:r>
          </w:p>
        </w:tc>
      </w:tr>
      <w:tr>
        <w:tc>
          <w:tcPr>
            <w:tcW w:type="dxa" w:w="4320"/>
          </w:tcPr>
          <w:p>
            <w:r>
              <w:t>Director of Field Service Operations</w:t>
            </w:r>
          </w:p>
        </w:tc>
        <w:tc>
          <w:tcPr>
            <w:tcW w:type="dxa" w:w="4320"/>
          </w:tcPr>
          <w:p>
            <w:r>
              <w:t>Owner of this standard and of the controlled procedures. Quarterly review of field service performance with the team leads.</w:t>
            </w:r>
          </w:p>
        </w:tc>
      </w:tr>
    </w:tbl>
    <w:p/>
    <w:p>
      <w:pPr>
        <w:pStyle w:val="Heading1"/>
      </w:pPr>
      <w:r>
        <w:t>5. Case lifecycle</w:t>
      </w:r>
    </w:p>
    <w:p>
      <w:pPr>
        <w:pStyle w:val="Heading2"/>
      </w:pPr>
      <w:r>
        <w:t>5.1 Opening a case</w:t>
      </w:r>
    </w:p>
    <w:p>
      <w:r>
        <w:t>Cases are opened by the dispatcher from a customer phone call, by email-to-case from the regional service mailbox, from the customer portal, or by a technician who finds a problem during other work. Every case must be linked to an asset ID from the fleet register. If the asset cannot be identified at intake, the case may be saved with "Asset to be confirmed", but the asset must be set before a work order is scheduled.</w:t>
      </w:r>
    </w:p>
    <w:p>
      <w:pPr>
        <w:pStyle w:val="Heading2"/>
      </w:pPr>
      <w:r>
        <w:t>5.2 Triage</w:t>
      </w:r>
    </w:p>
    <w:p>
      <w:r>
        <w:t>Within 30 minutes of a case being opened during business hours, the dispatcher sets the priority (section 9), checks for other open cases on the same asset and merges duplicates, and reads the last 12 months of asset history. If the same symptom has a case resolved in the last 30 days, the dispatcher reopens that case instead of opening a new one and flags it as a repeat visit.</w:t>
      </w:r>
    </w:p>
    <w:p>
      <w:pPr>
        <w:pStyle w:val="Heading2"/>
      </w:pPr>
      <w:r>
        <w:t>5.3 Case statuses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0B5E6B"/>
          </w:tcPr>
          <w:p>
            <w:r>
              <w:rPr>
                <w:b/>
                <w:color w:val="FFFFFF"/>
              </w:rPr>
              <w:t>Status</w:t>
            </w:r>
          </w:p>
        </w:tc>
        <w:tc>
          <w:tcPr>
            <w:tcW w:type="dxa" w:w="2880"/>
            <w:shd w:val="clear" w:color="auto" w:fill="0B5E6B"/>
          </w:tcPr>
          <w:p>
            <w:r>
              <w:rPr>
                <w:b/>
                <w:color w:val="FFFFFF"/>
              </w:rPr>
              <w:t>Meaning</w:t>
            </w:r>
          </w:p>
        </w:tc>
        <w:tc>
          <w:tcPr>
            <w:tcW w:type="dxa" w:w="2880"/>
            <w:shd w:val="clear" w:color="auto" w:fill="0B5E6B"/>
          </w:tcPr>
          <w:p>
            <w:r>
              <w:rPr>
                <w:b/>
                <w:color w:val="FFFFFF"/>
              </w:rPr>
              <w:t>Set by</w:t>
            </w:r>
          </w:p>
        </w:tc>
      </w:tr>
      <w:tr>
        <w:tc>
          <w:tcPr>
            <w:tcW w:type="dxa" w:w="2880"/>
          </w:tcPr>
          <w:p>
            <w:r>
              <w:t>New</w:t>
            </w:r>
          </w:p>
        </w:tc>
        <w:tc>
          <w:tcPr>
            <w:tcW w:type="dxa" w:w="2880"/>
          </w:tcPr>
          <w:p>
            <w:r>
              <w:t>Case received, not yet triaged.</w:t>
            </w:r>
          </w:p>
        </w:tc>
        <w:tc>
          <w:tcPr>
            <w:tcW w:type="dxa" w:w="2880"/>
          </w:tcPr>
          <w:p>
            <w:r>
              <w:t>System</w:t>
            </w:r>
          </w:p>
        </w:tc>
      </w:tr>
      <w:tr>
        <w:tc>
          <w:tcPr>
            <w:tcW w:type="dxa" w:w="2880"/>
          </w:tcPr>
          <w:p>
            <w:r>
              <w:t>Triage</w:t>
            </w:r>
          </w:p>
        </w:tc>
        <w:tc>
          <w:tcPr>
            <w:tcW w:type="dxa" w:w="2880"/>
          </w:tcPr>
          <w:p>
            <w:r>
              <w:t>Priority set, history checked, work order being prepared.</w:t>
            </w:r>
          </w:p>
        </w:tc>
        <w:tc>
          <w:tcPr>
            <w:tcW w:type="dxa" w:w="2880"/>
          </w:tcPr>
          <w:p>
            <w:r>
              <w:t>Dispatcher</w:t>
            </w:r>
          </w:p>
        </w:tc>
      </w:tr>
      <w:tr>
        <w:tc>
          <w:tcPr>
            <w:tcW w:type="dxa" w:w="2880"/>
          </w:tcPr>
          <w:p>
            <w:r>
              <w:t>In Progress</w:t>
            </w:r>
          </w:p>
        </w:tc>
        <w:tc>
          <w:tcPr>
            <w:tcW w:type="dxa" w:w="2880"/>
          </w:tcPr>
          <w:p>
            <w:r>
              <w:t>At least one approved work order exists.</w:t>
            </w:r>
          </w:p>
        </w:tc>
        <w:tc>
          <w:tcPr>
            <w:tcW w:type="dxa" w:w="2880"/>
          </w:tcPr>
          <w:p>
            <w:r>
              <w:t>System</w:t>
            </w:r>
          </w:p>
        </w:tc>
      </w:tr>
      <w:tr>
        <w:tc>
          <w:tcPr>
            <w:tcW w:type="dxa" w:w="2880"/>
          </w:tcPr>
          <w:p>
            <w:r>
              <w:t>Waiting on Parts</w:t>
            </w:r>
          </w:p>
        </w:tc>
        <w:tc>
          <w:tcPr>
            <w:tcW w:type="dxa" w:w="2880"/>
          </w:tcPr>
          <w:p>
            <w:r>
              <w:t>Work cannot continue until parts arrive. Parts order number in the case.</w:t>
            </w:r>
          </w:p>
        </w:tc>
        <w:tc>
          <w:tcPr>
            <w:tcW w:type="dxa" w:w="2880"/>
          </w:tcPr>
          <w:p>
            <w:r>
              <w:t>Technician or dispatcher</w:t>
            </w:r>
          </w:p>
        </w:tc>
      </w:tr>
      <w:tr>
        <w:tc>
          <w:tcPr>
            <w:tcW w:type="dxa" w:w="2880"/>
          </w:tcPr>
          <w:p>
            <w:r>
              <w:t>Waiting on Customer</w:t>
            </w:r>
          </w:p>
        </w:tc>
        <w:tc>
          <w:tcPr>
            <w:tcW w:type="dxa" w:w="2880"/>
          </w:tcPr>
          <w:p>
            <w:r>
              <w:t>Waiting for access, a shutdown window, or a decision by the customer.</w:t>
            </w:r>
          </w:p>
        </w:tc>
        <w:tc>
          <w:tcPr>
            <w:tcW w:type="dxa" w:w="2880"/>
          </w:tcPr>
          <w:p>
            <w:r>
              <w:t>Technician or dispatcher</w:t>
            </w:r>
          </w:p>
        </w:tc>
      </w:tr>
      <w:tr>
        <w:tc>
          <w:tcPr>
            <w:tcW w:type="dxa" w:w="2880"/>
          </w:tcPr>
          <w:p>
            <w:r>
              <w:t>Monitoring</w:t>
            </w:r>
          </w:p>
        </w:tc>
        <w:tc>
          <w:tcPr>
            <w:tcW w:type="dxa" w:w="2880"/>
          </w:tcPr>
          <w:p>
            <w:r>
              <w:t>A fix has been applied but is not yet proven, for example after an intermittent fault.</w:t>
            </w:r>
          </w:p>
        </w:tc>
        <w:tc>
          <w:tcPr>
            <w:tcW w:type="dxa" w:w="2880"/>
          </w:tcPr>
          <w:p>
            <w:r>
              <w:t>Technician</w:t>
            </w:r>
          </w:p>
        </w:tc>
      </w:tr>
      <w:tr>
        <w:tc>
          <w:tcPr>
            <w:tcW w:type="dxa" w:w="2880"/>
          </w:tcPr>
          <w:p>
            <w:r>
              <w:t>Resolved</w:t>
            </w:r>
          </w:p>
        </w:tc>
        <w:tc>
          <w:tcPr>
            <w:tcW w:type="dxa" w:w="2880"/>
          </w:tcPr>
          <w:p>
            <w:r>
              <w:t>Work complete, resolution written.</w:t>
            </w:r>
          </w:p>
        </w:tc>
        <w:tc>
          <w:tcPr>
            <w:tcW w:type="dxa" w:w="2880"/>
          </w:tcPr>
          <w:p>
            <w:r>
              <w:t>Technician</w:t>
            </w:r>
          </w:p>
        </w:tc>
      </w:tr>
      <w:tr>
        <w:tc>
          <w:tcPr>
            <w:tcW w:type="dxa" w:w="2880"/>
          </w:tcPr>
          <w:p>
            <w:r>
              <w:t>Closed</w:t>
            </w:r>
          </w:p>
        </w:tc>
        <w:tc>
          <w:tcPr>
            <w:tcW w:type="dxa" w:w="2880"/>
          </w:tcPr>
          <w:p>
            <w:r>
              <w:t>Resolution reviewed. Closes automatically 7 days after Resolved unless the customer reopens it.</w:t>
            </w:r>
          </w:p>
        </w:tc>
        <w:tc>
          <w:tcPr>
            <w:tcW w:type="dxa" w:w="2880"/>
          </w:tcPr>
          <w:p>
            <w:r>
              <w:t>Supervisor or system</w:t>
            </w:r>
          </w:p>
        </w:tc>
      </w:tr>
    </w:tbl>
    <w:p/>
    <w:p>
      <w:pPr>
        <w:pStyle w:val="Heading2"/>
      </w:pPr>
      <w:r>
        <w:t>5.4 Monitoring</w:t>
      </w:r>
    </w:p>
    <w:p>
      <w:r>
        <w:t>Monitoring is for faults that cannot be proven fixed on the day. The technician writes in the case what is being monitored, how (controller log, customer feedback, a follow-up reading) and until when. A case may stay in Monitoring for at most 30 days. After that it is resolved with the evidence, or escalated to the team lead. Monitoring is not a place to park cases that nobody owns.</w:t>
      </w:r>
    </w:p>
    <w:p>
      <w:pPr>
        <w:pStyle w:val="Heading2"/>
      </w:pPr>
      <w:r>
        <w:t>5.5 Resolving and closing</w:t>
      </w:r>
    </w:p>
    <w:p>
      <w:r>
        <w:t>The technician resolves the case when the work is done and the resolution is written to the standard in section 10. The supervisor reads the resolution before the case closes and sends it back if it does not meet the standard. A case reopened within 30 days for the same symptom counts as a repeat visit.</w:t>
      </w:r>
    </w:p>
    <w:p>
      <w:pPr>
        <w:pStyle w:val="Heading1"/>
      </w:pPr>
      <w:r>
        <w:t>6. Work order lifecycle</w:t>
      </w:r>
    </w:p>
    <w:p>
      <w:pPr>
        <w:pStyle w:val="Heading2"/>
      </w:pPr>
      <w:r>
        <w:t>6.1 Creating a work order</w:t>
      </w:r>
    </w:p>
    <w:p>
      <w:r>
        <w:t>Work orders are created from the case, one per asset per visit. The required fields are listed in the Work Order Writing Guide. The ones most often missed are:</w:t>
      </w:r>
    </w:p>
    <w:p>
      <w:pPr>
        <w:pStyle w:val="ListBullet"/>
      </w:pPr>
      <w:r>
        <w:t>Required certification (section 7). It is mandatory. "Not sure" is not a value; ask the team lead.</w:t>
      </w:r>
    </w:p>
    <w:p>
      <w:pPr>
        <w:pStyle w:val="ListBullet"/>
      </w:pPr>
      <w:r>
        <w:t>Symptom as reported, and any alarm or fault code with the date and time it appeared.</w:t>
      </w:r>
    </w:p>
    <w:p>
      <w:pPr>
        <w:pStyle w:val="ListBullet"/>
      </w:pPr>
      <w:r>
        <w:t>Procedure or manual section the technician is expected to use, where known.</w:t>
      </w:r>
    </w:p>
    <w:p>
      <w:pPr>
        <w:pStyle w:val="ListBullet"/>
      </w:pPr>
      <w:r>
        <w:t>Site permits needed: site work permit, isolation, confined space, work at height, hot work.</w:t>
      </w:r>
    </w:p>
    <w:p>
      <w:pPr>
        <w:pStyle w:val="ListBullet"/>
      </w:pPr>
      <w:r>
        <w:t>Parts expected, with part numbers, so they can be checked against the van stock before the visit.</w:t>
      </w:r>
    </w:p>
    <w:p>
      <w:pPr>
        <w:pStyle w:val="ListBullet"/>
      </w:pPr>
      <w:r>
        <w:t>Campaign code, when the work is done under an OEM campaign. Without it the OEM does not pay for the work.</w:t>
      </w:r>
    </w:p>
    <w:p>
      <w:pPr>
        <w:pStyle w:val="Heading2"/>
      </w:pPr>
      <w:r>
        <w:t>6.2 Supervisor approval before scheduling</w:t>
      </w:r>
    </w:p>
    <w:p>
      <w:r>
        <w:t>No work order may be scheduled until a supervisor has approved it. Approval means the supervisor has checked that:</w:t>
      </w:r>
    </w:p>
    <w:p>
      <w:pPr>
        <w:pStyle w:val="ListBullet"/>
      </w:pPr>
      <w:r>
        <w:t>the asset is correct and the work order describes the problem clearly enough for someone who has not seen the case;</w:t>
      </w:r>
    </w:p>
    <w:p>
      <w:pPr>
        <w:pStyle w:val="ListBullet"/>
      </w:pPr>
      <w:r>
        <w:t>the required certification is set correctly for the work described;</w:t>
      </w:r>
    </w:p>
    <w:p>
      <w:pPr>
        <w:pStyle w:val="ListBullet"/>
      </w:pPr>
      <w:r>
        <w:t>the proposed technician holds that certification, valid on the day of the visit;</w:t>
      </w:r>
    </w:p>
    <w:p>
      <w:pPr>
        <w:pStyle w:val="ListBullet"/>
      </w:pPr>
      <w:r>
        <w:t>known bulletins and campaigns for the serial have been checked, or are listed for the technician to check (section 8);</w:t>
      </w:r>
    </w:p>
    <w:p>
      <w:pPr>
        <w:pStyle w:val="ListBullet"/>
      </w:pPr>
      <w:r>
        <w:t>parts and permits are arranged or planned.</w:t>
      </w:r>
    </w:p>
    <w:p>
      <w:r>
        <w:t>Exception: a Critical case may be dispatched on the verbal approval of the on-call supervisor. The supervisor records the approval in Salesforce within 4 hours. The certification rules in section 7 still apply in full.</w:t>
      </w:r>
    </w:p>
    <w:p>
      <w:pPr>
        <w:pStyle w:val="Heading2"/>
      </w:pPr>
      <w:r>
        <w:t>6.3 Work order statuses</w:t>
      </w:r>
    </w:p>
    <w:tbl>
      <w:tblPr>
        <w:tblStyle w:val="TableGrid"/>
        <w:tblW w:type="auto" w:w="0"/>
        <w:tblLook w:firstColumn="1" w:firstRow="1" w:lastColumn="0" w:lastRow="0" w:noHBand="0" w:noVBand="1" w:val="04A0"/>
      </w:tblPr>
      <w:tblGrid>
        <w:gridCol w:w="4320"/>
        <w:gridCol w:w="4320"/>
      </w:tblGrid>
      <w:tr>
        <w:tc>
          <w:tcPr>
            <w:tcW w:type="dxa" w:w="4320"/>
            <w:shd w:val="clear" w:color="auto" w:fill="0B5E6B"/>
          </w:tcPr>
          <w:p>
            <w:r>
              <w:rPr>
                <w:b/>
                <w:color w:val="FFFFFF"/>
              </w:rPr>
              <w:t>Status</w:t>
            </w:r>
          </w:p>
        </w:tc>
        <w:tc>
          <w:tcPr>
            <w:tcW w:type="dxa" w:w="4320"/>
            <w:shd w:val="clear" w:color="auto" w:fill="0B5E6B"/>
          </w:tcPr>
          <w:p>
            <w:r>
              <w:rPr>
                <w:b/>
                <w:color w:val="FFFFFF"/>
              </w:rPr>
              <w:t>Meaning</w:t>
            </w:r>
          </w:p>
        </w:tc>
      </w:tr>
      <w:tr>
        <w:tc>
          <w:tcPr>
            <w:tcW w:type="dxa" w:w="4320"/>
          </w:tcPr>
          <w:p>
            <w:r>
              <w:t>New</w:t>
            </w:r>
          </w:p>
        </w:tc>
        <w:tc>
          <w:tcPr>
            <w:tcW w:type="dxa" w:w="4320"/>
          </w:tcPr>
          <w:p>
            <w:r>
              <w:t>Created, not yet approved.</w:t>
            </w:r>
          </w:p>
        </w:tc>
      </w:tr>
      <w:tr>
        <w:tc>
          <w:tcPr>
            <w:tcW w:type="dxa" w:w="4320"/>
          </w:tcPr>
          <w:p>
            <w:r>
              <w:t>Approved</w:t>
            </w:r>
          </w:p>
        </w:tc>
        <w:tc>
          <w:tcPr>
            <w:tcW w:type="dxa" w:w="4320"/>
          </w:tcPr>
          <w:p>
            <w:r>
              <w:t>Supervisor approved. Technician assigned.</w:t>
            </w:r>
          </w:p>
        </w:tc>
      </w:tr>
      <w:tr>
        <w:tc>
          <w:tcPr>
            <w:tcW w:type="dxa" w:w="4320"/>
          </w:tcPr>
          <w:p>
            <w:r>
              <w:t>Scheduled</w:t>
            </w:r>
          </w:p>
        </w:tc>
        <w:tc>
          <w:tcPr>
            <w:tcW w:type="dxa" w:w="4320"/>
          </w:tcPr>
          <w:p>
            <w:r>
              <w:t>Service appointment booked with the customer.</w:t>
            </w:r>
          </w:p>
        </w:tc>
      </w:tr>
      <w:tr>
        <w:tc>
          <w:tcPr>
            <w:tcW w:type="dxa" w:w="4320"/>
          </w:tcPr>
          <w:p>
            <w:r>
              <w:t>Dispatched</w:t>
            </w:r>
          </w:p>
        </w:tc>
        <w:tc>
          <w:tcPr>
            <w:tcW w:type="dxa" w:w="4320"/>
          </w:tcPr>
          <w:p>
            <w:r>
              <w:t>Sent to the technician's mobile app.</w:t>
            </w:r>
          </w:p>
        </w:tc>
      </w:tr>
      <w:tr>
        <w:tc>
          <w:tcPr>
            <w:tcW w:type="dxa" w:w="4320"/>
          </w:tcPr>
          <w:p>
            <w:r>
              <w:t>In Progress</w:t>
            </w:r>
          </w:p>
        </w:tc>
        <w:tc>
          <w:tcPr>
            <w:tcW w:type="dxa" w:w="4320"/>
          </w:tcPr>
          <w:p>
            <w:r>
              <w:t>Technician checked in on site.</w:t>
            </w:r>
          </w:p>
        </w:tc>
      </w:tr>
      <w:tr>
        <w:tc>
          <w:tcPr>
            <w:tcW w:type="dxa" w:w="4320"/>
          </w:tcPr>
          <w:p>
            <w:r>
              <w:t>Completed</w:t>
            </w:r>
          </w:p>
        </w:tc>
        <w:tc>
          <w:tcPr>
            <w:tcW w:type="dxa" w:w="4320"/>
          </w:tcPr>
          <w:p>
            <w:r>
              <w:t>Work done, time and parts logged, notes written.</w:t>
            </w:r>
          </w:p>
        </w:tc>
      </w:tr>
      <w:tr>
        <w:tc>
          <w:tcPr>
            <w:tcW w:type="dxa" w:w="4320"/>
          </w:tcPr>
          <w:p>
            <w:r>
              <w:t>Cannot Complete</w:t>
            </w:r>
          </w:p>
        </w:tc>
        <w:tc>
          <w:tcPr>
            <w:tcW w:type="dxa" w:w="4320"/>
          </w:tcPr>
          <w:p>
            <w:r>
              <w:t>Work stopped. A reason is required: parts, access, certification not available on site, customer refused, unsafe condition.</w:t>
            </w:r>
          </w:p>
        </w:tc>
      </w:tr>
      <w:tr>
        <w:tc>
          <w:tcPr>
            <w:tcW w:type="dxa" w:w="4320"/>
          </w:tcPr>
          <w:p>
            <w:r>
              <w:t>Closed</w:t>
            </w:r>
          </w:p>
        </w:tc>
        <w:tc>
          <w:tcPr>
            <w:tcW w:type="dxa" w:w="4320"/>
          </w:tcPr>
          <w:p>
            <w:r>
              <w:t>Reviewed with the case.</w:t>
            </w:r>
          </w:p>
        </w:tc>
      </w:tr>
    </w:tbl>
    <w:p/>
    <w:p>
      <w:pPr>
        <w:pStyle w:val="Heading2"/>
      </w:pPr>
      <w:r>
        <w:t>6.4 On arrival</w:t>
      </w:r>
    </w:p>
    <w:p>
      <w:r>
        <w:t>Before starting, the technician reads the work order and the case, checks in with the site contact, and confirms that the work matches the required certification. If the job turns out to need a certification the technician does not hold, the technician stops, sets the work order to Cannot Complete with the reason, and calls the supervisor. Do not carry on "just to help the customer". Write down the readings and observations you are allowed to take so the next visit starts further ahead.</w:t>
      </w:r>
    </w:p>
    <w:p>
      <w:pPr>
        <w:pStyle w:val="Heading1"/>
      </w:pPr>
      <w:r>
        <w:t>7. Certifications and assignment</w:t>
      </w:r>
    </w:p>
    <w:p>
      <w:pPr>
        <w:pStyle w:val="Heading2"/>
      </w:pPr>
      <w:r>
        <w:t>7.1 Required certification on every work order</w:t>
      </w:r>
    </w:p>
    <w:p>
      <w:r>
        <w:t>Every work order must state the certification required for the work in the Required certification field:</w:t>
      </w:r>
    </w:p>
    <w:tbl>
      <w:tblPr>
        <w:tblStyle w:val="TableGrid"/>
        <w:tblW w:type="auto" w:w="0"/>
        <w:tblLook w:firstColumn="1" w:firstRow="1" w:lastColumn="0" w:lastRow="0" w:noHBand="0" w:noVBand="1" w:val="04A0"/>
      </w:tblPr>
      <w:tblGrid>
        <w:gridCol w:w="4320"/>
        <w:gridCol w:w="4320"/>
      </w:tblGrid>
      <w:tr>
        <w:tc>
          <w:tcPr>
            <w:tcW w:type="dxa" w:w="4320"/>
            <w:shd w:val="clear" w:color="auto" w:fill="0B5E6B"/>
          </w:tcPr>
          <w:p>
            <w:r>
              <w:rPr>
                <w:b/>
                <w:color w:val="FFFFFF"/>
              </w:rPr>
              <w:t>Value</w:t>
            </w:r>
          </w:p>
        </w:tc>
        <w:tc>
          <w:tcPr>
            <w:tcW w:type="dxa" w:w="4320"/>
            <w:shd w:val="clear" w:color="auto" w:fill="0B5E6B"/>
          </w:tcPr>
          <w:p>
            <w:r>
              <w:rPr>
                <w:b/>
                <w:color w:val="FFFFFF"/>
              </w:rPr>
              <w:t>When it applies</w:t>
            </w:r>
          </w:p>
        </w:tc>
      </w:tr>
      <w:tr>
        <w:tc>
          <w:tcPr>
            <w:tcW w:type="dxa" w:w="4320"/>
          </w:tcPr>
          <w:p>
            <w:r>
              <w:t>None</w:t>
            </w:r>
          </w:p>
        </w:tc>
        <w:tc>
          <w:tcPr>
            <w:tcW w:type="dxa" w:w="4320"/>
          </w:tcPr>
          <w:p>
            <w:r>
              <w:t>Mechanical and routine work with no exposure to live parts, refrigerant or confined spaces.</w:t>
            </w:r>
          </w:p>
        </w:tc>
      </w:tr>
      <w:tr>
        <w:tc>
          <w:tcPr>
            <w:tcW w:type="dxa" w:w="4320"/>
          </w:tcPr>
          <w:p>
            <w:r>
              <w:t>HV</w:t>
            </w:r>
          </w:p>
        </w:tc>
        <w:tc>
          <w:tcPr>
            <w:tcW w:type="dxa" w:w="4320"/>
          </w:tcPr>
          <w:p>
            <w:r>
              <w:t>Any work inside an enclosure with exposed live parts on power circuits, for example a VFD cabinet, a starter panel or a motor terminal box. See HV-PROC-02.</w:t>
            </w:r>
          </w:p>
        </w:tc>
      </w:tr>
      <w:tr>
        <w:tc>
          <w:tcPr>
            <w:tcW w:type="dxa" w:w="4320"/>
          </w:tcPr>
          <w:p>
            <w:r>
              <w:t>Refrigerant</w:t>
            </w:r>
          </w:p>
        </w:tc>
        <w:tc>
          <w:tcPr>
            <w:tcW w:type="dxa" w:w="4320"/>
          </w:tcPr>
          <w:p>
            <w:r>
              <w:t>Connecting to, opening, recovering or charging a refrigerant circuit. EPA Section 608 in the US; EU F-gas category I in the EU.</w:t>
            </w:r>
          </w:p>
        </w:tc>
      </w:tr>
      <w:tr>
        <w:tc>
          <w:tcPr>
            <w:tcW w:type="dxa" w:w="4320"/>
          </w:tcPr>
          <w:p>
            <w:r>
              <w:t>Confined space</w:t>
            </w:r>
          </w:p>
        </w:tc>
        <w:tc>
          <w:tcPr>
            <w:tcW w:type="dxa" w:w="4320"/>
          </w:tcPr>
          <w:p>
            <w:r>
              <w:t>Entry into a permit-required confined space, such as the pump pits at Fresno. See CS-PROC-03.</w:t>
            </w:r>
          </w:p>
        </w:tc>
      </w:tr>
    </w:tbl>
    <w:p/>
    <w:p>
      <w:r>
        <w:t>If more than one applies, select all that apply. If the work may turn into certified work (for example a low suction pressure alarm on a chiller that may need refrigerant added), set the certification for the worst case.</w:t>
      </w:r>
    </w:p>
    <w:p>
      <w:pPr>
        <w:pStyle w:val="Heading2"/>
      </w:pPr>
      <w:r>
        <w:t>7.2 The supervisor assigns</w:t>
      </w:r>
    </w:p>
    <w:p>
      <w:r>
        <w:t>The supervisor assigns the technician to every work order that requires a certification. Dispatchers and technicians may propose a name, but only the supervisor confirms the assignment, after checking the Technician Certification Matrix. Technicians may not assign themselves, or swap certified work orders with a colleague, without the supervisor.</w:t>
      </w:r>
    </w:p>
    <w:p>
      <w:pPr>
        <w:pStyle w:val="Heading2"/>
      </w:pPr>
      <w:r>
        <w:t>7.3 What counts as certified</w:t>
      </w:r>
    </w:p>
    <w:p>
      <w:pPr>
        <w:pStyle w:val="ListBullet"/>
      </w:pPr>
      <w:r>
        <w:t>Only the Technician Certification Matrix counts. The skills shown in Salesforce are copied from it and may lag.</w:t>
      </w:r>
    </w:p>
    <w:p>
      <w:pPr>
        <w:pStyle w:val="ListBullet"/>
      </w:pPr>
      <w:r>
        <w:t>An expired certificate is no certificate. Watch the expiry dates; the team lead flags renewals 60 days ahead.</w:t>
      </w:r>
    </w:p>
    <w:p>
      <w:pPr>
        <w:pStyle w:val="ListBullet"/>
      </w:pPr>
      <w:r>
        <w:t>A technician working towards a certification may assist a certified technician who is present on site, but may not carry out the certified steps. For refrigerant work this is also the law.</w:t>
      </w:r>
    </w:p>
    <w:p>
      <w:pPr>
        <w:pStyle w:val="Heading2"/>
      </w:pPr>
      <w:r>
        <w:t>7.4 Restricted documents</w:t>
      </w:r>
    </w:p>
    <w:p>
      <w:r>
        <w:t>Procedures for certified work are restricted in SharePoint to the people who hold the certification. Do not forward, print for others, or copy their steps into wiki pages, Teams chats or notes. If a colleague needs the procedure, they need the certification first.</w:t>
      </w:r>
    </w:p>
    <w:p>
      <w:pPr>
        <w:pStyle w:val="Heading1"/>
      </w:pPr>
      <w:r>
        <w:t>8. Before starting repairs: bulletins, campaigns and history</w:t>
      </w:r>
    </w:p>
    <w:p>
      <w:r>
        <w:t>Before any corrective repair, and before replacing any part, the technician checks:</w:t>
      </w:r>
    </w:p>
    <w:p>
      <w:pPr>
        <w:pStyle w:val="ListNumber"/>
      </w:pPr>
      <w:r>
        <w:t>Open OEM service bulletins and campaigns for the model and the serial number. Bulletins are in SharePoint under Field Procedures &gt; OEM Bulletins and on the OEM portals. Check the serial on the nameplate, not only the model: many bulletins only apply to a serial range.</w:t>
      </w:r>
    </w:p>
    <w:p>
      <w:pPr>
        <w:pStyle w:val="ListNumber"/>
      </w:pPr>
      <w:r>
        <w:t>The asset history for the last 12 months: earlier cases, parts replaced, alarms, firmware level.</w:t>
      </w:r>
    </w:p>
    <w:p>
      <w:pPr>
        <w:pStyle w:val="ListNumber"/>
      </w:pPr>
      <w:r>
        <w:t>Other open cases on the same asset.</w:t>
      </w:r>
    </w:p>
    <w:p>
      <w:r>
        <w:t>Where a bulletin conflicts with the OEM manual, the bulletin applies to the serial range it names. Where a campaign applies to the unit and covers the symptom, the campaign work is done first, or the case is escalated to the team lead, before other repairs aimed at the same symptom.</w:t>
      </w:r>
    </w:p>
    <w:p>
      <w:r>
        <w:t>If the same part has already been replaced on the same asset in the last 90 days, do not replace it again without calling the team lead. Two identical parts failing in a row usually means the part is not the cause.</w:t>
      </w:r>
    </w:p>
    <w:p>
      <w:r>
        <w:t>Write in the work order notes what you checked, for example "Bulletins checked: none applicable to this serial". A blank means it was not checked.</w:t>
      </w:r>
    </w:p>
    <w:p>
      <w:pPr>
        <w:pStyle w:val="Heading1"/>
      </w:pPr>
      <w:r>
        <w:t>9. Priority and escalation</w:t>
      </w:r>
    </w:p>
    <w:p>
      <w:pPr>
        <w:pStyle w:val="Heading2"/>
      </w:pPr>
      <w:r>
        <w:t>9.1 Priorities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0B5E6B"/>
          </w:tcPr>
          <w:p>
            <w:r>
              <w:rPr>
                <w:b/>
                <w:color w:val="FFFFFF"/>
              </w:rPr>
              <w:t>Priority</w:t>
            </w:r>
          </w:p>
        </w:tc>
        <w:tc>
          <w:tcPr>
            <w:tcW w:type="dxa" w:w="2880"/>
            <w:shd w:val="clear" w:color="auto" w:fill="0B5E6B"/>
          </w:tcPr>
          <w:p>
            <w:r>
              <w:rPr>
                <w:b/>
                <w:color w:val="FFFFFF"/>
              </w:rPr>
              <w:t>Definition</w:t>
            </w:r>
          </w:p>
        </w:tc>
        <w:tc>
          <w:tcPr>
            <w:tcW w:type="dxa" w:w="2880"/>
            <w:shd w:val="clear" w:color="auto" w:fill="0B5E6B"/>
          </w:tcPr>
          <w:p>
            <w:r>
              <w:rPr>
                <w:b/>
                <w:color w:val="FFFFFF"/>
              </w:rPr>
              <w:t>Target response</w:t>
            </w:r>
          </w:p>
        </w:tc>
      </w:tr>
      <w:tr>
        <w:tc>
          <w:tcPr>
            <w:tcW w:type="dxa" w:w="2880"/>
          </w:tcPr>
          <w:p>
            <w:r>
              <w:t>Critical</w:t>
            </w:r>
          </w:p>
        </w:tc>
        <w:tc>
          <w:tcPr>
            <w:tcW w:type="dxa" w:w="2880"/>
          </w:tcPr>
          <w:p>
            <w:r>
              <w:t>Safety risk to people, or the customer's production or cold chain stopped with no standby equipment.</w:t>
            </w:r>
          </w:p>
        </w:tc>
        <w:tc>
          <w:tcPr>
            <w:tcW w:type="dxa" w:w="2880"/>
          </w:tcPr>
          <w:p>
            <w:r>
              <w:t>Same day. The supervisor phones the on-call technician.</w:t>
            </w:r>
          </w:p>
        </w:tc>
      </w:tr>
      <w:tr>
        <w:tc>
          <w:tcPr>
            <w:tcW w:type="dxa" w:w="2880"/>
          </w:tcPr>
          <w:p>
            <w:r>
              <w:t>High</w:t>
            </w:r>
          </w:p>
        </w:tc>
        <w:tc>
          <w:tcPr>
            <w:tcW w:type="dxa" w:w="2880"/>
          </w:tcPr>
          <w:p>
            <w:r>
              <w:t>Equipment down with standby running, or production at risk; or raised to High by a rule in 9.2.</w:t>
            </w:r>
          </w:p>
        </w:tc>
        <w:tc>
          <w:tcPr>
            <w:tcW w:type="dxa" w:w="2880"/>
          </w:tcPr>
          <w:p>
            <w:r>
              <w:t>Next business day</w:t>
            </w:r>
          </w:p>
        </w:tc>
      </w:tr>
      <w:tr>
        <w:tc>
          <w:tcPr>
            <w:tcW w:type="dxa" w:w="2880"/>
          </w:tcPr>
          <w:p>
            <w:r>
              <w:t>Medium</w:t>
            </w:r>
          </w:p>
        </w:tc>
        <w:tc>
          <w:tcPr>
            <w:tcW w:type="dxa" w:w="2880"/>
          </w:tcPr>
          <w:p>
            <w:r>
              <w:t>Equipment running with a fault that will get worse if left.</w:t>
            </w:r>
          </w:p>
        </w:tc>
        <w:tc>
          <w:tcPr>
            <w:tcW w:type="dxa" w:w="2880"/>
          </w:tcPr>
          <w:p>
            <w:r>
              <w:t>Within 5 business days</w:t>
            </w:r>
          </w:p>
        </w:tc>
      </w:tr>
      <w:tr>
        <w:tc>
          <w:tcPr>
            <w:tcW w:type="dxa" w:w="2880"/>
          </w:tcPr>
          <w:p>
            <w:r>
              <w:t>Low</w:t>
            </w:r>
          </w:p>
        </w:tc>
        <w:tc>
          <w:tcPr>
            <w:tcW w:type="dxa" w:w="2880"/>
          </w:tcPr>
          <w:p>
            <w:r>
              <w:t>Planned work, improvements, non-urgent findings from planned maintenance.</w:t>
            </w:r>
          </w:p>
        </w:tc>
        <w:tc>
          <w:tcPr>
            <w:tcW w:type="dxa" w:w="2880"/>
          </w:tcPr>
          <w:p>
            <w:r>
              <w:t>Next planned visit</w:t>
            </w:r>
          </w:p>
        </w:tc>
      </w:tr>
    </w:tbl>
    <w:p/>
    <w:p>
      <w:r>
        <w:t>Contract response times override the targets above where they are shorter. Check the contract on the account record.</w:t>
      </w:r>
    </w:p>
    <w:p>
      <w:pPr>
        <w:pStyle w:val="Heading2"/>
      </w:pPr>
      <w:r>
        <w:t>9.2 Escalation rules</w:t>
      </w:r>
    </w:p>
    <w:p>
      <w:pPr>
        <w:pStyle w:val="ListBullet"/>
      </w:pPr>
      <w:r>
        <w:t>Three trips in 24 hours on the same asset: the case is High priority, whatever the customer reported. Count auto-restart events in the controller log as trips.</w:t>
      </w:r>
    </w:p>
    <w:p>
      <w:pPr>
        <w:pStyle w:val="ListBullet"/>
      </w:pPr>
      <w:r>
        <w:t>A repeat visit (same asset, same symptom, within 30 days): the team lead reviews the case before the next work order is approved.</w:t>
      </w:r>
    </w:p>
    <w:p>
      <w:pPr>
        <w:pStyle w:val="ListBullet"/>
      </w:pPr>
      <w:r>
        <w:t>Any injury, near miss or uncontrolled release (refrigerant, oil, electrical flash): Critical. Make the area safe, inform the supervisor immediately and the Director the same day.</w:t>
      </w:r>
    </w:p>
    <w:p>
      <w:pPr>
        <w:pStyle w:val="ListBullet"/>
      </w:pPr>
      <w:r>
        <w:t>Customer complaint: the team lead is informed the same day and replies to the customer within one business day.</w:t>
      </w:r>
    </w:p>
    <w:p>
      <w:r>
        <w:t>Some controlled procedures set stricter escalation rules for specific faults. Where they do, follow the procedure.</w:t>
      </w:r>
    </w:p>
    <w:p>
      <w:pPr>
        <w:pStyle w:val="Heading2"/>
      </w:pPr>
      <w:r>
        <w:t>9.3 OEM escalation</w:t>
      </w:r>
    </w:p>
    <w:p>
      <w:r>
        <w:t>Technical escalations to the OEM go through the team lead, who owns the OEM contacts. Record the OEM's case or reference number in the OEM reference field of the Salesforce case, and summarise the OEM's answer in the case. An answer that lives only in someone's mailbox is lost the day that person is on leave.</w:t>
      </w:r>
    </w:p>
    <w:p>
      <w:pPr>
        <w:pStyle w:val="Heading1"/>
      </w:pPr>
      <w:r>
        <w:t>10. Documentation standards for case resolutions</w:t>
      </w:r>
    </w:p>
    <w:p>
      <w:r>
        <w:t>The resolution is written for the next technician, who was not there and will read it at 6 in the morning in front of the same machine. Every resolution answers five questions:</w:t>
      </w:r>
    </w:p>
    <w:tbl>
      <w:tblPr>
        <w:tblStyle w:val="TableGrid"/>
        <w:tblW w:type="auto" w:w="0"/>
        <w:tblLook w:firstColumn="1" w:firstRow="1" w:lastColumn="0" w:lastRow="0" w:noHBand="0" w:noVBand="1" w:val="04A0"/>
      </w:tblPr>
      <w:tblGrid>
        <w:gridCol w:w="4320"/>
        <w:gridCol w:w="4320"/>
      </w:tblGrid>
      <w:tr>
        <w:tc>
          <w:tcPr>
            <w:tcW w:type="dxa" w:w="4320"/>
            <w:shd w:val="clear" w:color="auto" w:fill="0B5E6B"/>
          </w:tcPr>
          <w:p>
            <w:r>
              <w:rPr>
                <w:b/>
                <w:color w:val="FFFFFF"/>
              </w:rPr>
              <w:t>Question</w:t>
            </w:r>
          </w:p>
        </w:tc>
        <w:tc>
          <w:tcPr>
            <w:tcW w:type="dxa" w:w="4320"/>
            <w:shd w:val="clear" w:color="auto" w:fill="0B5E6B"/>
          </w:tcPr>
          <w:p>
            <w:r>
              <w:rPr>
                <w:b/>
                <w:color w:val="FFFFFF"/>
              </w:rPr>
              <w:t>What to write</w:t>
            </w:r>
          </w:p>
        </w:tc>
      </w:tr>
      <w:tr>
        <w:tc>
          <w:tcPr>
            <w:tcW w:type="dxa" w:w="4320"/>
          </w:tcPr>
          <w:p>
            <w:r>
              <w:t>What did you find?</w:t>
            </w:r>
          </w:p>
        </w:tc>
        <w:tc>
          <w:tcPr>
            <w:tcW w:type="dxa" w:w="4320"/>
          </w:tcPr>
          <w:p>
            <w:r>
              <w:t>Symptom, fault codes, readings with units, and the asset ID.</w:t>
            </w:r>
          </w:p>
        </w:tc>
      </w:tr>
      <w:tr>
        <w:tc>
          <w:tcPr>
            <w:tcW w:type="dxa" w:w="4320"/>
          </w:tcPr>
          <w:p>
            <w:r>
              <w:t>Why did it happen?</w:t>
            </w:r>
          </w:p>
        </w:tc>
        <w:tc>
          <w:tcPr>
            <w:tcW w:type="dxa" w:w="4320"/>
          </w:tcPr>
          <w:p>
            <w:r>
              <w:t>The cause, or "cause not confirmed" with what you ruled out.</w:t>
            </w:r>
          </w:p>
        </w:tc>
      </w:tr>
      <w:tr>
        <w:tc>
          <w:tcPr>
            <w:tcW w:type="dxa" w:w="4320"/>
          </w:tcPr>
          <w:p>
            <w:r>
              <w:t>What did you do?</w:t>
            </w:r>
          </w:p>
        </w:tc>
        <w:tc>
          <w:tcPr>
            <w:tcW w:type="dxa" w:w="4320"/>
          </w:tcPr>
          <w:p>
            <w:r>
              <w:t>Actions, in order. Parts with part numbers and quantities. Settings changed, with old and new values.</w:t>
            </w:r>
          </w:p>
        </w:tc>
      </w:tr>
      <w:tr>
        <w:tc>
          <w:tcPr>
            <w:tcW w:type="dxa" w:w="4320"/>
          </w:tcPr>
          <w:p>
            <w:r>
              <w:t>What did you use?</w:t>
            </w:r>
          </w:p>
        </w:tc>
        <w:tc>
          <w:tcPr>
            <w:tcW w:type="dxa" w:w="4320"/>
          </w:tcPr>
          <w:p>
            <w:r>
              <w:t>The procedure, manual section or bulletin you worked to, with its number and revision.</w:t>
            </w:r>
          </w:p>
        </w:tc>
      </w:tr>
      <w:tr>
        <w:tc>
          <w:tcPr>
            <w:tcW w:type="dxa" w:w="4320"/>
          </w:tcPr>
          <w:p>
            <w:r>
              <w:t>What happens next?</w:t>
            </w:r>
          </w:p>
        </w:tc>
        <w:tc>
          <w:tcPr>
            <w:tcW w:type="dxa" w:w="4320"/>
          </w:tcPr>
          <w:p>
            <w:r>
              <w:t>Follow-up needed, what is being monitored, recommendations to the customer, and who owns them.</w:t>
            </w:r>
          </w:p>
        </w:tc>
      </w:tr>
    </w:tbl>
    <w:p/>
    <w:p>
      <w:pPr>
        <w:pStyle w:val="Heading2"/>
      </w:pPr>
      <w:r>
        <w:t>10.1 Not acceptable</w:t>
      </w:r>
    </w:p>
    <w:p>
      <w:pPr>
        <w:pStyle w:val="ListBullet"/>
      </w:pPr>
      <w:r>
        <w:t>"Fixed", "ok now", "done", "see email", "done per procedure" without the procedure number and the readings.</w:t>
      </w:r>
    </w:p>
    <w:p>
      <w:pPr>
        <w:pStyle w:val="ListBullet"/>
      </w:pPr>
      <w:r>
        <w:t>A fix that is described only in an email or a chat. If the fix came from the OEM by email, summarise it in the resolution and attach the email. The resolution must make sense without the attachment.</w:t>
      </w:r>
    </w:p>
    <w:p>
      <w:pPr>
        <w:pStyle w:val="ListBullet"/>
      </w:pPr>
      <w:r>
        <w:t>Parts listed without part numbers.</w:t>
      </w:r>
    </w:p>
    <w:p>
      <w:pPr>
        <w:pStyle w:val="Heading2"/>
      </w:pPr>
      <w:r>
        <w:t>10.2 Example</w:t>
      </w:r>
    </w:p>
    <w:p>
      <w:r>
        <w:t>Not acceptable: "replaced seal, ok".</w:t>
      </w:r>
    </w:p>
    <w:p>
      <w:r>
        <w:t>Acceptable: "GDN-P-0070 (HCP-350), fault P-04 seal leakage. Seal flush line kinked behind the coupling guard, starving the seal. Rerouted the flush line with a new support clip. Replaced the mechanical seal with kit 18-0356 (1 off; 18-0355 is superseded per SB-2025-018). Leak sensor dry after a 2 h run. Reference: HCP-350 IOM fault table. No follow-up needed; flush line routing to be checked at next PM."</w:t>
      </w:r>
    </w:p>
    <w:p>
      <w:pPr>
        <w:pStyle w:val="Heading2"/>
      </w:pPr>
      <w:r>
        <w:t>10.3 Language, photos and time</w:t>
      </w:r>
    </w:p>
    <w:p>
      <w:pPr>
        <w:pStyle w:val="ListBullet"/>
      </w:pPr>
      <w:r>
        <w:t>The resolution field is written in English. Technicians may add case comments in Dutch or Polish for local colleagues, but the resolution must stand on its own in English.</w:t>
      </w:r>
    </w:p>
    <w:p>
      <w:pPr>
        <w:pStyle w:val="ListBullet"/>
      </w:pPr>
      <w:r>
        <w:t>Attach photos of the nameplate, of the fault (before) and of the repair (after) to the work order.</w:t>
      </w:r>
    </w:p>
    <w:p>
      <w:pPr>
        <w:pStyle w:val="ListBullet"/>
      </w:pPr>
      <w:r>
        <w:t>Log time and parts the same day.</w:t>
      </w:r>
    </w:p>
    <w:p>
      <w:pPr>
        <w:pStyle w:val="Heading1"/>
      </w:pPr>
      <w:r>
        <w:t>11. Procedures, work instructions and manuals</w:t>
      </w:r>
    </w:p>
    <w:p>
      <w:pPr>
        <w:pStyle w:val="ListBullet"/>
      </w:pPr>
      <w:r>
        <w:t>Corvane controlled procedures (SOP-, HV-, CS-, FS-STD-) are kept in SharePoint, Field Procedures. Use the current revision from SharePoint. Printed copies are uncontrolled.</w:t>
      </w:r>
    </w:p>
    <w:p>
      <w:pPr>
        <w:pStyle w:val="ListBullet"/>
      </w:pPr>
      <w:r>
        <w:t>OEM manuals are kept in the manual library. OEM bulletins apply over the manual for the serials they name (section 8).</w:t>
      </w:r>
    </w:p>
    <w:p>
      <w:pPr>
        <w:pStyle w:val="ListBullet"/>
      </w:pPr>
      <w:r>
        <w:t>Confluence wiki pages hold useful field experience but are not controlled. Where a wiki page disagrees with a controlled procedure, an OEM manual or a bulletin, do not follow the wiki page, and tell the page author.</w:t>
      </w:r>
    </w:p>
    <w:p>
      <w:pPr>
        <w:pStyle w:val="ListBullet"/>
      </w:pPr>
      <w:r>
        <w:t>Legacy Kyltek work instructions remain valid until superseded by a Corvane procedure. They are kept in SharePoint, Field Procedures, with the prefix KT-WI- and their English translations. Questions about a KT-WI go to the EU Field Team Lead.</w:t>
      </w:r>
    </w:p>
    <w:p>
      <w:pPr>
        <w:pStyle w:val="ListBullet"/>
      </w:pPr>
      <w:r>
        <w:t>Anyone can propose a change to a procedure with the Procedure Feedback form in SharePoint. The owner answers within 30 days.</w:t>
      </w:r>
    </w:p>
    <w:p>
      <w:pPr>
        <w:pStyle w:val="Heading1"/>
      </w:pPr>
      <w:r>
        <w:t>12. Records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0B5E6B"/>
          </w:tcPr>
          <w:p>
            <w:r>
              <w:rPr>
                <w:b/>
                <w:color w:val="FFFFFF"/>
              </w:rPr>
              <w:t>Record</w:t>
            </w:r>
          </w:p>
        </w:tc>
        <w:tc>
          <w:tcPr>
            <w:tcW w:type="dxa" w:w="2880"/>
            <w:shd w:val="clear" w:color="auto" w:fill="0B5E6B"/>
          </w:tcPr>
          <w:p>
            <w:r>
              <w:rPr>
                <w:b/>
                <w:color w:val="FFFFFF"/>
              </w:rPr>
              <w:t>Where</w:t>
            </w:r>
          </w:p>
        </w:tc>
        <w:tc>
          <w:tcPr>
            <w:tcW w:type="dxa" w:w="2880"/>
            <w:shd w:val="clear" w:color="auto" w:fill="0B5E6B"/>
          </w:tcPr>
          <w:p>
            <w:r>
              <w:rPr>
                <w:b/>
                <w:color w:val="FFFFFF"/>
              </w:rPr>
              <w:t>Kept for</w:t>
            </w:r>
          </w:p>
        </w:tc>
      </w:tr>
      <w:tr>
        <w:tc>
          <w:tcPr>
            <w:tcW w:type="dxa" w:w="2880"/>
          </w:tcPr>
          <w:p>
            <w:r>
              <w:t>Cases and work orders, including resolutions and attachments</w:t>
            </w:r>
          </w:p>
        </w:tc>
        <w:tc>
          <w:tcPr>
            <w:tcW w:type="dxa" w:w="2880"/>
          </w:tcPr>
          <w:p>
            <w:r>
              <w:t>Salesforce Field Service</w:t>
            </w:r>
          </w:p>
        </w:tc>
        <w:tc>
          <w:tcPr>
            <w:tcW w:type="dxa" w:w="2880"/>
          </w:tcPr>
          <w:p>
            <w:r>
              <w:t>10 years</w:t>
            </w:r>
          </w:p>
        </w:tc>
      </w:tr>
      <w:tr>
        <w:tc>
          <w:tcPr>
            <w:tcW w:type="dxa" w:w="2880"/>
          </w:tcPr>
          <w:p>
            <w:r>
              <w:t>Isolation records (HV-PROC-02)</w:t>
            </w:r>
          </w:p>
        </w:tc>
        <w:tc>
          <w:tcPr>
            <w:tcW w:type="dxa" w:w="2880"/>
          </w:tcPr>
          <w:p>
            <w:r>
              <w:t>Attached to the work order</w:t>
            </w:r>
          </w:p>
        </w:tc>
        <w:tc>
          <w:tcPr>
            <w:tcW w:type="dxa" w:w="2880"/>
          </w:tcPr>
          <w:p>
            <w:r>
              <w:t>3 years</w:t>
            </w:r>
          </w:p>
        </w:tc>
      </w:tr>
      <w:tr>
        <w:tc>
          <w:tcPr>
            <w:tcW w:type="dxa" w:w="2880"/>
          </w:tcPr>
          <w:p>
            <w:r>
              <w:t>Confined space permits and gas monitor logs (CS-PROC-03)</w:t>
            </w:r>
          </w:p>
        </w:tc>
        <w:tc>
          <w:tcPr>
            <w:tcW w:type="dxa" w:w="2880"/>
          </w:tcPr>
          <w:p>
            <w:r>
              <w:t>Attached to the work order</w:t>
            </w:r>
          </w:p>
        </w:tc>
        <w:tc>
          <w:tcPr>
            <w:tcW w:type="dxa" w:w="2880"/>
          </w:tcPr>
          <w:p>
            <w:r>
              <w:t>As CS-PROC-03</w:t>
            </w:r>
          </w:p>
        </w:tc>
      </w:tr>
      <w:tr>
        <w:tc>
          <w:tcPr>
            <w:tcW w:type="dxa" w:w="2880"/>
          </w:tcPr>
          <w:p>
            <w:r>
              <w:t>Refrigerant logs (SOP-020)</w:t>
            </w:r>
          </w:p>
        </w:tc>
        <w:tc>
          <w:tcPr>
            <w:tcW w:type="dxa" w:w="2880"/>
          </w:tcPr>
          <w:p>
            <w:r>
              <w:t>Attached to the work order and in the site logbook</w:t>
            </w:r>
          </w:p>
        </w:tc>
        <w:tc>
          <w:tcPr>
            <w:tcW w:type="dxa" w:w="2880"/>
          </w:tcPr>
          <w:p>
            <w:r>
              <w:t>As required by EPA (US) and the F-gas Regulation (EU)</w:t>
            </w:r>
          </w:p>
        </w:tc>
      </w:tr>
      <w:tr>
        <w:tc>
          <w:tcPr>
            <w:tcW w:type="dxa" w:w="2880"/>
          </w:tcPr>
          <w:p>
            <w:r>
              <w:t>Technician Certification Matrix</w:t>
            </w:r>
          </w:p>
        </w:tc>
        <w:tc>
          <w:tcPr>
            <w:tcW w:type="dxa" w:w="2880"/>
          </w:tcPr>
          <w:p>
            <w:r>
              <w:t>SharePoint, team leads</w:t>
            </w:r>
          </w:p>
        </w:tc>
        <w:tc>
          <w:tcPr>
            <w:tcW w:type="dxa" w:w="2880"/>
          </w:tcPr>
          <w:p>
            <w:r>
              <w:t>Current plus previous year</w:t>
            </w:r>
          </w:p>
        </w:tc>
      </w:tr>
    </w:tbl>
    <w:p/>
    <w:p>
      <w:pPr>
        <w:pStyle w:val="Heading1"/>
      </w:pPr>
      <w:r>
        <w:t>13. Measures</w:t>
      </w:r>
    </w:p>
    <w:p>
      <w:r>
        <w:t>Field service performance is measured from Salesforce data and reviewed quarterly by the team leads with the Director. The measures are first-time fix rate, repeat-visit share, response time against priority, and case documentation quality. For documentation quality each team lead audits ten resolved cases a month against section 10 and returns the ones that fail. Results and actions are recorded in the quarterly operations review.</w:t>
      </w:r>
    </w:p>
    <w:p>
      <w:pPr>
        <w:pStyle w:val="Heading1"/>
      </w:pPr>
      <w:r>
        <w:t>14. References</w:t>
      </w:r>
    </w:p>
    <w:p>
      <w:pPr>
        <w:pStyle w:val="ListBullet"/>
      </w:pPr>
      <w:r>
        <w:t>SOP-020 Chiller Leak Test and Refrigerant Recharge</w:t>
      </w:r>
    </w:p>
    <w:p>
      <w:pPr>
        <w:pStyle w:val="ListBullet"/>
      </w:pPr>
      <w:r>
        <w:t>HV-PROC-02 Electrical Isolation and Verification of Absence of Voltage</w:t>
      </w:r>
    </w:p>
    <w:p>
      <w:pPr>
        <w:pStyle w:val="ListBullet"/>
      </w:pPr>
      <w:r>
        <w:t>HV-PROC-07 VRS-110 VFD Fault Reset (E-31) (restricted)</w:t>
      </w:r>
    </w:p>
    <w:p>
      <w:pPr>
        <w:pStyle w:val="ListBullet"/>
      </w:pPr>
      <w:r>
        <w:t>CS-PROC-03 Confined Space Entry: Pump Pits (restricted)</w:t>
      </w:r>
    </w:p>
    <w:p>
      <w:pPr>
        <w:pStyle w:val="ListBullet"/>
      </w:pPr>
      <w:r>
        <w:t>Technician Certification Matrix (team leads)</w:t>
      </w:r>
    </w:p>
    <w:p>
      <w:pPr>
        <w:pStyle w:val="ListBullet"/>
      </w:pPr>
      <w:r>
        <w:t>Work Order Writing Guide (Confluence, Field Service space)</w:t>
      </w:r>
    </w:p>
    <w:p>
      <w:pPr>
        <w:pStyle w:val="ListBullet"/>
      </w:pPr>
      <w:r>
        <w:t>Salesforce Field Service quick reference (Confluence, Field Service space)</w:t>
      </w:r>
    </w:p>
    <w:p>
      <w:pPr>
        <w:pStyle w:val="Heading1"/>
      </w:pPr>
      <w:r>
        <w:t>15. Revision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0B5E6B"/>
          </w:tcPr>
          <w:p>
            <w:r>
              <w:rPr>
                <w:b/>
                <w:color w:val="FFFFFF"/>
              </w:rPr>
              <w:t>Rev</w:t>
            </w:r>
          </w:p>
        </w:tc>
        <w:tc>
          <w:tcPr>
            <w:tcW w:type="dxa" w:w="2160"/>
            <w:shd w:val="clear" w:color="auto" w:fill="0B5E6B"/>
          </w:tcPr>
          <w:p>
            <w:r>
              <w:rPr>
                <w:b/>
                <w:color w:val="FFFFFF"/>
              </w:rPr>
              <w:t>Date</w:t>
            </w:r>
          </w:p>
        </w:tc>
        <w:tc>
          <w:tcPr>
            <w:tcW w:type="dxa" w:w="2160"/>
            <w:shd w:val="clear" w:color="auto" w:fill="0B5E6B"/>
          </w:tcPr>
          <w:p>
            <w:r>
              <w:rPr>
                <w:b/>
                <w:color w:val="FFFFFF"/>
              </w:rPr>
              <w:t>Author</w:t>
            </w:r>
          </w:p>
        </w:tc>
        <w:tc>
          <w:tcPr>
            <w:tcW w:type="dxa" w:w="2160"/>
            <w:shd w:val="clear" w:color="auto" w:fill="0B5E6B"/>
          </w:tcPr>
          <w:p>
            <w:r>
              <w:rPr>
                <w:b/>
                <w:color w:val="FFFFFF"/>
              </w:rPr>
              <w:t>Change</w:t>
            </w:r>
          </w:p>
        </w:tc>
      </w:tr>
      <w:tr>
        <w:tc>
          <w:tcPr>
            <w:tcW w:type="dxa" w:w="2160"/>
          </w:tcPr>
          <w:p>
            <w:r>
              <w:t>1</w:t>
            </w:r>
          </w:p>
        </w:tc>
        <w:tc>
          <w:tcPr>
            <w:tcW w:type="dxa" w:w="2160"/>
          </w:tcPr>
          <w:p>
            <w:r>
              <w:t>2021-04-12</w:t>
            </w:r>
          </w:p>
        </w:tc>
        <w:tc>
          <w:tcPr>
            <w:tcW w:type="dxa" w:w="2160"/>
          </w:tcPr>
          <w:p>
            <w:r>
              <w:t>R. Lindqvist</w:t>
            </w:r>
          </w:p>
        </w:tc>
        <w:tc>
          <w:tcPr>
            <w:tcW w:type="dxa" w:w="2160"/>
          </w:tcPr>
          <w:p>
            <w:r>
              <w:t>First issue (NA). Replaces the MaintPro work order guideline.</w:t>
            </w:r>
          </w:p>
        </w:tc>
      </w:tr>
      <w:tr>
        <w:tc>
          <w:tcPr>
            <w:tcW w:type="dxa" w:w="2160"/>
          </w:tcPr>
          <w:p>
            <w:r>
              <w:t>2</w:t>
            </w:r>
          </w:p>
        </w:tc>
        <w:tc>
          <w:tcPr>
            <w:tcW w:type="dxa" w:w="2160"/>
          </w:tcPr>
          <w:p>
            <w:r>
              <w:t>2023-03-06</w:t>
            </w:r>
          </w:p>
        </w:tc>
        <w:tc>
          <w:tcPr>
            <w:tcW w:type="dxa" w:w="2160"/>
          </w:tcPr>
          <w:p>
            <w:r>
              <w:t>R. Lindqvist</w:t>
            </w:r>
          </w:p>
        </w:tc>
        <w:tc>
          <w:tcPr>
            <w:tcW w:type="dxa" w:w="2160"/>
          </w:tcPr>
          <w:p>
            <w:r>
              <w:t>Case handling moved to Salesforce (NA). Priority table revised.</w:t>
            </w:r>
          </w:p>
        </w:tc>
      </w:tr>
      <w:tr>
        <w:tc>
          <w:tcPr>
            <w:tcW w:type="dxa" w:w="2160"/>
          </w:tcPr>
          <w:p>
            <w:r>
              <w:t>3</w:t>
            </w:r>
          </w:p>
        </w:tc>
        <w:tc>
          <w:tcPr>
            <w:tcW w:type="dxa" w:w="2160"/>
          </w:tcPr>
          <w:p>
            <w:r>
              <w:t>2025-01-06</w:t>
            </w:r>
          </w:p>
        </w:tc>
        <w:tc>
          <w:tcPr>
            <w:tcW w:type="dxa" w:w="2160"/>
          </w:tcPr>
          <w:p>
            <w:r>
              <w:t>R. Lindqvist / L. Hoffmann</w:t>
            </w:r>
          </w:p>
        </w:tc>
        <w:tc>
          <w:tcPr>
            <w:tcW w:type="dxa" w:w="2160"/>
          </w:tcPr>
          <w:p>
            <w:r>
              <w:t>Scope extended to the EU after the ex-Kyltek teams moved to Salesforce Field Service. Section 11 bullet on legacy Kyltek work instructions added. Servio added as a source of asset history.</w:t>
            </w:r>
          </w:p>
        </w:tc>
      </w:tr>
      <w:tr>
        <w:tc>
          <w:tcPr>
            <w:tcW w:type="dxa" w:w="2160"/>
          </w:tcPr>
          <w:p>
            <w:r>
              <w:t>4</w:t>
            </w:r>
          </w:p>
        </w:tc>
        <w:tc>
          <w:tcPr>
            <w:tcW w:type="dxa" w:w="2160"/>
          </w:tcPr>
          <w:p>
            <w:r>
              <w:t>2026-01-12</w:t>
            </w:r>
          </w:p>
        </w:tc>
        <w:tc>
          <w:tcPr>
            <w:tcW w:type="dxa" w:w="2160"/>
          </w:tcPr>
          <w:p>
            <w:r>
              <w:t>R. Lindqvist</w:t>
            </w:r>
          </w:p>
        </w:tc>
        <w:tc>
          <w:tcPr>
            <w:tcW w:type="dxa" w:w="2160"/>
          </w:tcPr>
          <w:p>
            <w:r>
              <w:t>Required certification made mandatory on every work order and supervisor assignment rule tightened (section 7), after certified work orders were self-assigned. Section 8 (bulletins, campaigns and history before repairs) added. Three-trips rule moved from the NA dispatch guide into 9.2 and applied to both regions. Section 10 rewritten with examples.</w:t>
            </w:r>
          </w:p>
        </w:tc>
      </w:tr>
    </w:tbl>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Controlled when viewed in SharePoint. Uncontrolled when printed. Check the revision before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B5E6B"/>
        <w:sz w:val="16"/>
      </w:rPr>
      <w:t>CORVANE FIELD SERVICES</w:t>
      <w:tab/>
      <w:tab/>
      <w:t>FS-STD-001 Rev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5E6B"/>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B5E6B"/>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FS-STD-001 Field Service Standard</dc:title>
  <dc:subject>Corvane Field Services controlled procedure</dc:subject>
  <dc:creator>Rachel Lindqvist</dc:creator>
  <cp:keywords/>
  <dc:description>generated by python-docx</dc:description>
  <cp:lastModifiedBy/>
  <cp:revision>1</cp:revision>
  <dcterms:created xsi:type="dcterms:W3CDTF">2026-01-12T00:00:00Z</dcterms:created>
  <dcterms:modified xsi:type="dcterms:W3CDTF">2026-01-12T00:00:00Z</dcterms:modified>
  <cp:category/>
</cp:coreProperties>
</file>