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E6B"/>
          <w:sz w:val="34"/>
        </w:rPr>
        <w:t>HV-PROC-02  Electrical Isolation and Verification of Absence of Voltage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BEE"/>
          </w:tcPr>
          <w:p>
            <w:r>
              <w:rPr>
                <w:b/>
              </w:rPr>
              <w:t>Document no.</w:t>
            </w:r>
          </w:p>
        </w:tc>
        <w:tc>
          <w:tcPr>
            <w:tcW w:type="dxa" w:w="2160"/>
          </w:tcPr>
          <w:p>
            <w:r>
              <w:t>HV-PROC-02</w:t>
            </w:r>
          </w:p>
        </w:tc>
        <w:tc>
          <w:tcPr>
            <w:tcW w:type="dxa" w:w="2160"/>
            <w:shd w:val="clear" w:color="auto" w:fill="DCEBEE"/>
          </w:tcPr>
          <w:p>
            <w:r>
              <w:rPr>
                <w:b/>
              </w:rPr>
              <w:t>Revision</w:t>
            </w:r>
          </w:p>
        </w:tc>
        <w:tc>
          <w:tcPr>
            <w:tcW w:type="dxa" w:w="2160"/>
          </w:tcPr>
          <w:p>
            <w:r>
              <w:t>4</w:t>
            </w:r>
          </w:p>
        </w:tc>
      </w:tr>
      <w:tr>
        <w:tc>
          <w:tcPr>
            <w:tcW w:type="dxa" w:w="2160"/>
            <w:shd w:val="clear" w:color="auto" w:fill="DCEBEE"/>
          </w:tcPr>
          <w:p>
            <w:r>
              <w:rPr>
                <w:b/>
              </w:rPr>
              <w:t>Effective date</w:t>
            </w:r>
          </w:p>
        </w:tc>
        <w:tc>
          <w:tcPr>
            <w:tcW w:type="dxa" w:w="2160"/>
          </w:tcPr>
          <w:p>
            <w:r>
              <w:t>2024-11-18</w:t>
            </w:r>
          </w:p>
        </w:tc>
        <w:tc>
          <w:tcPr>
            <w:tcW w:type="dxa" w:w="2160"/>
            <w:shd w:val="clear" w:color="auto" w:fill="DCEBEE"/>
          </w:tcPr>
          <w:p>
            <w:r>
              <w:rPr>
                <w:b/>
              </w:rPr>
              <w:t>Next review</w:t>
            </w:r>
          </w:p>
        </w:tc>
        <w:tc>
          <w:tcPr>
            <w:tcW w:type="dxa" w:w="2160"/>
          </w:tcPr>
          <w:p>
            <w:r>
              <w:t>2026-11-18</w:t>
            </w:r>
          </w:p>
        </w:tc>
      </w:tr>
      <w:tr>
        <w:tc>
          <w:tcPr>
            <w:tcW w:type="dxa" w:w="2160"/>
            <w:shd w:val="clear" w:color="auto" w:fill="DCEBEE"/>
          </w:tcPr>
          <w:p>
            <w:r>
              <w:rPr>
                <w:b/>
              </w:rPr>
              <w:t>Owner</w:t>
            </w:r>
          </w:p>
        </w:tc>
        <w:tc>
          <w:tcPr>
            <w:tcW w:type="dxa" w:w="2160"/>
          </w:tcPr>
          <w:p>
            <w:r>
              <w:t>Rachel Lindqvist, Director of Field Service Operations, NA</w:t>
            </w:r>
          </w:p>
        </w:tc>
        <w:tc>
          <w:tcPr>
            <w:tcW w:type="dxa" w:w="2160"/>
            <w:shd w:val="clear" w:color="auto" w:fill="DCEBEE"/>
          </w:tcPr>
          <w:p>
            <w:r>
              <w:rPr>
                <w:b/>
              </w:rPr>
              <w:t>Approved by</w:t>
            </w:r>
          </w:p>
        </w:tc>
        <w:tc>
          <w:tcPr>
            <w:tcW w:type="dxa" w:w="2160"/>
          </w:tcPr>
          <w:p>
            <w:r>
              <w:t>Rachel Lindqvist</w:t>
            </w:r>
          </w:p>
        </w:tc>
      </w:tr>
    </w:tbl>
    <w:p/>
    <w:p>
      <w:r>
        <w:rPr>
          <w:i/>
          <w:sz w:val="18"/>
        </w:rPr>
        <w:t>Prepared by Kenji Watanabe (NA) with Lena Hoffmann (EU). Restricted document: HV-certified technicians.</w:t>
      </w:r>
    </w:p>
    <w:p>
      <w:pPr>
        <w:pStyle w:val="Heading1"/>
      </w:pPr>
      <w:r>
        <w:t>1. Purpose</w:t>
      </w:r>
    </w:p>
    <w:p>
      <w:r>
        <w:t>This procedure defines how Corvane technicians isolate electrical equipment, prove that it is dead, and keep it dead while they work on it. It is the base procedure that the equipment-specific HV procedures call up. Those procedures add the values and steps for one type of equipment; this one covers what is common to all of them.</w:t>
      </w:r>
    </w:p>
    <w:tbl>
      <w:tblPr>
        <w:tblStyle w:val="TableGrid"/>
        <w:tblW w:type="auto" w:w="0"/>
        <w:tblLook w:firstColumn="1" w:firstRow="1" w:lastColumn="0" w:lastRow="0" w:noHBand="0" w:noVBand="1" w:val="04A0"/>
      </w:tblPr>
      <w:tblGrid>
        <w:gridCol w:w="8640"/>
      </w:tblGrid>
      <w:tr>
        <w:tc>
          <w:tcPr>
            <w:tcW w:type="dxa" w:w="8640"/>
            <w:shd w:val="clear" w:color="auto" w:fill="FFF4D6"/>
          </w:tcPr>
          <w:p>
            <w:r/>
            <w:r>
              <w:rPr>
                <w:b/>
              </w:rPr>
              <w:t xml:space="preserve">NOTE: </w:t>
            </w:r>
            <w:r>
              <w:t>In Corvane, "HV work" has always meant work inside an enclosure with exposed live parts on power circuits: a VFD cabinet, a starter panel, a motor terminal box. Almost all of this equipment is low voltage in the IEC sense (up to 1,000 V AC). The name has stuck. Corvane technicians do not work on utility high-voltage equipment above 1,000 V AC.</w:t>
            </w:r>
          </w:p>
        </w:tc>
      </w:tr>
    </w:tbl>
    <w:p/>
    <w:p>
      <w:pPr>
        <w:pStyle w:val="Heading1"/>
      </w:pPr>
      <w:r>
        <w:t>2. Scope</w:t>
      </w:r>
    </w:p>
    <w:p>
      <w:r>
        <w:t>All regions. All isolation of power circuits up to 1,000 V AC and 1,500 V DC on equipment Corvane maintains, including compressor VFD cabinets and starters, pump motor terminal boxes and controllers, chiller power panels and conveyor drive panels.</w:t>
      </w:r>
    </w:p>
    <w:p>
      <w:r>
        <w:t>Corvane does not carry out energised work. The only work allowed on or near exposed live parts is measurement for diagnosis, done under the site's energised work permit with the PPE on the arc flash label. That measurement work is not covered here.</w:t>
      </w:r>
    </w:p>
    <w:p>
      <w:r>
        <w:t>Mechanical, hydraulic and pneumatic isolation (valves, stored air, springs) follows the site lockout procedure. Where a job needs both, the electrical isolation is done first and recorded under this procedure.</w:t>
      </w:r>
    </w:p>
    <w:p>
      <w:pPr>
        <w:pStyle w:val="Heading1"/>
      </w:pPr>
      <w:r>
        <w:t>3. Definitions</w:t>
      </w:r>
    </w:p>
    <w:tbl>
      <w:tblPr>
        <w:tblStyle w:val="TableGrid"/>
        <w:tblW w:type="auto" w:w="0"/>
        <w:tblLook w:firstColumn="1" w:firstRow="1" w:lastColumn="0" w:lastRow="0" w:noHBand="0" w:noVBand="1" w:val="04A0"/>
      </w:tblPr>
      <w:tblGrid>
        <w:gridCol w:w="4320"/>
        <w:gridCol w:w="4320"/>
      </w:tblGrid>
      <w:tr>
        <w:tc>
          <w:tcPr>
            <w:tcW w:type="dxa" w:w="4320"/>
            <w:shd w:val="clear" w:color="auto" w:fill="0B5E6B"/>
          </w:tcPr>
          <w:p>
            <w:r>
              <w:rPr>
                <w:b/>
                <w:color w:val="FFFFFF"/>
              </w:rPr>
              <w:t>Term</w:t>
            </w:r>
          </w:p>
        </w:tc>
        <w:tc>
          <w:tcPr>
            <w:tcW w:type="dxa" w:w="4320"/>
            <w:shd w:val="clear" w:color="auto" w:fill="0B5E6B"/>
          </w:tcPr>
          <w:p>
            <w:r>
              <w:rPr>
                <w:b/>
                <w:color w:val="FFFFFF"/>
              </w:rPr>
              <w:t>Meaning</w:t>
            </w:r>
          </w:p>
        </w:tc>
      </w:tr>
      <w:tr>
        <w:tc>
          <w:tcPr>
            <w:tcW w:type="dxa" w:w="4320"/>
          </w:tcPr>
          <w:p>
            <w:r>
              <w:t>Isolation point</w:t>
            </w:r>
          </w:p>
        </w:tc>
        <w:tc>
          <w:tcPr>
            <w:tcW w:type="dxa" w:w="4320"/>
          </w:tcPr>
          <w:p>
            <w:r>
              <w:t>A device that physically separates the equipment from every source of supply and can be locked open: a switch-disconnector, a withdrawn circuit breaker, removed fuses with locked carriers. A stop button, an emergency stop, a contactor or a VFD stop command is not an isolation point.</w:t>
            </w:r>
          </w:p>
        </w:tc>
      </w:tr>
      <w:tr>
        <w:tc>
          <w:tcPr>
            <w:tcW w:type="dxa" w:w="4320"/>
          </w:tcPr>
          <w:p>
            <w:r>
              <w:t>Personal lock</w:t>
            </w:r>
          </w:p>
        </w:tc>
        <w:tc>
          <w:tcPr>
            <w:tcW w:type="dxa" w:w="4320"/>
          </w:tcPr>
          <w:p>
            <w:r>
              <w:t>A padlock issued to one technician, with one key, labelled with the technician's name. Never lent.</w:t>
            </w:r>
          </w:p>
        </w:tc>
      </w:tr>
      <w:tr>
        <w:tc>
          <w:tcPr>
            <w:tcW w:type="dxa" w:w="4320"/>
          </w:tcPr>
          <w:p>
            <w:r>
              <w:t>Group lock box</w:t>
            </w:r>
          </w:p>
        </w:tc>
        <w:tc>
          <w:tcPr>
            <w:tcW w:type="dxa" w:w="4320"/>
          </w:tcPr>
          <w:p>
            <w:r>
              <w:t>A box holding the keys of the isolation point locks. Each person working applies a personal lock to the box.</w:t>
            </w:r>
          </w:p>
        </w:tc>
      </w:tr>
      <w:tr>
        <w:tc>
          <w:tcPr>
            <w:tcW w:type="dxa" w:w="4320"/>
          </w:tcPr>
          <w:p>
            <w:r>
              <w:t>Prove-test-prove</w:t>
            </w:r>
          </w:p>
        </w:tc>
        <w:tc>
          <w:tcPr>
            <w:tcW w:type="dxa" w:w="4320"/>
          </w:tcPr>
          <w:p>
            <w:r>
              <w:t>Proving the voltage tester on a known source, testing the circuit, then proving the tester again. A test with a tester that has not been proved before and after does not count.</w:t>
            </w:r>
          </w:p>
        </w:tc>
      </w:tr>
      <w:tr>
        <w:tc>
          <w:tcPr>
            <w:tcW w:type="dxa" w:w="4320"/>
          </w:tcPr>
          <w:p>
            <w:r>
              <w:t>Temporary earth</w:t>
            </w:r>
          </w:p>
        </w:tc>
        <w:tc>
          <w:tcPr>
            <w:tcW w:type="dxa" w:w="4320"/>
          </w:tcPr>
          <w:p>
            <w:r>
              <w:t>A rated earthing and short-circuiting device applied to isolated conductors so that any unexpected voltage is shorted to earth.</w:t>
            </w:r>
          </w:p>
        </w:tc>
      </w:tr>
      <w:tr>
        <w:tc>
          <w:tcPr>
            <w:tcW w:type="dxa" w:w="4320"/>
          </w:tcPr>
          <w:p>
            <w:r>
              <w:t>Authorised technician</w:t>
            </w:r>
          </w:p>
        </w:tc>
        <w:tc>
          <w:tcPr>
            <w:tcW w:type="dxa" w:w="4320"/>
          </w:tcPr>
          <w:p>
            <w:r>
              <w:t>A Corvane technician holding a current HV certification in the Technician Certification Matrix. In the US this is a qualified person under NFPA 70E. In the Netherlands it is a designated skilled person (VP) under NEN 3140. In Poland it is a person with the required electrical qualification for operation up to 1 kV.</w:t>
            </w:r>
          </w:p>
        </w:tc>
      </w:tr>
      <w:tr>
        <w:tc>
          <w:tcPr>
            <w:tcW w:type="dxa" w:w="4320"/>
          </w:tcPr>
          <w:p>
            <w:r>
              <w:t>Site electrical responsible</w:t>
            </w:r>
          </w:p>
        </w:tc>
        <w:tc>
          <w:tcPr>
            <w:tcW w:type="dxa" w:w="4320"/>
          </w:tcPr>
          <w:p>
            <w:r>
              <w:t>The person named by the customer as responsible for the site installation (in the Netherlands, the installatieverantwoordelijke). Their permission is needed before isolating at the site's switchgear.</w:t>
            </w:r>
          </w:p>
        </w:tc>
      </w:tr>
    </w:tbl>
    <w:p/>
    <w:p>
      <w:pPr>
        <w:pStyle w:val="Heading1"/>
      </w:pPr>
      <w:r>
        <w:t>4. Responsibilities</w:t>
      </w:r>
    </w:p>
    <w:p>
      <w:pPr>
        <w:pStyle w:val="ListBullet"/>
      </w:pPr>
      <w:r>
        <w:t>Authorised technician: plans and carries out the isolation, tests for absence of voltage, applies temporary earths when required, keeps the isolation record, and is the only person who removes their own lock.</w:t>
      </w:r>
    </w:p>
    <w:p>
      <w:pPr>
        <w:pStyle w:val="ListBullet"/>
      </w:pPr>
      <w:r>
        <w:t>Other people working on the isolated equipment: apply their own personal lock to the isolation point or the group lock box before starting, and remove it when they finish.</w:t>
      </w:r>
    </w:p>
    <w:p>
      <w:pPr>
        <w:pStyle w:val="ListBullet"/>
      </w:pPr>
      <w:r>
        <w:t>Supervisor: assigns only authorised technicians to work orders that require HV certification, and handles lock removal in an emergency (section 6.10).</w:t>
      </w:r>
    </w:p>
    <w:p>
      <w:pPr>
        <w:pStyle w:val="ListBullet"/>
      </w:pPr>
      <w:r>
        <w:t>Team lead: reviews isolation records during field audits and keeps the site isolation sheets current.</w:t>
      </w:r>
    </w:p>
    <w:p>
      <w:pPr>
        <w:pStyle w:val="Heading1"/>
      </w:pPr>
      <w:r>
        <w:t>5. Safety</w:t>
      </w:r>
    </w:p>
    <w:tbl>
      <w:tblPr>
        <w:tblStyle w:val="TableGrid"/>
        <w:tblW w:type="auto" w:w="0"/>
        <w:tblLook w:firstColumn="1" w:firstRow="1" w:lastColumn="0" w:lastRow="0" w:noHBand="0" w:noVBand="1" w:val="04A0"/>
      </w:tblPr>
      <w:tblGrid>
        <w:gridCol w:w="8640"/>
      </w:tblGrid>
      <w:tr>
        <w:tc>
          <w:tcPr>
            <w:tcW w:type="dxa" w:w="8640"/>
            <w:shd w:val="clear" w:color="auto" w:fill="FFF4D6"/>
          </w:tcPr>
          <w:p>
            <w:r/>
            <w:r>
              <w:rPr>
                <w:b/>
              </w:rPr>
              <w:t xml:space="preserve">WARNING: </w:t>
            </w:r>
            <w:r>
              <w:t>Drawings and labels are often wrong. A circuit is dead when you have proved it dead at the point of work, and not before.</w:t>
            </w:r>
          </w:p>
        </w:tc>
      </w:tr>
    </w:tbl>
    <w:p/>
    <w:tbl>
      <w:tblPr>
        <w:tblStyle w:val="TableGrid"/>
        <w:tblW w:type="auto" w:w="0"/>
        <w:tblLook w:firstColumn="1" w:firstRow="1" w:lastColumn="0" w:lastRow="0" w:noHBand="0" w:noVBand="1" w:val="04A0"/>
      </w:tblPr>
      <w:tblGrid>
        <w:gridCol w:w="8640"/>
      </w:tblGrid>
      <w:tr>
        <w:tc>
          <w:tcPr>
            <w:tcW w:type="dxa" w:w="8640"/>
            <w:shd w:val="clear" w:color="auto" w:fill="FFF4D6"/>
          </w:tcPr>
          <w:p>
            <w:r/>
            <w:r>
              <w:rPr>
                <w:b/>
              </w:rPr>
              <w:t xml:space="preserve">WARNING: </w:t>
            </w:r>
            <w:r>
              <w:t>Variable speed drives, capacitor banks and UPS units store energy after isolation. A motor turned by the process (a pump spun by back-flow, a fan turned by wind) generates voltage at its terminals. Treat both as live until proved otherwise.</w:t>
            </w:r>
          </w:p>
        </w:tc>
      </w:tr>
    </w:tbl>
    <w:p/>
    <w:p>
      <w:r>
        <w:t>Minimum PPE for any isolation and test: safety glasses, voltage-rated gloves with leather protectors, and arc-rated clothing to the category on the equipment's arc flash label. Where there is no label, use arc flash PPE category 2 and report the missing label to the site in writing.</w:t>
      </w:r>
    </w:p>
    <w:p>
      <w:pPr>
        <w:pStyle w:val="Heading1"/>
      </w:pPr>
      <w:r>
        <w:t>6. Procedure</w:t>
      </w:r>
    </w:p>
    <w:p>
      <w:pPr>
        <w:pStyle w:val="Heading2"/>
      </w:pPr>
      <w:r>
        <w:t>6.1 Plan the isolation</w:t>
      </w:r>
    </w:p>
    <w:p>
      <w:pPr>
        <w:pStyle w:val="ListNumber"/>
      </w:pPr>
      <w:r>
        <w:t>Read the work order and the equipment procedure. Note the required certification and any site permit.</w:t>
      </w:r>
    </w:p>
    <w:p>
      <w:pPr>
        <w:pStyle w:val="ListNumber"/>
      </w:pPr>
      <w:r>
        <w:t>Get the isolation sheet for the asset from the asset record in Salesforce. It lists every supply to the equipment. Several sites have control, heater or fan circuits fed from a different panel than the main power. If there is no isolation sheet, make one from the drawings and a walk-down, and send it to your team lead after the job.</w:t>
      </w:r>
    </w:p>
    <w:p>
      <w:pPr>
        <w:pStyle w:val="ListNumber"/>
      </w:pPr>
      <w:r>
        <w:t>Walk the route from the equipment back to each isolation point. Confirm labels against what you see.</w:t>
      </w:r>
    </w:p>
    <w:p>
      <w:pPr>
        <w:pStyle w:val="ListNumber"/>
      </w:pPr>
      <w:r>
        <w:t>Agree the isolation with the site: who is affected, for how long, and whether a standby unit is needed.</w:t>
      </w:r>
    </w:p>
    <w:p>
      <w:pPr>
        <w:pStyle w:val="Heading2"/>
      </w:pPr>
      <w:r>
        <w:t>6.2 Permit</w:t>
      </w:r>
    </w:p>
    <w:p>
      <w:r>
        <w:t>Every isolation is recorded on the isolation record in Appendix A. The record number is the Salesforce work order number followed by -E1, -E2 and so on for each isolation on that work order. Where the site runs its own permit-to-work system, get the site permit as well. The stricter rule of the two applies.</w:t>
      </w:r>
    </w:p>
    <w:p>
      <w:r>
        <w:t>In the Netherlands the work is also registered with the site electrical responsible before isolation, as NEN 3140 requires. The Kyltek werkvergunning form is no longer used; Appendix A replaces it.</w:t>
      </w:r>
    </w:p>
    <w:p>
      <w:pPr>
        <w:pStyle w:val="Heading2"/>
      </w:pPr>
      <w:r>
        <w:t>6.3 Isolate and lock</w:t>
      </w:r>
    </w:p>
    <w:p>
      <w:pPr>
        <w:pStyle w:val="ListNumber"/>
      </w:pPr>
      <w:r>
        <w:t>Stop the equipment with its normal stop control so that it shuts down in a controlled way.</w:t>
      </w:r>
    </w:p>
    <w:p>
      <w:pPr>
        <w:pStyle w:val="ListNumber"/>
      </w:pPr>
      <w:r>
        <w:t>Open each isolation point. Where you can see the contacts or the withdrawn breaker, check them visually.</w:t>
      </w:r>
    </w:p>
    <w:p>
      <w:pPr>
        <w:pStyle w:val="ListNumber"/>
      </w:pPr>
      <w:r>
        <w:t>Lock each isolation point with your personal lock and attach a tag with your name, the date, the work order number and a phone number. Where more than one person will work, lock the isolation points with the site or Corvane lock set, put the keys in the group lock box, and have each person apply a personal lock to the box.</w:t>
      </w:r>
    </w:p>
    <w:p>
      <w:pPr>
        <w:pStyle w:val="ListNumber"/>
      </w:pPr>
      <w:r>
        <w:t>Remove fuses only where the isolation sheet says so, and keep them in your possession or locked in the carrier.</w:t>
      </w:r>
    </w:p>
    <w:p>
      <w:pPr>
        <w:pStyle w:val="Heading2"/>
      </w:pPr>
      <w:r>
        <w:t>6.4 Dissipate stored energy</w:t>
      </w:r>
    </w:p>
    <w:p>
      <w:r>
        <w:t>Wait for stored energy to dissipate before opening any enclosure. For VFDs the minimum waiting time is printed on the drive label and stated in the equipment procedure. Never shorten it. Where the equipment procedure gives a DC bus test point and a value, follow it in addition to section 6.5.</w:t>
      </w:r>
    </w:p>
    <w:p>
      <w:r>
        <w:t>Stop rotating machinery from turning before opening a motor terminal box: close the pump discharge valve to stop back-flow, or lock the fan.</w:t>
      </w:r>
    </w:p>
    <w:p>
      <w:pPr>
        <w:pStyle w:val="Heading2"/>
      </w:pPr>
      <w:r>
        <w:t>6.5 Prove-test-prove</w:t>
      </w:r>
    </w:p>
    <w:p>
      <w:pPr>
        <w:pStyle w:val="ListNumber"/>
      </w:pPr>
      <w:r>
        <w:t>Use a two-pole voltage tester or a multimeter rated CAT III for the circuit voltage, in calibration, with leads and probes in good condition. Non-contact voltage detectors are not acceptable for this test.</w:t>
      </w:r>
    </w:p>
    <w:p>
      <w:pPr>
        <w:pStyle w:val="ListNumber"/>
      </w:pPr>
      <w:r>
        <w:t>Prove the tester on a proving unit or a known live source of similar voltage.</w:t>
      </w:r>
    </w:p>
    <w:p>
      <w:pPr>
        <w:pStyle w:val="ListNumber"/>
      </w:pPr>
      <w:r>
        <w:t>At the point of work, test between every pair of phases, between each phase and neutral, and between each phase and earth. On DC circuits test plus to minus and each pole to earth.</w:t>
      </w:r>
    </w:p>
    <w:p>
      <w:pPr>
        <w:pStyle w:val="ListNumber"/>
      </w:pPr>
      <w:r>
        <w:t>Prove the tester again on the same proving unit or source.</w:t>
      </w:r>
    </w:p>
    <w:p>
      <w:pPr>
        <w:pStyle w:val="ListNumber"/>
      </w:pPr>
      <w:r>
        <w:t>Record the readings in Appendix A. If the tester fails either proving, the test does not count: replace the tester and start again.</w:t>
      </w:r>
    </w:p>
    <w:p>
      <w:pPr>
        <w:pStyle w:val="Heading2"/>
      </w:pPr>
      <w:r>
        <w:t>6.6 Temporary earths</w:t>
      </w:r>
    </w:p>
    <w:p>
      <w:r>
        <w:t>Temporary earths are not needed for most work on Corvane equipment, which is fed from a single source through a short cable. Apply them when:</w:t>
      </w:r>
    </w:p>
    <w:p>
      <w:pPr>
        <w:pStyle w:val="ListBullet"/>
      </w:pPr>
      <w:r>
        <w:t>the conductors could be re-energised from more than one direction, for example a motor fed from a drive with a bypass contactor;</w:t>
      </w:r>
    </w:p>
    <w:p>
      <w:pPr>
        <w:pStyle w:val="ListBullet"/>
      </w:pPr>
      <w:r>
        <w:t>the conductors run in parallel with live circuits over a long distance (induced voltage);</w:t>
      </w:r>
    </w:p>
    <w:p>
      <w:pPr>
        <w:pStyle w:val="ListBullet"/>
      </w:pPr>
      <w:r>
        <w:t>the work will expose bare conductors for more than one shift; or</w:t>
      </w:r>
    </w:p>
    <w:p>
      <w:pPr>
        <w:pStyle w:val="ListBullet"/>
      </w:pPr>
      <w:r>
        <w:t>the site rules require them.</w:t>
      </w:r>
    </w:p>
    <w:p>
      <w:r>
        <w:t>Apply earths only after the absence of voltage has been proved, with a device rated for the fault level at that point. Connect to earth first, then to the conductors. Remove in the reverse order. Count the earths on and off in Appendix A.</w:t>
      </w:r>
    </w:p>
    <w:p>
      <w:pPr>
        <w:pStyle w:val="Heading2"/>
      </w:pPr>
      <w:r>
        <w:t>6.7 Try</w:t>
      </w:r>
    </w:p>
    <w:p>
      <w:r>
        <w:t>Where the equipment procedure allows it, try to start the equipment from its local control after testing. Nothing should happen. Return the control to off. Do not do this on VFD-fed equipment unless the equipment procedure says so, because a start command to a drive with a fault can change its fault memory.</w:t>
      </w:r>
    </w:p>
    <w:p>
      <w:pPr>
        <w:pStyle w:val="Heading2"/>
      </w:pPr>
      <w:r>
        <w:t>6.8 During the work</w:t>
      </w:r>
    </w:p>
    <w:p>
      <w:pPr>
        <w:pStyle w:val="ListBullet"/>
      </w:pPr>
      <w:r>
        <w:t>Your lock stays on until you have finished. If you leave site, even overnight, the lock stays on and the tag stays readable.</w:t>
      </w:r>
    </w:p>
    <w:p>
      <w:pPr>
        <w:pStyle w:val="ListBullet"/>
      </w:pPr>
      <w:r>
        <w:t>At a shift handover, the incoming technician applies their lock before the outgoing technician removes theirs. The isolation record is signed by both.</w:t>
      </w:r>
    </w:p>
    <w:p>
      <w:pPr>
        <w:pStyle w:val="ListBullet"/>
      </w:pPr>
      <w:r>
        <w:t>If the work changes so that a different circuit is exposed, stop and repeat sections 6.1 to 6.5 for that circuit.</w:t>
      </w:r>
    </w:p>
    <w:p>
      <w:pPr>
        <w:pStyle w:val="Heading2"/>
      </w:pPr>
      <w:r>
        <w:t>6.9 Removal and re-energisation</w:t>
      </w:r>
    </w:p>
    <w:p>
      <w:pPr>
        <w:pStyle w:val="ListNumber"/>
      </w:pPr>
      <w:r>
        <w:t>Check that the work is complete, tools and materials are removed, covers and guards are refitted, and all temporary earths are removed and counted.</w:t>
      </w:r>
    </w:p>
    <w:p>
      <w:pPr>
        <w:pStyle w:val="ListNumber"/>
      </w:pPr>
      <w:r>
        <w:t>Tell everyone who worked on the equipment, and the site, that it will be re-energised.</w:t>
      </w:r>
    </w:p>
    <w:p>
      <w:pPr>
        <w:pStyle w:val="ListNumber"/>
      </w:pPr>
      <w:r>
        <w:t>Each person removes their own personal lock. The last person removes the isolation point locks.</w:t>
      </w:r>
    </w:p>
    <w:p>
      <w:pPr>
        <w:pStyle w:val="ListNumber"/>
      </w:pPr>
      <w:r>
        <w:t>Close the isolation points and confirm the equipment starts and runs normally.</w:t>
      </w:r>
    </w:p>
    <w:p>
      <w:pPr>
        <w:pStyle w:val="ListNumber"/>
      </w:pPr>
      <w:r>
        <w:t>Close the isolation record with the time of re-energisation.</w:t>
      </w:r>
    </w:p>
    <w:p>
      <w:pPr>
        <w:pStyle w:val="Heading2"/>
      </w:pPr>
      <w:r>
        <w:t>6.10 Locks left on by someone who is not there</w:t>
      </w:r>
    </w:p>
    <w:p>
      <w:r>
        <w:t>A lock may be removed by anyone other than its owner only when the owner cannot be reached and the supervisor has confirmed, in person at the equipment, that nobody is working on it and that it is safe to re-energise. The supervisor records the removal in Appendix A and the owner is told before their next shift. Cutting a lock without this is a disciplinary matter.</w:t>
      </w:r>
    </w:p>
    <w:p>
      <w:pPr>
        <w:pStyle w:val="Heading1"/>
      </w:pPr>
      <w:r>
        <w:t>7. Records</w:t>
      </w:r>
    </w:p>
    <w:p>
      <w:pPr>
        <w:pStyle w:val="ListBullet"/>
      </w:pPr>
      <w:r>
        <w:t>Isolation record (Appendix A), attached to the Salesforce work order and kept for three years.</w:t>
      </w:r>
    </w:p>
    <w:p>
      <w:pPr>
        <w:pStyle w:val="ListBullet"/>
      </w:pPr>
      <w:r>
        <w:t>Updated isolation sheet for the asset when a new supply was found during the walk-down.</w:t>
      </w:r>
    </w:p>
    <w:p>
      <w:pPr>
        <w:pStyle w:val="ListBullet"/>
      </w:pPr>
      <w:r>
        <w:t>Site permit reference in the work order notes.</w:t>
      </w:r>
    </w:p>
    <w:p>
      <w:pPr>
        <w:pStyle w:val="Heading1"/>
      </w:pPr>
      <w:r>
        <w:t>8. References</w:t>
      </w:r>
    </w:p>
    <w:p>
      <w:pPr>
        <w:pStyle w:val="ListBullet"/>
      </w:pPr>
      <w:r>
        <w:t>FS-STD-001 Field Service Standard</w:t>
      </w:r>
    </w:p>
    <w:p>
      <w:pPr>
        <w:pStyle w:val="ListBullet"/>
      </w:pPr>
      <w:r>
        <w:t>Equipment-specific HV procedures (for example HV-PROC-07)</w:t>
      </w:r>
    </w:p>
    <w:p>
      <w:pPr>
        <w:pStyle w:val="ListBullet"/>
      </w:pPr>
      <w:r>
        <w:t>NFPA 70E Standard for Electrical Safety in the Workplace; OSHA 29 CFR 1910.147 and 1910.333</w:t>
      </w:r>
    </w:p>
    <w:p>
      <w:pPr>
        <w:pStyle w:val="ListBullet"/>
      </w:pPr>
      <w:r>
        <w:t>EN 50110-1 Operation of electrical installations; NEN 3140 (Netherlands); PN-EN 50110-1 (Poland)</w:t>
      </w:r>
    </w:p>
    <w:p>
      <w:pPr>
        <w:pStyle w:val="Heading1"/>
      </w:pPr>
      <w:r>
        <w:t>9.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B5E6B"/>
          </w:tcPr>
          <w:p>
            <w:r>
              <w:rPr>
                <w:b/>
                <w:color w:val="FFFFFF"/>
              </w:rPr>
              <w:t>Rev</w:t>
            </w:r>
          </w:p>
        </w:tc>
        <w:tc>
          <w:tcPr>
            <w:tcW w:type="dxa" w:w="2160"/>
            <w:shd w:val="clear" w:color="auto" w:fill="0B5E6B"/>
          </w:tcPr>
          <w:p>
            <w:r>
              <w:rPr>
                <w:b/>
                <w:color w:val="FFFFFF"/>
              </w:rPr>
              <w:t>Date</w:t>
            </w:r>
          </w:p>
        </w:tc>
        <w:tc>
          <w:tcPr>
            <w:tcW w:type="dxa" w:w="2160"/>
            <w:shd w:val="clear" w:color="auto" w:fill="0B5E6B"/>
          </w:tcPr>
          <w:p>
            <w:r>
              <w:rPr>
                <w:b/>
                <w:color w:val="FFFFFF"/>
              </w:rPr>
              <w:t>Author</w:t>
            </w:r>
          </w:p>
        </w:tc>
        <w:tc>
          <w:tcPr>
            <w:tcW w:type="dxa" w:w="2160"/>
            <w:shd w:val="clear" w:color="auto" w:fill="0B5E6B"/>
          </w:tcPr>
          <w:p>
            <w:r>
              <w:rPr>
                <w:b/>
                <w:color w:val="FFFFFF"/>
              </w:rPr>
              <w:t>Change</w:t>
            </w:r>
          </w:p>
        </w:tc>
      </w:tr>
      <w:tr>
        <w:tc>
          <w:tcPr>
            <w:tcW w:type="dxa" w:w="2160"/>
          </w:tcPr>
          <w:p>
            <w:r>
              <w:t>1</w:t>
            </w:r>
          </w:p>
        </w:tc>
        <w:tc>
          <w:tcPr>
            <w:tcW w:type="dxa" w:w="2160"/>
          </w:tcPr>
          <w:p>
            <w:r>
              <w:t>2017-05-02</w:t>
            </w:r>
          </w:p>
        </w:tc>
        <w:tc>
          <w:tcPr>
            <w:tcW w:type="dxa" w:w="2160"/>
          </w:tcPr>
          <w:p>
            <w:r>
              <w:t>K. Watanabe</w:t>
            </w:r>
          </w:p>
        </w:tc>
        <w:tc>
          <w:tcPr>
            <w:tcW w:type="dxa" w:w="2160"/>
          </w:tcPr>
          <w:p>
            <w:r>
              <w:t>First issue (NA).</w:t>
            </w:r>
          </w:p>
        </w:tc>
      </w:tr>
      <w:tr>
        <w:tc>
          <w:tcPr>
            <w:tcW w:type="dxa" w:w="2160"/>
          </w:tcPr>
          <w:p>
            <w:r>
              <w:t>2</w:t>
            </w:r>
          </w:p>
        </w:tc>
        <w:tc>
          <w:tcPr>
            <w:tcW w:type="dxa" w:w="2160"/>
          </w:tcPr>
          <w:p>
            <w:r>
              <w:t>2020-09-14</w:t>
            </w:r>
          </w:p>
        </w:tc>
        <w:tc>
          <w:tcPr>
            <w:tcW w:type="dxa" w:w="2160"/>
          </w:tcPr>
          <w:p>
            <w:r>
              <w:t>K. Watanabe</w:t>
            </w:r>
          </w:p>
        </w:tc>
        <w:tc>
          <w:tcPr>
            <w:tcW w:type="dxa" w:w="2160"/>
          </w:tcPr>
          <w:p>
            <w:r>
              <w:t>Group lock box added (6.3). Shift handover rule added (6.8).</w:t>
            </w:r>
          </w:p>
        </w:tc>
      </w:tr>
      <w:tr>
        <w:tc>
          <w:tcPr>
            <w:tcW w:type="dxa" w:w="2160"/>
          </w:tcPr>
          <w:p>
            <w:r>
              <w:t>3</w:t>
            </w:r>
          </w:p>
        </w:tc>
        <w:tc>
          <w:tcPr>
            <w:tcW w:type="dxa" w:w="2160"/>
          </w:tcPr>
          <w:p>
            <w:r>
              <w:t>2023-02-27</w:t>
            </w:r>
          </w:p>
        </w:tc>
        <w:tc>
          <w:tcPr>
            <w:tcW w:type="dxa" w:w="2160"/>
          </w:tcPr>
          <w:p>
            <w:r>
              <w:t>K. Watanabe</w:t>
            </w:r>
          </w:p>
        </w:tc>
        <w:tc>
          <w:tcPr>
            <w:tcW w:type="dxa" w:w="2160"/>
          </w:tcPr>
          <w:p>
            <w:r>
              <w:t>Section 6.4 added on stored energy in VFDs and rotating machinery, after a near miss on a pump motor turned by back-flow. Non-contact detectors excluded from the test (6.5).</w:t>
            </w:r>
          </w:p>
        </w:tc>
      </w:tr>
      <w:tr>
        <w:tc>
          <w:tcPr>
            <w:tcW w:type="dxa" w:w="2160"/>
          </w:tcPr>
          <w:p>
            <w:r>
              <w:t>4</w:t>
            </w:r>
          </w:p>
        </w:tc>
        <w:tc>
          <w:tcPr>
            <w:tcW w:type="dxa" w:w="2160"/>
          </w:tcPr>
          <w:p>
            <w:r>
              <w:t>2024-11-18</w:t>
            </w:r>
          </w:p>
        </w:tc>
        <w:tc>
          <w:tcPr>
            <w:tcW w:type="dxa" w:w="2160"/>
          </w:tcPr>
          <w:p>
            <w:r>
              <w:t>K. Watanabe / L. Hoffmann</w:t>
            </w:r>
          </w:p>
        </w:tc>
        <w:tc>
          <w:tcPr>
            <w:tcW w:type="dxa" w:w="2160"/>
          </w:tcPr>
          <w:p>
            <w:r>
              <w:t>Scope extended to EU sites after the Kyltek integration. NEN 3140 and Polish references and role definitions added. Kyltek werkvergunning form retired in favour of Appendix A. Lock removal rule (6.10) rewritten.</w:t>
            </w:r>
          </w:p>
        </w:tc>
      </w:tr>
    </w:tbl>
    <w:p/>
    <w:p>
      <w:r>
        <w:br w:type="page"/>
      </w:r>
    </w:p>
    <w:p>
      <w:pPr>
        <w:pStyle w:val="Heading1"/>
      </w:pPr>
      <w:r>
        <w:t>Appendix A. Isolation record</w:t>
      </w:r>
    </w:p>
    <w:tbl>
      <w:tblPr>
        <w:tblStyle w:val="TableGrid"/>
        <w:tblW w:type="auto" w:w="0"/>
        <w:tblLook w:firstColumn="1" w:firstRow="1" w:lastColumn="0" w:lastRow="0" w:noHBand="0" w:noVBand="1" w:val="04A0"/>
      </w:tblPr>
      <w:tblGrid>
        <w:gridCol w:w="4320"/>
        <w:gridCol w:w="4320"/>
      </w:tblGrid>
      <w:tr>
        <w:tc>
          <w:tcPr>
            <w:tcW w:type="dxa" w:w="3744"/>
            <w:shd w:val="clear" w:color="auto" w:fill="0B5E6B"/>
          </w:tcPr>
          <w:p>
            <w:r>
              <w:rPr>
                <w:b/>
                <w:color w:val="FFFFFF"/>
                <w:sz w:val="19"/>
              </w:rPr>
              <w:t>Field</w:t>
            </w:r>
          </w:p>
        </w:tc>
        <w:tc>
          <w:tcPr>
            <w:tcW w:type="dxa" w:w="5616"/>
            <w:shd w:val="clear" w:color="auto" w:fill="0B5E6B"/>
          </w:tcPr>
          <w:p>
            <w:r>
              <w:rPr>
                <w:b/>
                <w:color w:val="FFFFFF"/>
                <w:sz w:val="19"/>
              </w:rPr>
              <w:t>Entry</w:t>
            </w:r>
          </w:p>
        </w:tc>
      </w:tr>
      <w:tr>
        <w:tc>
          <w:tcPr>
            <w:tcW w:type="dxa" w:w="3744"/>
          </w:tcPr>
          <w:p>
            <w:r>
              <w:rPr>
                <w:sz w:val="19"/>
              </w:rPr>
              <w:t>Record no. (work order no. + -E1, -E2...)</w:t>
            </w:r>
          </w:p>
        </w:tc>
        <w:tc>
          <w:tcPr>
            <w:tcW w:type="dxa" w:w="5616"/>
          </w:tcPr>
          <w:p>
            <w:r>
              <w:rPr>
                <w:sz w:val="19"/>
              </w:rPr>
            </w:r>
          </w:p>
        </w:tc>
      </w:tr>
      <w:tr>
        <w:tc>
          <w:tcPr>
            <w:tcW w:type="dxa" w:w="3744"/>
          </w:tcPr>
          <w:p>
            <w:r>
              <w:rPr>
                <w:sz w:val="19"/>
              </w:rPr>
              <w:t>Asset ID / site</w:t>
            </w:r>
          </w:p>
        </w:tc>
        <w:tc>
          <w:tcPr>
            <w:tcW w:type="dxa" w:w="5616"/>
          </w:tcPr>
          <w:p>
            <w:r>
              <w:rPr>
                <w:sz w:val="19"/>
              </w:rPr>
            </w:r>
          </w:p>
        </w:tc>
      </w:tr>
      <w:tr>
        <w:tc>
          <w:tcPr>
            <w:tcW w:type="dxa" w:w="3744"/>
          </w:tcPr>
          <w:p>
            <w:r>
              <w:rPr>
                <w:sz w:val="19"/>
              </w:rPr>
              <w:t>Site permit reference (if any)</w:t>
            </w:r>
          </w:p>
        </w:tc>
        <w:tc>
          <w:tcPr>
            <w:tcW w:type="dxa" w:w="5616"/>
          </w:tcPr>
          <w:p>
            <w:r>
              <w:rPr>
                <w:sz w:val="19"/>
              </w:rPr>
            </w:r>
          </w:p>
        </w:tc>
      </w:tr>
      <w:tr>
        <w:tc>
          <w:tcPr>
            <w:tcW w:type="dxa" w:w="3744"/>
          </w:tcPr>
          <w:p>
            <w:r>
              <w:rPr>
                <w:sz w:val="19"/>
              </w:rPr>
              <w:t>Site contact informed: name, time</w:t>
            </w:r>
          </w:p>
        </w:tc>
        <w:tc>
          <w:tcPr>
            <w:tcW w:type="dxa" w:w="5616"/>
          </w:tcPr>
          <w:p>
            <w:r>
              <w:rPr>
                <w:sz w:val="19"/>
              </w:rPr>
            </w:r>
          </w:p>
        </w:tc>
      </w:tr>
      <w:tr>
        <w:tc>
          <w:tcPr>
            <w:tcW w:type="dxa" w:w="3744"/>
          </w:tcPr>
          <w:p>
            <w:r>
              <w:rPr>
                <w:sz w:val="19"/>
              </w:rPr>
              <w:t>Isolation points (tag, location, lock no.)</w:t>
            </w:r>
          </w:p>
        </w:tc>
        <w:tc>
          <w:tcPr>
            <w:tcW w:type="dxa" w:w="5616"/>
          </w:tcPr>
          <w:p>
            <w:r>
              <w:rPr>
                <w:sz w:val="19"/>
              </w:rPr>
            </w:r>
          </w:p>
        </w:tc>
      </w:tr>
      <w:tr>
        <w:tc>
          <w:tcPr>
            <w:tcW w:type="dxa" w:w="3744"/>
          </w:tcPr>
          <w:p>
            <w:r>
              <w:rPr>
                <w:sz w:val="19"/>
              </w:rPr>
              <w:t>Stored energy wait time applied (min)</w:t>
            </w:r>
          </w:p>
        </w:tc>
        <w:tc>
          <w:tcPr>
            <w:tcW w:type="dxa" w:w="5616"/>
          </w:tcPr>
          <w:p>
            <w:r>
              <w:rPr>
                <w:sz w:val="19"/>
              </w:rPr>
            </w:r>
          </w:p>
        </w:tc>
      </w:tr>
      <w:tr>
        <w:tc>
          <w:tcPr>
            <w:tcW w:type="dxa" w:w="3744"/>
          </w:tcPr>
          <w:p>
            <w:r>
              <w:rPr>
                <w:sz w:val="19"/>
              </w:rPr>
              <w:t>Tester make, serial, CAT rating, calibration due</w:t>
            </w:r>
          </w:p>
        </w:tc>
        <w:tc>
          <w:tcPr>
            <w:tcW w:type="dxa" w:w="5616"/>
          </w:tcPr>
          <w:p>
            <w:r>
              <w:rPr>
                <w:sz w:val="19"/>
              </w:rPr>
            </w:r>
          </w:p>
        </w:tc>
      </w:tr>
      <w:tr>
        <w:tc>
          <w:tcPr>
            <w:tcW w:type="dxa" w:w="3744"/>
          </w:tcPr>
          <w:p>
            <w:r>
              <w:rPr>
                <w:sz w:val="19"/>
              </w:rPr>
              <w:t>Proved before (Y/N) / proved after (Y/N)</w:t>
            </w:r>
          </w:p>
        </w:tc>
        <w:tc>
          <w:tcPr>
            <w:tcW w:type="dxa" w:w="5616"/>
          </w:tcPr>
          <w:p>
            <w:r>
              <w:rPr>
                <w:sz w:val="19"/>
              </w:rPr>
            </w:r>
          </w:p>
        </w:tc>
      </w:tr>
      <w:tr>
        <w:tc>
          <w:tcPr>
            <w:tcW w:type="dxa" w:w="3744"/>
          </w:tcPr>
          <w:p>
            <w:r>
              <w:rPr>
                <w:sz w:val="19"/>
              </w:rPr>
              <w:t>Readings at point of work (L1-L2, L2-L3, L1-L3, L-N, L-PE or DC +/-, +PE, -PE)</w:t>
            </w:r>
          </w:p>
        </w:tc>
        <w:tc>
          <w:tcPr>
            <w:tcW w:type="dxa" w:w="5616"/>
          </w:tcPr>
          <w:p>
            <w:r>
              <w:rPr>
                <w:sz w:val="19"/>
              </w:rPr>
            </w:r>
          </w:p>
        </w:tc>
      </w:tr>
      <w:tr>
        <w:tc>
          <w:tcPr>
            <w:tcW w:type="dxa" w:w="3744"/>
          </w:tcPr>
          <w:p>
            <w:r>
              <w:rPr>
                <w:sz w:val="19"/>
              </w:rPr>
              <w:t>Temporary earths: number on / number off</w:t>
            </w:r>
          </w:p>
        </w:tc>
        <w:tc>
          <w:tcPr>
            <w:tcW w:type="dxa" w:w="5616"/>
          </w:tcPr>
          <w:p>
            <w:r>
              <w:rPr>
                <w:sz w:val="19"/>
              </w:rPr>
            </w:r>
          </w:p>
        </w:tc>
      </w:tr>
      <w:tr>
        <w:tc>
          <w:tcPr>
            <w:tcW w:type="dxa" w:w="3744"/>
          </w:tcPr>
          <w:p>
            <w:r>
              <w:rPr>
                <w:sz w:val="19"/>
              </w:rPr>
              <w:t>Persons working and their personal locks</w:t>
            </w:r>
          </w:p>
        </w:tc>
        <w:tc>
          <w:tcPr>
            <w:tcW w:type="dxa" w:w="5616"/>
          </w:tcPr>
          <w:p>
            <w:r>
              <w:rPr>
                <w:sz w:val="19"/>
              </w:rPr>
            </w:r>
          </w:p>
        </w:tc>
      </w:tr>
      <w:tr>
        <w:tc>
          <w:tcPr>
            <w:tcW w:type="dxa" w:w="3744"/>
          </w:tcPr>
          <w:p>
            <w:r>
              <w:rPr>
                <w:sz w:val="19"/>
              </w:rPr>
              <w:t>Handover: outgoing / incoming technician, time</w:t>
            </w:r>
          </w:p>
        </w:tc>
        <w:tc>
          <w:tcPr>
            <w:tcW w:type="dxa" w:w="5616"/>
          </w:tcPr>
          <w:p>
            <w:r>
              <w:rPr>
                <w:sz w:val="19"/>
              </w:rPr>
            </w:r>
          </w:p>
        </w:tc>
      </w:tr>
      <w:tr>
        <w:tc>
          <w:tcPr>
            <w:tcW w:type="dxa" w:w="3744"/>
          </w:tcPr>
          <w:p>
            <w:r>
              <w:rPr>
                <w:sz w:val="19"/>
              </w:rPr>
              <w:t>Re-energised: time, by</w:t>
            </w:r>
          </w:p>
        </w:tc>
        <w:tc>
          <w:tcPr>
            <w:tcW w:type="dxa" w:w="5616"/>
          </w:tcPr>
          <w:p>
            <w:r>
              <w:rPr>
                <w:sz w:val="19"/>
              </w:rPr>
            </w:r>
          </w:p>
        </w:tc>
      </w:tr>
      <w:tr>
        <w:tc>
          <w:tcPr>
            <w:tcW w:type="dxa" w:w="3744"/>
          </w:tcPr>
          <w:p>
            <w:r>
              <w:rPr>
                <w:sz w:val="19"/>
              </w:rPr>
              <w:t>Lock removed under 6.10: supervisor, reason</w:t>
            </w:r>
          </w:p>
        </w:tc>
        <w:tc>
          <w:tcPr>
            <w:tcW w:type="dxa" w:w="5616"/>
          </w:tcPr>
          <w:p>
            <w:r>
              <w:rPr>
                <w:sz w:val="19"/>
              </w:rPr>
            </w:r>
          </w:p>
        </w:tc>
      </w:tr>
      <w:tr>
        <w:tc>
          <w:tcPr>
            <w:tcW w:type="dxa" w:w="3744"/>
          </w:tcPr>
          <w:p>
            <w:r>
              <w:rPr>
                <w:sz w:val="19"/>
              </w:rPr>
              <w:t>Authorised technician name, certificate no., signature</w:t>
            </w:r>
          </w:p>
        </w:tc>
        <w:tc>
          <w:tcPr>
            <w:tcW w:type="dxa" w:w="5616"/>
          </w:tcPr>
          <w:p>
            <w:r>
              <w:rPr>
                <w:sz w:val="19"/>
              </w:rPr>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Controlled when viewed in SharePoint. Uncontrolled when printed. Check the revision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B5E6B"/>
        <w:sz w:val="16"/>
      </w:rPr>
      <w:t>CORVANE FIELD SERVICES</w:t>
      <w:tab/>
      <w:tab/>
      <w:t>HV-PROC-02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E6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E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HV-PROC-02 Electrical Isolation and Verification of Absence of Voltage</dc:title>
  <dc:subject>Corvane Field Services controlled procedure</dc:subject>
  <dc:creator>Kenji Watanabe</dc:creator>
  <cp:keywords/>
  <dc:description>generated by python-docx</dc:description>
  <cp:lastModifiedBy/>
  <cp:revision>1</cp:revision>
  <dcterms:created xsi:type="dcterms:W3CDTF">2024-11-18T00:00:00Z</dcterms:created>
  <dcterms:modified xsi:type="dcterms:W3CDTF">2024-11-18T00:00:00Z</dcterms:modified>
  <cp:category/>
</cp:coreProperties>
</file>