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E6B"/>
          <w:sz w:val="34"/>
        </w:rPr>
        <w:t>SOP-020  Chiller Leak Test and Refrigerant Recharge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BEE"/>
          </w:tcPr>
          <w:p>
            <w:r>
              <w:rPr>
                <w:b/>
              </w:rPr>
              <w:t>Document no.</w:t>
            </w:r>
          </w:p>
        </w:tc>
        <w:tc>
          <w:tcPr>
            <w:tcW w:type="dxa" w:w="2160"/>
          </w:tcPr>
          <w:p>
            <w:r>
              <w:t>SOP-020</w:t>
            </w:r>
          </w:p>
        </w:tc>
        <w:tc>
          <w:tcPr>
            <w:tcW w:type="dxa" w:w="2160"/>
            <w:shd w:val="clear" w:color="auto" w:fill="DCEBEE"/>
          </w:tcPr>
          <w:p>
            <w:r>
              <w:rPr>
                <w:b/>
              </w:rPr>
              <w:t>Revision</w:t>
            </w:r>
          </w:p>
        </w:tc>
        <w:tc>
          <w:tcPr>
            <w:tcW w:type="dxa" w:w="2160"/>
          </w:tcPr>
          <w:p>
            <w:r>
              <w:t>3</w:t>
            </w:r>
          </w:p>
        </w:tc>
      </w:tr>
      <w:tr>
        <w:tc>
          <w:tcPr>
            <w:tcW w:type="dxa" w:w="2160"/>
            <w:shd w:val="clear" w:color="auto" w:fill="DCEBEE"/>
          </w:tcPr>
          <w:p>
            <w:r>
              <w:rPr>
                <w:b/>
              </w:rPr>
              <w:t>Effective date</w:t>
            </w:r>
          </w:p>
        </w:tc>
        <w:tc>
          <w:tcPr>
            <w:tcW w:type="dxa" w:w="2160"/>
          </w:tcPr>
          <w:p>
            <w:r>
              <w:t>2025-06-11</w:t>
            </w:r>
          </w:p>
        </w:tc>
        <w:tc>
          <w:tcPr>
            <w:tcW w:type="dxa" w:w="2160"/>
            <w:shd w:val="clear" w:color="auto" w:fill="DCEBEE"/>
          </w:tcPr>
          <w:p>
            <w:r>
              <w:rPr>
                <w:b/>
              </w:rPr>
              <w:t>Next review</w:t>
            </w:r>
          </w:p>
        </w:tc>
        <w:tc>
          <w:tcPr>
            <w:tcW w:type="dxa" w:w="2160"/>
          </w:tcPr>
          <w:p>
            <w:r>
              <w:t>2026-06-11 (overdue)</w:t>
            </w:r>
          </w:p>
        </w:tc>
      </w:tr>
      <w:tr>
        <w:tc>
          <w:tcPr>
            <w:tcW w:type="dxa" w:w="2160"/>
            <w:shd w:val="clear" w:color="auto" w:fill="DCEBEE"/>
          </w:tcPr>
          <w:p>
            <w:r>
              <w:rPr>
                <w:b/>
              </w:rPr>
              <w:t>Owner</w:t>
            </w:r>
          </w:p>
        </w:tc>
        <w:tc>
          <w:tcPr>
            <w:tcW w:type="dxa" w:w="2160"/>
          </w:tcPr>
          <w:p>
            <w:r>
              <w:t>Rachel Lindqvist, Director of Field Service Operations, NA</w:t>
            </w:r>
          </w:p>
        </w:tc>
        <w:tc>
          <w:tcPr>
            <w:tcW w:type="dxa" w:w="2160"/>
            <w:shd w:val="clear" w:color="auto" w:fill="DCEBEE"/>
          </w:tcPr>
          <w:p>
            <w:r>
              <w:rPr>
                <w:b/>
              </w:rPr>
              <w:t>Approved by</w:t>
            </w:r>
          </w:p>
        </w:tc>
        <w:tc>
          <w:tcPr>
            <w:tcW w:type="dxa" w:w="2160"/>
          </w:tcPr>
          <w:p>
            <w:r>
              <w:t>Rachel Lindqvist</w:t>
            </w:r>
          </w:p>
        </w:tc>
      </w:tr>
    </w:tbl>
    <w:p/>
    <w:p>
      <w:pPr>
        <w:pStyle w:val="Heading1"/>
      </w:pPr>
      <w:r>
        <w:t>1. Purpose</w:t>
      </w:r>
    </w:p>
    <w:p>
      <w:r>
        <w:t>This procedure defines how Corvane technicians find and repair refrigerant leaks and restore the refrigerant charge on air-cooled chillers. It exists because topping up a leaking system hides the fault, wastes refrigerant, breaks refrigerant regulations, and brings the technician back to the same unit within weeks.</w:t>
      </w:r>
    </w:p>
    <w:p>
      <w:pPr>
        <w:pStyle w:val="Heading1"/>
      </w:pPr>
      <w:r>
        <w:t>2. Scope</w:t>
      </w:r>
    </w:p>
    <w:p>
      <w:r>
        <w:t>All air-cooled chillers maintained by Corvane, including Nordkyl NK-300 and NK-600 units, in all regions. This procedure applies whenever a refrigerant circuit is opened, whenever a low refrigerant charge is suspected (for example low suction pressure alarms, high superheat, bubbles in the liquid line sight glass), and for the annual leak check required by regulation.</w:t>
      </w:r>
    </w:p>
    <w:p>
      <w:r>
        <w:t>It does not cover ammonia (R-717) systems, which are serviced only by the specialist refrigeration team under SOP-024.</w:t>
      </w:r>
    </w:p>
    <w:p>
      <w:pPr>
        <w:pStyle w:val="Heading1"/>
      </w:pPr>
      <w:r>
        <w:t>3. Definitions</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Term</w:t>
            </w:r>
          </w:p>
        </w:tc>
        <w:tc>
          <w:tcPr>
            <w:tcW w:type="dxa" w:w="4320"/>
            <w:shd w:val="clear" w:color="auto" w:fill="0B5E6B"/>
          </w:tcPr>
          <w:p>
            <w:r>
              <w:rPr>
                <w:b/>
                <w:color w:val="FFFFFF"/>
              </w:rPr>
              <w:t>Meaning</w:t>
            </w:r>
          </w:p>
        </w:tc>
      </w:tr>
      <w:tr>
        <w:tc>
          <w:tcPr>
            <w:tcW w:type="dxa" w:w="4320"/>
          </w:tcPr>
          <w:p>
            <w:r>
              <w:t>Certified technician</w:t>
            </w:r>
          </w:p>
        </w:tc>
        <w:tc>
          <w:tcPr>
            <w:tcW w:type="dxa" w:w="4320"/>
          </w:tcPr>
          <w:p>
            <w:r>
              <w:t>A technician holding EPA Section 608 Type II or Universal certification (US) or an EU F-gas Category I certificate (EU). Recorded in the Technician Certification Matrix.</w:t>
            </w:r>
          </w:p>
        </w:tc>
      </w:tr>
      <w:tr>
        <w:tc>
          <w:tcPr>
            <w:tcW w:type="dxa" w:w="4320"/>
          </w:tcPr>
          <w:p>
            <w:r>
              <w:t>Top-up</w:t>
            </w:r>
          </w:p>
        </w:tc>
        <w:tc>
          <w:tcPr>
            <w:tcW w:type="dxa" w:w="4320"/>
          </w:tcPr>
          <w:p>
            <w:r>
              <w:t>Adding refrigerant to a circuit without first finding and repairing the cause of the loss.</w:t>
            </w:r>
          </w:p>
        </w:tc>
      </w:tr>
      <w:tr>
        <w:tc>
          <w:tcPr>
            <w:tcW w:type="dxa" w:w="4320"/>
          </w:tcPr>
          <w:p>
            <w:r>
              <w:t>Nameplate charge</w:t>
            </w:r>
          </w:p>
        </w:tc>
        <w:tc>
          <w:tcPr>
            <w:tcW w:type="dxa" w:w="4320"/>
          </w:tcPr>
          <w:p>
            <w:r>
              <w:t>The factory refrigerant charge per circuit, from the unit nameplate.</w:t>
            </w:r>
          </w:p>
        </w:tc>
      </w:tr>
      <w:tr>
        <w:tc>
          <w:tcPr>
            <w:tcW w:type="dxa" w:w="4320"/>
          </w:tcPr>
          <w:p>
            <w:r>
              <w:t>Standing pressure test</w:t>
            </w:r>
          </w:p>
        </w:tc>
        <w:tc>
          <w:tcPr>
            <w:tcW w:type="dxa" w:w="4320"/>
          </w:tcPr>
          <w:p>
            <w:r>
              <w:t>Pressurising a repaired circuit with dry nitrogen and checking that pressure holds over time.</w:t>
            </w:r>
          </w:p>
        </w:tc>
      </w:tr>
      <w:tr>
        <w:tc>
          <w:tcPr>
            <w:tcW w:type="dxa" w:w="4320"/>
          </w:tcPr>
          <w:p>
            <w:r>
              <w:t>Campaign</w:t>
            </w:r>
          </w:p>
        </w:tc>
        <w:tc>
          <w:tcPr>
            <w:tcW w:type="dxa" w:w="4320"/>
          </w:tcPr>
          <w:p>
            <w:r>
              <w:t>A manufacturer-issued corrective action for a defined serial range, announced by service bulletin.</w:t>
            </w:r>
          </w:p>
        </w:tc>
      </w:tr>
    </w:tbl>
    <w:p/>
    <w:p>
      <w:pPr>
        <w:pStyle w:val="Heading1"/>
      </w:pPr>
      <w:r>
        <w:t>4. Responsibilities</w:t>
      </w:r>
    </w:p>
    <w:p>
      <w:pPr>
        <w:pStyle w:val="ListBullet"/>
      </w:pPr>
      <w:r>
        <w:t>Certified technician: carries out the leak test, repair, evacuation and charging, and completes the records in section 7.</w:t>
      </w:r>
    </w:p>
    <w:p>
      <w:pPr>
        <w:pStyle w:val="ListBullet"/>
      </w:pPr>
      <w:r>
        <w:t>Non-certified technician: may read pressures and temperatures and inspect for icing or oil stains, but must not connect gauges to the refrigerant circuit, recover, or add refrigerant. Raises a work order stating that refrigerant certification is required.</w:t>
      </w:r>
    </w:p>
    <w:p>
      <w:pPr>
        <w:pStyle w:val="ListBullet"/>
      </w:pPr>
      <w:r>
        <w:t>Supervisor: approves the work order and assigns a certified technician.</w:t>
      </w:r>
    </w:p>
    <w:p>
      <w:pPr>
        <w:pStyle w:val="ListBullet"/>
      </w:pPr>
      <w:r>
        <w:t>Team lead: reviews the refrigerant log monthly and reports any unit that needed charge twice in 12 months.</w:t>
      </w:r>
    </w:p>
    <w:p>
      <w:pPr>
        <w:pStyle w:val="Heading1"/>
      </w:pPr>
      <w:r>
        <w:t>5. Safety</w:t>
      </w:r>
    </w:p>
    <w:tbl>
      <w:tblPr>
        <w:tblStyle w:val="TableGrid"/>
        <w:tblW w:type="auto" w:w="0"/>
        <w:tblLook w:firstColumn="1" w:firstRow="1" w:lastColumn="0" w:lastRow="0" w:noHBand="0" w:noVBand="1" w:val="04A0"/>
      </w:tblPr>
      <w:tblGrid>
        <w:gridCol w:w="8640"/>
      </w:tblGrid>
      <w:tr>
        <w:tc>
          <w:tcPr>
            <w:tcW w:type="dxa" w:w="8640"/>
            <w:shd w:val="clear" w:color="auto" w:fill="FFF4D6"/>
          </w:tcPr>
          <w:p>
            <w:r/>
            <w:r>
              <w:rPr>
                <w:b/>
              </w:rPr>
              <w:t xml:space="preserve">WARNING: </w:t>
            </w:r>
            <w:r>
              <w:t>Refrigerant can cause frostbite and, in enclosed spaces, asphyxiation. Wear safety glasses and cryogenic gloves when connecting hoses. Ventilate plant rooms before work. R-513A is classified A1 (non-flammable), but its decomposition products near open flames or hot surfaces are toxic.</w:t>
            </w:r>
          </w:p>
        </w:tc>
      </w:tr>
    </w:tbl>
    <w:p/>
    <w:tbl>
      <w:tblPr>
        <w:tblStyle w:val="TableGrid"/>
        <w:tblW w:type="auto" w:w="0"/>
        <w:tblLook w:firstColumn="1" w:firstRow="1" w:lastColumn="0" w:lastRow="0" w:noHBand="0" w:noVBand="1" w:val="04A0"/>
      </w:tblPr>
      <w:tblGrid>
        <w:gridCol w:w="8640"/>
      </w:tblGrid>
      <w:tr>
        <w:tc>
          <w:tcPr>
            <w:tcW w:type="dxa" w:w="8640"/>
            <w:shd w:val="clear" w:color="auto" w:fill="F9D9D9"/>
          </w:tcPr>
          <w:p>
            <w:r/>
            <w:r>
              <w:rPr>
                <w:b/>
              </w:rPr>
              <w:t xml:space="preserve">STOP: </w:t>
            </w:r>
            <w:r>
              <w:t>Never top up a circuit to clear a low suction pressure alarm. If you cannot find the cause, stop and escalate.</w:t>
            </w:r>
          </w:p>
        </w:tc>
      </w:tr>
    </w:tbl>
    <w:p/>
    <w:p>
      <w:pPr>
        <w:pStyle w:val="Heading1"/>
      </w:pPr>
      <w:r>
        <w:t>6. Procedure</w:t>
      </w:r>
    </w:p>
    <w:p>
      <w:pPr>
        <w:pStyle w:val="Heading2"/>
      </w:pPr>
      <w:r>
        <w:t>6.1 Before you connect gauges</w:t>
      </w:r>
    </w:p>
    <w:p>
      <w:pPr>
        <w:pStyle w:val="ListNumber"/>
      </w:pPr>
      <w:r>
        <w:t>Check the asset's serial number against open service bulletins and campaigns for the model. On Nordkyl NK-600 units covered by the EXV replacement campaign, follow the bulletin first: a sticking expansion valve produces the same alarm as a low charge.</w:t>
      </w:r>
    </w:p>
    <w:p>
      <w:pPr>
        <w:pStyle w:val="ListNumber"/>
      </w:pPr>
      <w:r>
        <w:t>Read the alarm history on the controller. Note which circuit alarmed, when, and the suction and discharge pressures at the time.</w:t>
      </w:r>
    </w:p>
    <w:p>
      <w:pPr>
        <w:pStyle w:val="ListNumber"/>
      </w:pPr>
      <w:r>
        <w:t>Check for causes that are not a leak: an iced evaporator, low chilled water flow, a dirty condenser coil, a blocked filter drier (temperature drop across the drier above 3 C), or an expansion valve not modulating.</w:t>
      </w:r>
    </w:p>
    <w:p>
      <w:pPr>
        <w:pStyle w:val="ListNumber"/>
      </w:pPr>
      <w:r>
        <w:t>Inspect for oil stains at joints, flare nuts, service valves and the compressor. Oil marks the place where refrigerant escapes.</w:t>
      </w:r>
    </w:p>
    <w:p>
      <w:pPr>
        <w:pStyle w:val="Heading2"/>
      </w:pPr>
      <w:r>
        <w:t>6.2 Leak test</w:t>
      </w:r>
    </w:p>
    <w:p>
      <w:pPr>
        <w:pStyle w:val="ListNumber"/>
      </w:pPr>
      <w:r>
        <w:t>Run the unit and leak test both circuits with a calibrated electronic leak detector (sensitivity 3 g/year or better). Move the probe at no more than 5 cm per second, below joints, because R-513A is heavier than air.</w:t>
      </w:r>
    </w:p>
    <w:p>
      <w:pPr>
        <w:pStyle w:val="ListNumber"/>
      </w:pPr>
      <w:r>
        <w:t>Confirm every indication with bubble solution before opening the circuit.</w:t>
      </w:r>
    </w:p>
    <w:p>
      <w:pPr>
        <w:pStyle w:val="ListNumber"/>
      </w:pPr>
      <w:r>
        <w:t>If no leak is found but the charge is low, do not top up. Record the result, tag the unit, and escalate to the team lead for an ultrasonic or tracer-gas test. A charge that disappeared went somewhere.</w:t>
      </w:r>
    </w:p>
    <w:p>
      <w:pPr>
        <w:pStyle w:val="Heading2"/>
      </w:pPr>
      <w:r>
        <w:t>6.3 Repair and pressure test</w:t>
      </w:r>
    </w:p>
    <w:p>
      <w:pPr>
        <w:pStyle w:val="ListNumber"/>
      </w:pPr>
      <w:r>
        <w:t>Recover the refrigerant from the affected circuit into a labelled recovery cylinder. Weigh and record the recovered amount.</w:t>
      </w:r>
    </w:p>
    <w:p>
      <w:pPr>
        <w:pStyle w:val="ListNumber"/>
      </w:pPr>
      <w:r>
        <w:t>Repair the leak. Replace the filter drier (part 63-0410) whenever the circuit has been opened.</w:t>
      </w:r>
    </w:p>
    <w:p>
      <w:pPr>
        <w:pStyle w:val="ListNumber"/>
      </w:pPr>
      <w:r>
        <w:t>Fit the gauge manifold and nitrogen regulator. Never pressurise directly from the nitrogen cylinder without a regulator.</w:t>
      </w:r>
    </w:p>
    <w:p>
      <w:pPr>
        <w:pStyle w:val="ListNumber"/>
      </w:pPr>
      <w:r>
        <w:t>Pressurise in steps: 3 bar, check for audible leaks; 10 bar, check with bubble solution.</w:t>
      </w:r>
    </w:p>
    <w:p>
      <w:pPr>
        <w:pStyle w:val="ListNumber"/>
      </w:pPr>
      <w:r>
        <w:t>Pressurize with dry nitrogen to 15 bar, hold for 30 minutes, and assess the result against the acceptance criteria in Appendix C. Record the start and end pressure and the ambient temperature at start and end, because nitrogen pressure changes with temperature.</w:t>
      </w:r>
    </w:p>
    <w:p>
      <w:pPr>
        <w:pStyle w:val="ListNumber"/>
      </w:pPr>
      <w:r>
        <w:t>Release the nitrogen to atmosphere outdoors.</w:t>
      </w:r>
    </w:p>
    <w:p>
      <w:pPr>
        <w:pStyle w:val="Heading2"/>
      </w:pPr>
      <w:r>
        <w:t>6.4 Evacuation</w:t>
      </w:r>
    </w:p>
    <w:p>
      <w:pPr>
        <w:pStyle w:val="ListNumber"/>
      </w:pPr>
      <w:r>
        <w:t>Connect a vacuum pump with short, large-bore hoses and remove the Schrader cores for faster evacuation.</w:t>
      </w:r>
    </w:p>
    <w:p>
      <w:pPr>
        <w:pStyle w:val="ListNumber"/>
      </w:pPr>
      <w:r>
        <w:t>Evacuate to below 500 microns.</w:t>
      </w:r>
    </w:p>
    <w:p>
      <w:pPr>
        <w:pStyle w:val="ListNumber"/>
      </w:pPr>
      <w:r>
        <w:t>Isolate the pump and hold for 15 minutes. If the vacuum rises above 1,000 microns, there is moisture or a leak: return to 6.3.</w:t>
      </w:r>
    </w:p>
    <w:p>
      <w:pPr>
        <w:pStyle w:val="Heading2"/>
      </w:pPr>
      <w:r>
        <w:t>6.5 Charging</w:t>
      </w:r>
    </w:p>
    <w:p>
      <w:pPr>
        <w:pStyle w:val="ListNumber"/>
      </w:pPr>
      <w:r>
        <w:t>Charge by weight to the nameplate charge of the circuit, as liquid, through the liquid line service valve.</w:t>
      </w:r>
    </w:p>
    <w:p>
      <w:pPr>
        <w:pStyle w:val="ListNumber"/>
      </w:pPr>
      <w:r>
        <w:t>Start the circuit and check suction pressure, discharge pressure, superheat and subcooling against the values in the manufacturer's manual.</w:t>
      </w:r>
    </w:p>
    <w:p>
      <w:pPr>
        <w:pStyle w:val="ListNumber"/>
      </w:pPr>
      <w:r>
        <w:t>Leak test the repaired joint again with the unit running.</w:t>
      </w:r>
    </w:p>
    <w:p>
      <w:pPr>
        <w:pStyle w:val="ListNumber"/>
      </w:pPr>
      <w:r>
        <w:t>Label the unit with the refrigerant type, the total charge and the date.</w:t>
      </w:r>
    </w:p>
    <w:tbl>
      <w:tblPr>
        <w:tblStyle w:val="TableGrid"/>
        <w:tblW w:type="auto" w:w="0"/>
        <w:tblLook w:firstColumn="1" w:firstRow="1" w:lastColumn="0" w:lastRow="0" w:noHBand="0" w:noVBand="1" w:val="04A0"/>
      </w:tblPr>
      <w:tblGrid>
        <w:gridCol w:w="8640"/>
      </w:tblGrid>
      <w:tr>
        <w:tc>
          <w:tcPr>
            <w:tcW w:type="dxa" w:w="8640"/>
            <w:shd w:val="clear" w:color="auto" w:fill="FFF4D6"/>
          </w:tcPr>
          <w:p>
            <w:r/>
            <w:r>
              <w:rPr>
                <w:b/>
              </w:rPr>
              <w:t xml:space="preserve">NOTE: </w:t>
            </w:r>
            <w:r>
              <w:t>In the EU, units with a charge of 5 t CO2-equivalent or more need periodic leak checks by law. For R-513A (GWP 631) that is any circuit above 7.9 kg. Every NK-600 and NK-300 qualifies.</w:t>
            </w:r>
          </w:p>
        </w:tc>
      </w:tr>
    </w:tbl>
    <w:p/>
    <w:p>
      <w:pPr>
        <w:pStyle w:val="Heading1"/>
      </w:pPr>
      <w:r>
        <w:t>7. Records</w:t>
      </w:r>
    </w:p>
    <w:p>
      <w:pPr>
        <w:pStyle w:val="ListBullet"/>
      </w:pPr>
      <w:r>
        <w:t>Leak test record (Appendix A), attached to the Salesforce work order.</w:t>
      </w:r>
    </w:p>
    <w:p>
      <w:pPr>
        <w:pStyle w:val="ListBullet"/>
      </w:pPr>
      <w:r>
        <w:t>Refrigerant log entry for every gram recovered or charged (Appendix B), including cylinder number.</w:t>
      </w:r>
    </w:p>
    <w:p>
      <w:pPr>
        <w:pStyle w:val="ListBullet"/>
      </w:pPr>
      <w:r>
        <w:t>Work order notes stating the leak location, the repair, and the bulletin or campaign checked in step 6.1.1.</w:t>
      </w:r>
    </w:p>
    <w:p>
      <w:pPr>
        <w:pStyle w:val="Heading1"/>
      </w:pPr>
      <w:r>
        <w:t>8. References</w:t>
      </w:r>
    </w:p>
    <w:p>
      <w:pPr>
        <w:pStyle w:val="ListBullet"/>
      </w:pPr>
      <w:r>
        <w:t>FS-STD-001 Field Service Standard</w:t>
      </w:r>
    </w:p>
    <w:p>
      <w:pPr>
        <w:pStyle w:val="ListBullet"/>
      </w:pPr>
      <w:r>
        <w:t>Refrigerant Handling and F-Gas Compliance (Confluence, Field Service space)</w:t>
      </w:r>
    </w:p>
    <w:p>
      <w:pPr>
        <w:pStyle w:val="ListBullet"/>
      </w:pPr>
      <w:r>
        <w:t>Manufacturer service manuals and service bulletins for the unit</w:t>
      </w:r>
    </w:p>
    <w:p>
      <w:pPr>
        <w:pStyle w:val="ListBullet"/>
      </w:pPr>
      <w:r>
        <w:t>US EPA 40 CFR Part 82 Subpart F; EU Regulation (EU) 2024/573 on fluorinated greenhouse gases</w:t>
      </w:r>
    </w:p>
    <w:p>
      <w:pPr>
        <w:pStyle w:val="Heading1"/>
      </w:pPr>
      <w:r>
        <w:t>9.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B5E6B"/>
          </w:tcPr>
          <w:p>
            <w:r>
              <w:rPr>
                <w:b/>
                <w:color w:val="FFFFFF"/>
              </w:rPr>
              <w:t>Rev</w:t>
            </w:r>
          </w:p>
        </w:tc>
        <w:tc>
          <w:tcPr>
            <w:tcW w:type="dxa" w:w="2160"/>
            <w:shd w:val="clear" w:color="auto" w:fill="0B5E6B"/>
          </w:tcPr>
          <w:p>
            <w:r>
              <w:rPr>
                <w:b/>
                <w:color w:val="FFFFFF"/>
              </w:rPr>
              <w:t>Date</w:t>
            </w:r>
          </w:p>
        </w:tc>
        <w:tc>
          <w:tcPr>
            <w:tcW w:type="dxa" w:w="2160"/>
            <w:shd w:val="clear" w:color="auto" w:fill="0B5E6B"/>
          </w:tcPr>
          <w:p>
            <w:r>
              <w:rPr>
                <w:b/>
                <w:color w:val="FFFFFF"/>
              </w:rPr>
              <w:t>Author</w:t>
            </w:r>
          </w:p>
        </w:tc>
        <w:tc>
          <w:tcPr>
            <w:tcW w:type="dxa" w:w="2160"/>
            <w:shd w:val="clear" w:color="auto" w:fill="0B5E6B"/>
          </w:tcPr>
          <w:p>
            <w:r>
              <w:rPr>
                <w:b/>
                <w:color w:val="FFFFFF"/>
              </w:rPr>
              <w:t>Change</w:t>
            </w:r>
          </w:p>
        </w:tc>
      </w:tr>
      <w:tr>
        <w:tc>
          <w:tcPr>
            <w:tcW w:type="dxa" w:w="2160"/>
          </w:tcPr>
          <w:p>
            <w:r>
              <w:t>1</w:t>
            </w:r>
          </w:p>
        </w:tc>
        <w:tc>
          <w:tcPr>
            <w:tcW w:type="dxa" w:w="2160"/>
          </w:tcPr>
          <w:p>
            <w:r>
              <w:t>2022-03-08</w:t>
            </w:r>
          </w:p>
        </w:tc>
        <w:tc>
          <w:tcPr>
            <w:tcW w:type="dxa" w:w="2160"/>
          </w:tcPr>
          <w:p>
            <w:r>
              <w:t>G. Liu</w:t>
            </w:r>
          </w:p>
        </w:tc>
        <w:tc>
          <w:tcPr>
            <w:tcW w:type="dxa" w:w="2160"/>
          </w:tcPr>
          <w:p>
            <w:r>
              <w:t>First issue (NA)</w:t>
            </w:r>
          </w:p>
        </w:tc>
      </w:tr>
      <w:tr>
        <w:tc>
          <w:tcPr>
            <w:tcW w:type="dxa" w:w="2160"/>
          </w:tcPr>
          <w:p>
            <w:r>
              <w:t>2</w:t>
            </w:r>
          </w:p>
        </w:tc>
        <w:tc>
          <w:tcPr>
            <w:tcW w:type="dxa" w:w="2160"/>
          </w:tcPr>
          <w:p>
            <w:r>
              <w:t>2024-09-30</w:t>
            </w:r>
          </w:p>
        </w:tc>
        <w:tc>
          <w:tcPr>
            <w:tcW w:type="dxa" w:w="2160"/>
          </w:tcPr>
          <w:p>
            <w:r>
              <w:t>G. Liu</w:t>
            </w:r>
          </w:p>
        </w:tc>
        <w:tc>
          <w:tcPr>
            <w:tcW w:type="dxa" w:w="2160"/>
          </w:tcPr>
          <w:p>
            <w:r>
              <w:t>Scope extended to EU sites after the Kyltek integration. Added EU F-gas note.</w:t>
            </w:r>
          </w:p>
        </w:tc>
      </w:tr>
      <w:tr>
        <w:tc>
          <w:tcPr>
            <w:tcW w:type="dxa" w:w="2160"/>
          </w:tcPr>
          <w:p>
            <w:r>
              <w:t>3</w:t>
            </w:r>
          </w:p>
        </w:tc>
        <w:tc>
          <w:tcPr>
            <w:tcW w:type="dxa" w:w="2160"/>
          </w:tcPr>
          <w:p>
            <w:r>
              <w:t>2025-06-11</w:t>
            </w:r>
          </w:p>
        </w:tc>
        <w:tc>
          <w:tcPr>
            <w:tcW w:type="dxa" w:w="2160"/>
          </w:tcPr>
          <w:p>
            <w:r>
              <w:t>G. Liu / R. Lindqvist</w:t>
            </w:r>
          </w:p>
        </w:tc>
        <w:tc>
          <w:tcPr>
            <w:tcW w:type="dxa" w:w="2160"/>
          </w:tcPr>
          <w:p>
            <w:r>
              <w:t>Added step 6.1.1 (check bulletins and campaigns first) and the STOP rule on top-ups. Pressure test steps revised.</w:t>
            </w:r>
          </w:p>
        </w:tc>
      </w:tr>
    </w:tbl>
    <w:p/>
    <w:p>
      <w:r>
        <w:br w:type="page"/>
      </w:r>
    </w:p>
    <w:p>
      <w:pPr>
        <w:pStyle w:val="Heading1"/>
      </w:pPr>
      <w:r>
        <w:t>Appendix A. Leak test record</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Field</w:t>
            </w:r>
          </w:p>
        </w:tc>
        <w:tc>
          <w:tcPr>
            <w:tcW w:type="dxa" w:w="4320"/>
            <w:shd w:val="clear" w:color="auto" w:fill="0B5E6B"/>
          </w:tcPr>
          <w:p>
            <w:r>
              <w:rPr>
                <w:b/>
                <w:color w:val="FFFFFF"/>
              </w:rPr>
              <w:t>Entry</w:t>
            </w:r>
          </w:p>
        </w:tc>
      </w:tr>
      <w:tr>
        <w:tc>
          <w:tcPr>
            <w:tcW w:type="dxa" w:w="4320"/>
          </w:tcPr>
          <w:p>
            <w:r>
              <w:t>Asset ID / serial</w:t>
            </w:r>
          </w:p>
        </w:tc>
        <w:tc>
          <w:tcPr>
            <w:tcW w:type="dxa" w:w="4320"/>
          </w:tcPr>
          <w:p>
            <w:r/>
          </w:p>
        </w:tc>
      </w:tr>
      <w:tr>
        <w:tc>
          <w:tcPr>
            <w:tcW w:type="dxa" w:w="4320"/>
          </w:tcPr>
          <w:p>
            <w:r>
              <w:t>Circuit</w:t>
            </w:r>
          </w:p>
        </w:tc>
        <w:tc>
          <w:tcPr>
            <w:tcW w:type="dxa" w:w="4320"/>
          </w:tcPr>
          <w:p>
            <w:r/>
          </w:p>
        </w:tc>
      </w:tr>
      <w:tr>
        <w:tc>
          <w:tcPr>
            <w:tcW w:type="dxa" w:w="4320"/>
          </w:tcPr>
          <w:p>
            <w:r>
              <w:t>Detector make, model, calibration date</w:t>
            </w:r>
          </w:p>
        </w:tc>
        <w:tc>
          <w:tcPr>
            <w:tcW w:type="dxa" w:w="4320"/>
          </w:tcPr>
          <w:p>
            <w:r/>
          </w:p>
        </w:tc>
      </w:tr>
      <w:tr>
        <w:tc>
          <w:tcPr>
            <w:tcW w:type="dxa" w:w="4320"/>
          </w:tcPr>
          <w:p>
            <w:r>
              <w:t>Leak found (Y/N), location</w:t>
            </w:r>
          </w:p>
        </w:tc>
        <w:tc>
          <w:tcPr>
            <w:tcW w:type="dxa" w:w="4320"/>
          </w:tcPr>
          <w:p>
            <w:r/>
          </w:p>
        </w:tc>
      </w:tr>
      <w:tr>
        <w:tc>
          <w:tcPr>
            <w:tcW w:type="dxa" w:w="4320"/>
          </w:tcPr>
          <w:p>
            <w:r>
              <w:t>Confirmed with bubble solution (Y/N)</w:t>
            </w:r>
          </w:p>
        </w:tc>
        <w:tc>
          <w:tcPr>
            <w:tcW w:type="dxa" w:w="4320"/>
          </w:tcPr>
          <w:p>
            <w:r/>
          </w:p>
        </w:tc>
      </w:tr>
      <w:tr>
        <w:tc>
          <w:tcPr>
            <w:tcW w:type="dxa" w:w="4320"/>
          </w:tcPr>
          <w:p>
            <w:r>
              <w:t>Nitrogen test: start pressure / temperature</w:t>
            </w:r>
          </w:p>
        </w:tc>
        <w:tc>
          <w:tcPr>
            <w:tcW w:type="dxa" w:w="4320"/>
          </w:tcPr>
          <w:p>
            <w:r/>
          </w:p>
        </w:tc>
      </w:tr>
      <w:tr>
        <w:tc>
          <w:tcPr>
            <w:tcW w:type="dxa" w:w="4320"/>
          </w:tcPr>
          <w:p>
            <w:r>
              <w:t>Nitrogen test: end pressure / temperature</w:t>
            </w:r>
          </w:p>
        </w:tc>
        <w:tc>
          <w:tcPr>
            <w:tcW w:type="dxa" w:w="4320"/>
          </w:tcPr>
          <w:p>
            <w:r/>
          </w:p>
        </w:tc>
      </w:tr>
      <w:tr>
        <w:tc>
          <w:tcPr>
            <w:tcW w:type="dxa" w:w="4320"/>
          </w:tcPr>
          <w:p>
            <w:r>
              <w:t>Vacuum reached / held (microns)</w:t>
            </w:r>
          </w:p>
        </w:tc>
        <w:tc>
          <w:tcPr>
            <w:tcW w:type="dxa" w:w="4320"/>
          </w:tcPr>
          <w:p>
            <w:r/>
          </w:p>
        </w:tc>
      </w:tr>
      <w:tr>
        <w:tc>
          <w:tcPr>
            <w:tcW w:type="dxa" w:w="4320"/>
          </w:tcPr>
          <w:p>
            <w:r>
              <w:t>Technician / certificate no.</w:t>
            </w:r>
          </w:p>
        </w:tc>
        <w:tc>
          <w:tcPr>
            <w:tcW w:type="dxa" w:w="4320"/>
          </w:tcPr>
          <w:p>
            <w:r/>
          </w:p>
        </w:tc>
      </w:tr>
    </w:tbl>
    <w:p/>
    <w:p>
      <w:pPr>
        <w:pStyle w:val="Heading1"/>
      </w:pPr>
      <w:r>
        <w:t>Appendix B. Refrigerant log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0B5E6B"/>
          </w:tcPr>
          <w:p>
            <w:r>
              <w:rPr>
                <w:b/>
                <w:color w:val="FFFFFF"/>
              </w:rPr>
              <w:t>Date</w:t>
            </w:r>
          </w:p>
        </w:tc>
        <w:tc>
          <w:tcPr>
            <w:tcW w:type="dxa" w:w="1080"/>
            <w:shd w:val="clear" w:color="auto" w:fill="0B5E6B"/>
          </w:tcPr>
          <w:p>
            <w:r>
              <w:rPr>
                <w:b/>
                <w:color w:val="FFFFFF"/>
              </w:rPr>
              <w:t>Asset ID</w:t>
            </w:r>
          </w:p>
        </w:tc>
        <w:tc>
          <w:tcPr>
            <w:tcW w:type="dxa" w:w="1080"/>
            <w:shd w:val="clear" w:color="auto" w:fill="0B5E6B"/>
          </w:tcPr>
          <w:p>
            <w:r>
              <w:rPr>
                <w:b/>
                <w:color w:val="FFFFFF"/>
              </w:rPr>
              <w:t>Circuit</w:t>
            </w:r>
          </w:p>
        </w:tc>
        <w:tc>
          <w:tcPr>
            <w:tcW w:type="dxa" w:w="1080"/>
            <w:shd w:val="clear" w:color="auto" w:fill="0B5E6B"/>
          </w:tcPr>
          <w:p>
            <w:r>
              <w:rPr>
                <w:b/>
                <w:color w:val="FFFFFF"/>
              </w:rPr>
              <w:t>Refrigerant</w:t>
            </w:r>
          </w:p>
        </w:tc>
        <w:tc>
          <w:tcPr>
            <w:tcW w:type="dxa" w:w="1080"/>
            <w:shd w:val="clear" w:color="auto" w:fill="0B5E6B"/>
          </w:tcPr>
          <w:p>
            <w:r>
              <w:rPr>
                <w:b/>
                <w:color w:val="FFFFFF"/>
              </w:rPr>
              <w:t>Recovered (kg)</w:t>
            </w:r>
          </w:p>
        </w:tc>
        <w:tc>
          <w:tcPr>
            <w:tcW w:type="dxa" w:w="1080"/>
            <w:shd w:val="clear" w:color="auto" w:fill="0B5E6B"/>
          </w:tcPr>
          <w:p>
            <w:r>
              <w:rPr>
                <w:b/>
                <w:color w:val="FFFFFF"/>
              </w:rPr>
              <w:t>Charged (kg)</w:t>
            </w:r>
          </w:p>
        </w:tc>
        <w:tc>
          <w:tcPr>
            <w:tcW w:type="dxa" w:w="1080"/>
            <w:shd w:val="clear" w:color="auto" w:fill="0B5E6B"/>
          </w:tcPr>
          <w:p>
            <w:r>
              <w:rPr>
                <w:b/>
                <w:color w:val="FFFFFF"/>
              </w:rPr>
              <w:t>Cylinder no.</w:t>
            </w:r>
          </w:p>
        </w:tc>
        <w:tc>
          <w:tcPr>
            <w:tcW w:type="dxa" w:w="1080"/>
            <w:shd w:val="clear" w:color="auto" w:fill="0B5E6B"/>
          </w:tcPr>
          <w:p>
            <w:r>
              <w:rPr>
                <w:b/>
                <w:color w:val="FFFFFF"/>
              </w:rPr>
              <w:t>Technician</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Controlled when viewed in SharePoint. Uncontrolled when printed. Check the revision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B5E6B"/>
        <w:sz w:val="16"/>
      </w:rPr>
      <w:t>CORVANE FIELD SERVICES</w:t>
      <w:tab/>
      <w:tab/>
      <w:t>SOP-020 Rev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E6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E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SOP-020 Chiller Leak Test and Refrigerant Recharge</dc:title>
  <dc:subject>Corvane Field Services controlled procedure</dc:subject>
  <dc:creator>Grace Liu</dc:creator>
  <cp:keywords/>
  <dc:description>generated by python-docx</dc:description>
  <cp:lastModifiedBy/>
  <cp:revision>1</cp:revision>
  <dcterms:created xsi:type="dcterms:W3CDTF">2025-06-11T00:00:00Z</dcterms:created>
  <dcterms:modified xsi:type="dcterms:W3CDTF">2025-06-11T00:00:00Z</dcterms:modified>
  <cp:category/>
</cp:coreProperties>
</file>