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93</w:t>
        </w:r>
      </w:hyperlink>
    </w:p>
    <w:p>
      <w:pPr>
        <w:pStyle w:val="TOC1"/>
      </w:pPr>
      <w:hyperlink w:anchor="_Toc09082" w:history="1">
        <w:r>
          <w:t xml:space="preserve">Glosario de términos</w:t>
        </w:r>
        <w:r>
          <w:tab/>
        </w:r>
        <w:r>
          <w:t xml:space="preserve">98</w:t>
        </w:r>
      </w:hyperlink>
    </w:p>
    <w:p>
      <w:pPr>
        <w:pStyle w:val="TOC1"/>
      </w:pPr>
      <w:hyperlink w:anchor="_Toc09083" w:history="1">
        <w:r>
          <w:t xml:space="preserve">Anexo A. Reproducibilidad</w:t>
        </w:r>
        <w:r>
          <w:tab/>
        </w:r>
        <w:r>
          <w:t xml:space="preserve">101</w:t>
        </w:r>
      </w:hyperlink>
    </w:p>
    <w:p>
      <w:pPr>
        <w:pStyle w:val="TOC1"/>
      </w:pPr>
      <w:hyperlink w:anchor="_Toc09084" w:history="1">
        <w:r>
          <w:t xml:space="preserve">Anexo B. Diccionario de variables del modelo de no-show</w:t>
        </w:r>
        <w:r>
          <w:tab/>
        </w:r>
        <w:r>
          <w:t xml:space="preserve">103</w:t>
        </w:r>
      </w:hyperlink>
    </w:p>
    <w:p>
      <w:pPr>
        <w:pStyle w:val="TOC1"/>
      </w:pPr>
      <w:hyperlink w:anchor="_Toc09085" w:history="1">
        <w:r>
          <w:t xml:space="preserve">Anexo C. Código fuente completo</w:t>
        </w:r>
        <w:r>
          <w:tab/>
        </w:r>
        <w:r>
          <w:t xml:space="preserve">104</w:t>
        </w:r>
      </w:hyperlink>
    </w:p>
    <w:p>
      <w:pPr>
        <w:pStyle w:val="TOC2"/>
      </w:pPr>
      <w:hyperlink w:anchor="_Toc09086" w:history="1">
        <w:r>
          <w:t xml:space="preserve">C.1 architecture.py (diagrama de arquitectura, figura 1)</w:t>
        </w:r>
        <w:r>
          <w:tab/>
        </w:r>
        <w:r>
          <w:t xml:space="preserve">104</w:t>
        </w:r>
      </w:hyperlink>
    </w:p>
    <w:p>
      <w:pPr>
        <w:pStyle w:val="TOC2"/>
      </w:pPr>
      <w:hyperlink w:anchor="_Toc09087" w:history="1">
        <w:r>
          <w:t xml:space="preserve">C.2 analysis.py (análisis exploratorio, modelado, evaluación, optimización y simulación)</w:t>
        </w:r>
        <w:r>
          <w:tab/>
        </w:r>
        <w:r>
          <w:t xml:space="preserve">104</w:t>
        </w:r>
      </w:hyperlink>
    </w:p>
    <w:p>
      <w:pPr>
        <w:pStyle w:val="TOC1"/>
      </w:pPr>
      <w:hyperlink w:anchor="_Toc09088" w:history="1">
        <w:r>
          <w:t xml:space="preserve">Anexo D. Tablas estadísticas adicionales</w:t>
        </w:r>
        <w:r>
          <w:tab/>
        </w:r>
        <w:r>
          <w:t xml:space="preserve">114</w:t>
        </w:r>
      </w:hyperlink>
    </w:p>
    <w:p>
      <w:pPr>
        <w:pStyle w:val="TOC1"/>
      </w:pPr>
      <w:hyperlink w:anchor="_Toc09089" w:history="1">
        <w:r>
          <w:t xml:space="preserve">Anexo E. Salidas numéricas completas de la ejecución</w:t>
        </w:r>
        <w:r>
          <w:tab/>
        </w:r>
        <w:r>
          <w:t xml:space="preserve">115</w:t>
        </w:r>
      </w:hyperlink>
    </w:p>
    <w:p>
      <w:pPr>
        <w:pStyle w:val="TOC2"/>
      </w:pPr>
      <w:hyperlink w:anchor="_Toc09090" w:history="1">
        <w:r>
          <w:t xml:space="preserve">E.1 results.json (modelado, evaluación, optimización y simulación)</w:t>
        </w:r>
        <w:r>
          <w:tab/>
        </w:r>
        <w:r>
          <w:t xml:space="preserve">115</w:t>
        </w:r>
      </w:hyperlink>
    </w:p>
    <w:p>
      <w:pPr>
        <w:pStyle w:val="TOC2"/>
      </w:pPr>
      <w:hyperlink w:anchor="_Toc09091" w:history="1">
        <w:r>
          <w:t xml:space="preserve">E.2 eda_results.json (análisis exploratorio de datos)</w:t>
        </w:r>
        <w:r>
          <w:tab/>
        </w:r>
        <w:r>
          <w:t xml:space="preserve">125</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Métricas en prueba, calibración, importancia, SHAP, equidad por edad, sexo y proxies socioeconómicos, y simulación con análisis de sensibilidad</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25 pruebas unitarias sobre el procesamiento de datos, el modelo, la evaluación de equidad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edad, sexo y proxies socioeconómicos,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1.4,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obtenida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25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en la simulación,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En el video de preguntas, el equipo responde cada pregunta en el orden asignado, indicando su número, con respuestas directas y fundamentadas en el código, los resultados o la interfaz, y discutiendo abiertamente las limitaciones.</w:t>
      </w:r>
    </w:p>
    <w:p>
      <w:pPr/>
      <w:r>
        <w:t>Ambos videos están publicados en YouTube como no listados: video pitch, https://youtu.be/Wis2_W0N7dg; video de respuestas, https://youtu.be/NS4ZxIF8lHk. Los enlaces también figuran en la sección 12 del README del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Repositorio del proyecto: https://github.com/roalvera/priorizacion-visitas-ia. Aplicación en línea (Streamlit Community Cloud): https://priorizacion-visitas-ia.streamlit.app.</w:t>
      </w:r>
    </w:p>
    <w:p>
      <w:pPr/>
      <w:r>
        <w:t>El repositorio organiza el código del Anexo C en módulos (Tabla 7), incluye los cinco notebooks ejecutados, los modelos entrenados, la interfaz, 25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