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B569C" w:rsidP="00FB569C" w:rsidRDefault="00FB569C" w14:paraId="2640F449" w14:textId="77777777">
      <w:pPr>
        <w:spacing w:before="72" w:line="185" w:lineRule="exact"/>
        <w:jc w:val="righ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w:t>XLIV ENCONTRO NACIONAL DE ENGENHARIA DE</w:t>
      </w:r>
      <w:r>
        <w:rPr>
          <w:rFonts w:ascii="Trebuchet MS" w:hAnsi="Trebuchet MS"/>
          <w:b/>
          <w:spacing w:val="-13"/>
          <w:sz w:val="16"/>
        </w:rPr>
        <w:t xml:space="preserve"> </w:t>
      </w:r>
      <w:r>
        <w:rPr>
          <w:rFonts w:ascii="Trebuchet MS" w:hAnsi="Trebuchet MS"/>
          <w:b/>
          <w:sz w:val="16"/>
        </w:rPr>
        <w:t>PRODUÇÃO</w:t>
      </w:r>
    </w:p>
    <w:p w:rsidR="00FB569C" w:rsidP="00FB569C" w:rsidRDefault="00FB569C" w14:paraId="24E85D94" w14:textId="77777777">
      <w:pPr>
        <w:spacing w:line="185" w:lineRule="exact"/>
        <w:ind w:right="102"/>
        <w:jc w:val="right"/>
        <w:rPr>
          <w:rFonts w:ascii="Trebuchet MS" w:hAnsi="Trebuchet MS"/>
          <w:sz w:val="16"/>
        </w:rPr>
      </w:pPr>
      <w:r>
        <w:rPr>
          <w:rFonts w:ascii="Trebuchet MS" w:hAnsi="Trebuchet MS"/>
          <w:sz w:val="16"/>
        </w:rPr>
        <w:t xml:space="preserve"> "Reindustrialização no Brasil"</w:t>
      </w:r>
    </w:p>
    <w:p w:rsidR="00FB569C" w:rsidP="00FB569C" w:rsidRDefault="00FB569C" w14:paraId="015AAE11" w14:textId="77777777">
      <w:pPr>
        <w:spacing w:line="185" w:lineRule="exact"/>
        <w:ind w:right="102"/>
        <w:jc w:val="right"/>
        <w:rPr>
          <w:rFonts w:ascii="Trebuchet MS" w:hAnsi="Trebuchet MS" w:cs="Arial"/>
          <w:sz w:val="16"/>
          <w:szCs w:val="18"/>
        </w:rPr>
      </w:pPr>
      <w:r>
        <w:rPr>
          <w:rFonts w:ascii="Trebuchet MS" w:hAnsi="Trebuchet MS" w:cs="Arial"/>
          <w:color w:val="808080"/>
          <w:sz w:val="16"/>
          <w:szCs w:val="18"/>
        </w:rPr>
        <w:t>Porto Alegre, Rio Grande do Sul, Brasil, 22 a 25 de outubro de 2024.</w:t>
      </w:r>
    </w:p>
    <w:p w:rsidR="00993DBE" w:rsidP="009B5C5F" w:rsidRDefault="00993DBE" w14:paraId="3770A9C8" w14:textId="4EA7D692">
      <w:pPr>
        <w:spacing w:before="72" w:line="185" w:lineRule="exact"/>
        <w:ind w:left="5569"/>
        <w:jc w:val="right"/>
        <w:rPr>
          <w:rFonts w:ascii="Trebuchet MS"/>
          <w:sz w:val="18"/>
        </w:rPr>
      </w:pPr>
    </w:p>
    <w:p w:rsidR="00993DBE" w:rsidP="00993DBE" w:rsidRDefault="00993DBE" w14:paraId="782E1CF8" w14:textId="160B5FD7">
      <w:pPr>
        <w:pStyle w:val="BodyText"/>
        <w:rPr>
          <w:rFonts w:ascii="Trebuchet MS"/>
          <w:sz w:val="18"/>
        </w:rPr>
      </w:pPr>
    </w:p>
    <w:p w:rsidR="00993DBE" w:rsidP="00993DBE" w:rsidRDefault="00993DBE" w14:paraId="3679754B" w14:textId="6BB246CE">
      <w:pPr>
        <w:pStyle w:val="BodyText"/>
        <w:spacing w:before="4"/>
        <w:rPr>
          <w:rFonts w:ascii="Trebuchet MS"/>
          <w:sz w:val="22"/>
        </w:rPr>
      </w:pPr>
    </w:p>
    <w:p w:rsidRPr="0027218C" w:rsidR="00993DBE" w:rsidP="59D8F566" w:rsidRDefault="00214654" w14:paraId="6C95A14D" w14:textId="5F1742B1">
      <w:pPr>
        <w:ind w:right="203"/>
        <w:jc w:val="right"/>
        <w:rPr>
          <w:b w:val="1"/>
          <w:bCs w:val="1"/>
          <w:sz w:val="36"/>
          <w:szCs w:val="36"/>
          <w:lang w:val="pt-BR"/>
        </w:rPr>
      </w:pPr>
      <w:r w:rsidRPr="59D8F566" w:rsidR="59D8F566">
        <w:rPr>
          <w:b w:val="1"/>
          <w:bCs w:val="1"/>
          <w:sz w:val="36"/>
          <w:szCs w:val="36"/>
        </w:rPr>
        <w:t>MODELOS DE APRENDIZADO DE MÁQUINA EXPLICÁVEIS PARA DETECÇÃO DE ANOMALIAS EM POÇOS DE PETRÓLEO E GÁS</w:t>
      </w:r>
    </w:p>
    <w:p w:rsidR="00993DBE" w:rsidP="00993DBE" w:rsidRDefault="00D274A9" w14:paraId="4359E5C2" w14:textId="433F4150">
      <w:pPr>
        <w:pStyle w:val="Heading1"/>
        <w:spacing w:before="275" w:line="274" w:lineRule="exact"/>
        <w:ind w:left="0" w:right="116" w:firstLine="0"/>
        <w:jc w:val="right"/>
      </w:pPr>
      <w:r>
        <w:t>Rodrigo Marcel Araujo Oliveira</w:t>
      </w:r>
      <w:r w:rsidR="00993DBE">
        <w:t xml:space="preserve"> (</w:t>
      </w:r>
      <w:r w:rsidR="00606F0A">
        <w:t>PEI-</w:t>
      </w:r>
      <w:r>
        <w:t>UFBA</w:t>
      </w:r>
      <w:r w:rsidR="00993DBE">
        <w:t>)</w:t>
      </w:r>
    </w:p>
    <w:p w:rsidRPr="001E0F0B" w:rsidR="001E0F0B" w:rsidP="00993DBE" w:rsidRDefault="001E0F0B" w14:paraId="6DF54F3D" w14:textId="2A74C7B8">
      <w:pPr>
        <w:pStyle w:val="Heading1"/>
        <w:spacing w:before="275" w:line="274" w:lineRule="exact"/>
        <w:ind w:left="0" w:right="116" w:firstLine="0"/>
        <w:jc w:val="right"/>
        <w:rPr>
          <w:b w:val="0"/>
          <w:bCs w:val="0"/>
        </w:rPr>
      </w:pPr>
      <w:r>
        <w:rPr>
          <w:b w:val="0"/>
          <w:bCs w:val="0"/>
        </w:rPr>
        <w:t>rodrigomarcel@ufba.br</w:t>
      </w:r>
    </w:p>
    <w:p w:rsidR="00F101B8" w:rsidP="00F101B8" w:rsidRDefault="00B5605A" w14:paraId="4BB9CCD7" w14:textId="1892E4CB">
      <w:pPr>
        <w:pStyle w:val="Heading1"/>
        <w:spacing w:before="275" w:line="274" w:lineRule="exact"/>
        <w:ind w:left="0" w:right="116" w:firstLine="0"/>
        <w:jc w:val="right"/>
      </w:pPr>
      <w:r>
        <w:t>Â</w:t>
      </w:r>
      <w:r w:rsidR="00827292">
        <w:t xml:space="preserve">ngelo </w:t>
      </w:r>
      <w:r w:rsidR="00A54ED6">
        <w:t>Márcio Oliveira Sant’Anna</w:t>
      </w:r>
      <w:r w:rsidR="00F101B8">
        <w:t xml:space="preserve"> (</w:t>
      </w:r>
      <w:r w:rsidR="00606F0A">
        <w:t>PEI-</w:t>
      </w:r>
      <w:r w:rsidR="00827292">
        <w:t>UFBA</w:t>
      </w:r>
      <w:r w:rsidR="00F101B8">
        <w:t>)</w:t>
      </w:r>
    </w:p>
    <w:p w:rsidRPr="001E0F0B" w:rsidR="001E0F0B" w:rsidP="001E0F0B" w:rsidRDefault="001E0F0B" w14:paraId="70B84A36" w14:textId="0EF37C3D">
      <w:pPr>
        <w:pStyle w:val="Heading1"/>
        <w:spacing w:before="275" w:line="274" w:lineRule="exact"/>
        <w:ind w:left="0" w:right="116" w:firstLine="0"/>
        <w:jc w:val="right"/>
        <w:rPr>
          <w:b w:val="0"/>
          <w:bCs w:val="0"/>
        </w:rPr>
      </w:pPr>
      <w:r>
        <w:rPr>
          <w:b w:val="0"/>
          <w:bCs w:val="0"/>
        </w:rPr>
        <w:t>angelo.santanna@ufba.br</w:t>
      </w:r>
    </w:p>
    <w:p w:rsidR="001E0F0B" w:rsidP="001E0F0B" w:rsidRDefault="00E07A56" w14:paraId="3B020A60" w14:textId="1AF02B48">
      <w:pPr>
        <w:pStyle w:val="Heading1"/>
        <w:spacing w:before="275" w:line="274" w:lineRule="exact"/>
        <w:ind w:left="0" w:right="116" w:firstLine="0"/>
        <w:jc w:val="right"/>
      </w:pPr>
      <w:r w:rsidRPr="00E07A56">
        <w:t>Paulo Henrique Ferreira da Silva</w:t>
      </w:r>
      <w:r>
        <w:t xml:space="preserve"> </w:t>
      </w:r>
      <w:r w:rsidR="001E0F0B">
        <w:t>(</w:t>
      </w:r>
      <w:r w:rsidR="00606F0A">
        <w:t>PGECD-</w:t>
      </w:r>
      <w:r w:rsidR="001E0F0B">
        <w:t>UFBA)</w:t>
      </w:r>
    </w:p>
    <w:p w:rsidRPr="001E0F0B" w:rsidR="001E0F0B" w:rsidP="001E0F0B" w:rsidRDefault="004C08C7" w14:paraId="0F8C55B0" w14:textId="568FEA3C">
      <w:pPr>
        <w:pStyle w:val="Heading1"/>
        <w:spacing w:before="275" w:line="274" w:lineRule="exact"/>
        <w:ind w:left="0" w:right="116" w:firstLine="0"/>
        <w:jc w:val="right"/>
        <w:rPr>
          <w:b w:val="0"/>
          <w:bCs w:val="0"/>
        </w:rPr>
      </w:pPr>
      <w:r w:rsidRPr="004C08C7">
        <w:rPr>
          <w:b w:val="0"/>
          <w:bCs w:val="0"/>
        </w:rPr>
        <w:t>paulohenri@ufba.br</w:t>
      </w:r>
    </w:p>
    <w:p w:rsidR="00993DBE" w:rsidP="0027218C" w:rsidRDefault="00993DBE" w14:paraId="0707ECC4" w14:textId="1E8C592C">
      <w:pPr>
        <w:pStyle w:val="BodyText"/>
        <w:rPr>
          <w:sz w:val="26"/>
        </w:rPr>
      </w:pPr>
    </w:p>
    <w:p w:rsidR="00993DBE" w:rsidP="00993DBE" w:rsidRDefault="0027218C" w14:paraId="5612C9A9" w14:textId="01F6CF4C">
      <w:pPr>
        <w:pStyle w:val="BodyText"/>
        <w:rPr>
          <w:sz w:val="26"/>
        </w:rPr>
      </w:pPr>
      <w:r>
        <w:rPr>
          <w:noProof/>
        </w:rPr>
        <w:drawing>
          <wp:inline distT="0" distB="0" distL="0" distR="0" wp14:anchorId="747B419E" wp14:editId="134104A8">
            <wp:extent cx="1216799" cy="957431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799" cy="95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F334B" w:rsidR="000F57F8" w:rsidP="7CD7A7B0" w:rsidRDefault="00FF6679" w14:paraId="567A3B8B" w14:textId="12DC50AB">
      <w:pPr>
        <w:spacing w:before="230"/>
        <w:ind w:left="3096" w:right="116"/>
        <w:jc w:val="both"/>
        <w:rPr>
          <w:i w:val="1"/>
          <w:iCs w:val="1"/>
          <w:color w:val="0D0D0D"/>
          <w:sz w:val="24"/>
          <w:szCs w:val="24"/>
          <w:shd w:val="clear" w:color="auto" w:fill="FFFFFF"/>
        </w:rPr>
      </w:pPr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A segurança operacional é imprescindível no contexto da indústria de petróleo e gás. Ferramentas de monitoramento de processos de produção são úteis para a </w:t>
      </w:r>
      <w:proofErr w:type="spellStart"/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detecção</w:t>
      </w:r>
      <w:proofErr w:type="spellEnd"/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de anomalias, o que pode contribuir para evitar possíveis prejuízos financeiros e danos ambientais. 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A Inteligência Artificial Explicável (XAI) 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tem 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>apresenta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>do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>um crescimento significativo nos últimos anos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, devido a 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>ampla aplicação do aprendizado de máquina,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que levou ao desenvolvimento de modelos altamente precisos que 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permitem 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explicabilidade e </w:t>
      </w:r>
      <w:proofErr w:type="spellStart"/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>interpretabilidade</w:t>
      </w:r>
      <w:proofErr w:type="spellEnd"/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>.</w:t>
      </w:r>
      <w:r w:rsidRPr="7CD7A7B0" w:rsidR="000F57F8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</w:t>
      </w:r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Este artigo propõe uma ferramenta para prognóstico e </w:t>
      </w:r>
      <w:proofErr w:type="spellStart"/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detecção</w:t>
      </w:r>
      <w:proofErr w:type="spellEnd"/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de anomalias utilizando modelos de aprendizado </w:t>
      </w:r>
      <w:r w:rsidRPr="7CD7A7B0" w:rsidR="00AE3A62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de máquina </w:t>
      </w:r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>supervisionado.</w:t>
      </w:r>
      <w:r w:rsidRPr="7CD7A7B0" w:rsidR="00EF334B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</w:t>
      </w:r>
      <w:r w:rsidRPr="7CD7A7B0" w:rsidR="00EF334B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Este trabalho avalia diferentes </w:t>
      </w:r>
      <w:r w:rsidRPr="7CD7A7B0" w:rsidR="00EF334B">
        <w:rPr>
          <w:i w:val="1"/>
          <w:iCs w:val="1"/>
          <w:color w:val="0D0D0D"/>
          <w:sz w:val="24"/>
          <w:szCs w:val="24"/>
          <w:shd w:val="clear" w:color="auto" w:fill="FFFFFF"/>
        </w:rPr>
        <w:t>modelos</w:t>
      </w:r>
      <w:r w:rsidRPr="7CD7A7B0" w:rsidR="00EF334B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para </w:t>
      </w:r>
      <w:proofErr w:type="spellStart"/>
      <w:r w:rsidRPr="7CD7A7B0" w:rsidR="00EF334B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detecção</w:t>
      </w:r>
      <w:proofErr w:type="spellEnd"/>
      <w:r w:rsidRPr="7CD7A7B0" w:rsidR="00EF334B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on-line de anomalias em séries temporais multivariadas</w:t>
      </w:r>
      <w:r w:rsidRPr="7CD7A7B0" w:rsidR="00EF334B">
        <w:rPr>
          <w:i w:val="1"/>
          <w:iCs w:val="1"/>
          <w:color w:val="0D0D0D"/>
          <w:sz w:val="24"/>
          <w:szCs w:val="24"/>
          <w:shd w:val="clear" w:color="auto" w:fill="FFFFFF"/>
        </w:rPr>
        <w:t>.</w:t>
      </w:r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Abordagens de XAI utilizando o modelo </w:t>
      </w:r>
      <w:r w:rsidRPr="7CD7A7B0" w:rsidR="00AE3A62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light </w:t>
      </w:r>
      <w:proofErr w:type="spellStart"/>
      <w:r w:rsidRPr="7CD7A7B0" w:rsidR="00AE3A62">
        <w:rPr>
          <w:i w:val="1"/>
          <w:iCs w:val="1"/>
          <w:color w:val="0D0D0D"/>
          <w:sz w:val="24"/>
          <w:szCs w:val="24"/>
          <w:shd w:val="clear" w:color="auto" w:fill="FFFFFF"/>
        </w:rPr>
        <w:t>gradient-boosting</w:t>
      </w:r>
      <w:proofErr w:type="spellEnd"/>
      <w:r w:rsidRPr="7CD7A7B0" w:rsidR="00AE3A62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7CD7A7B0" w:rsidR="00AE3A62">
        <w:rPr>
          <w:i w:val="1"/>
          <w:iCs w:val="1"/>
          <w:color w:val="0D0D0D"/>
          <w:sz w:val="24"/>
          <w:szCs w:val="24"/>
          <w:shd w:val="clear" w:color="auto" w:fill="FFFFFF"/>
        </w:rPr>
        <w:t>machine</w:t>
      </w:r>
      <w:proofErr w:type="spellEnd"/>
      <w:r w:rsidRPr="7CD7A7B0" w:rsidR="00AE3A62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(</w:t>
      </w:r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>LGBM</w:t>
      </w:r>
      <w:r w:rsidRPr="7CD7A7B0" w:rsidR="62E8FCD3">
        <w:rPr>
          <w:i w:val="1"/>
          <w:iCs w:val="1"/>
          <w:color w:val="000000" w:themeColor="text1" w:themeTint="FF" w:themeShade="FF"/>
          <w:sz w:val="24"/>
          <w:szCs w:val="24"/>
        </w:rPr>
        <w:t>)</w:t>
      </w:r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permitiram alcançar resultados robustos para a </w:t>
      </w:r>
      <w:proofErr w:type="spellStart"/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detecção</w:t>
      </w:r>
      <w:proofErr w:type="spellEnd"/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on-line de anomalias, indicando o impacto de cada variável </w:t>
      </w:r>
      <w:r w:rsidRPr="7CD7A7B0" w:rsidR="00AE3A62">
        <w:rPr>
          <w:i w:val="1"/>
          <w:iCs w:val="1"/>
          <w:color w:val="0D0D0D"/>
          <w:sz w:val="24"/>
          <w:szCs w:val="24"/>
          <w:shd w:val="clear" w:color="auto" w:fill="FFFFFF"/>
        </w:rPr>
        <w:t>de controle do processo</w:t>
      </w:r>
      <w:r w:rsidRPr="7CD7A7B0" w:rsidR="00AE3A62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</w:t>
      </w:r>
      <w:r w:rsidRPr="7CD7A7B0">
        <w:rPr>
          <w:i w:val="1"/>
          <w:iCs w:val="1"/>
          <w:color w:val="0D0D0D"/>
          <w:sz w:val="24"/>
          <w:szCs w:val="24"/>
          <w:shd w:val="clear" w:color="auto" w:fill="FFFFFF"/>
        </w:rPr>
        <w:t>para discriminar eventos anômalos durante o processo de monitoramento.</w:t>
      </w:r>
      <w:r w:rsidRPr="7CD7A7B0" w:rsidR="00304FE4">
        <w:rPr>
          <w:i w:val="1"/>
          <w:iCs w:val="1"/>
          <w:color w:val="0D0D0D"/>
          <w:sz w:val="24"/>
          <w:szCs w:val="24"/>
          <w:shd w:val="clear" w:color="auto" w:fill="FFFFFF"/>
        </w:rPr>
        <w:t xml:space="preserve"> </w:t>
      </w:r>
    </w:p>
    <w:p w:rsidR="009D019E" w:rsidP="00993DBE" w:rsidRDefault="009D019E" w14:paraId="0C4CCF02" w14:textId="7DA146D0">
      <w:pPr>
        <w:spacing w:before="230"/>
        <w:ind w:left="3096" w:right="116"/>
        <w:jc w:val="both"/>
        <w:rPr>
          <w:i/>
          <w:sz w:val="24"/>
        </w:rPr>
      </w:pPr>
      <w:r>
        <w:rPr>
          <w:i/>
          <w:sz w:val="24"/>
        </w:rPr>
        <w:t xml:space="preserve">Palavras-chave: </w:t>
      </w:r>
      <w:r w:rsidR="00FB0F3B">
        <w:rPr>
          <w:i/>
          <w:sz w:val="24"/>
        </w:rPr>
        <w:t>Aprendizado de máquina</w:t>
      </w:r>
      <w:r>
        <w:rPr>
          <w:i/>
          <w:sz w:val="24"/>
        </w:rPr>
        <w:t xml:space="preserve">, </w:t>
      </w:r>
      <w:r w:rsidR="004722DF">
        <w:rPr>
          <w:i/>
          <w:sz w:val="24"/>
        </w:rPr>
        <w:t>Inteligência artificial explicável</w:t>
      </w:r>
      <w:r>
        <w:rPr>
          <w:i/>
          <w:sz w:val="24"/>
        </w:rPr>
        <w:t xml:space="preserve">, </w:t>
      </w:r>
      <w:r w:rsidR="00E602CA">
        <w:rPr>
          <w:i/>
          <w:sz w:val="24"/>
        </w:rPr>
        <w:t>Detecção de anomalias, P</w:t>
      </w:r>
      <w:r w:rsidR="004722DF">
        <w:rPr>
          <w:i/>
          <w:sz w:val="24"/>
        </w:rPr>
        <w:t>oços de petróleo e gás</w:t>
      </w:r>
      <w:r w:rsidR="00E602CA">
        <w:rPr>
          <w:i/>
          <w:sz w:val="24"/>
        </w:rPr>
        <w:t>.</w:t>
      </w:r>
    </w:p>
    <w:p w:rsidR="00993DBE" w:rsidP="00993DBE" w:rsidRDefault="00993DBE" w14:paraId="79AE2590" w14:textId="77777777">
      <w:pPr>
        <w:pStyle w:val="BodyText"/>
        <w:spacing w:before="1"/>
        <w:rPr>
          <w:i/>
        </w:rPr>
      </w:pPr>
    </w:p>
    <w:sectPr w:rsidR="00993DBE" w:rsidSect="005C353C">
      <w:pgSz w:w="11910" w:h="16840" w:orient="portrait"/>
      <w:pgMar w:top="340" w:right="13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tru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DBE"/>
    <w:rsid w:val="0001140A"/>
    <w:rsid w:val="00084555"/>
    <w:rsid w:val="000F57F8"/>
    <w:rsid w:val="001044DC"/>
    <w:rsid w:val="0013724B"/>
    <w:rsid w:val="00194175"/>
    <w:rsid w:val="001E046F"/>
    <w:rsid w:val="001E0F0B"/>
    <w:rsid w:val="0020107B"/>
    <w:rsid w:val="00214654"/>
    <w:rsid w:val="0027218C"/>
    <w:rsid w:val="002D73B7"/>
    <w:rsid w:val="002F4151"/>
    <w:rsid w:val="002F6FF0"/>
    <w:rsid w:val="00304FE4"/>
    <w:rsid w:val="00352E1A"/>
    <w:rsid w:val="00392051"/>
    <w:rsid w:val="003B3AFE"/>
    <w:rsid w:val="00402D12"/>
    <w:rsid w:val="00437105"/>
    <w:rsid w:val="004626CB"/>
    <w:rsid w:val="004722DF"/>
    <w:rsid w:val="00494193"/>
    <w:rsid w:val="004A6A0A"/>
    <w:rsid w:val="004C08C7"/>
    <w:rsid w:val="0050432B"/>
    <w:rsid w:val="00517943"/>
    <w:rsid w:val="00527E2B"/>
    <w:rsid w:val="00550429"/>
    <w:rsid w:val="005C353C"/>
    <w:rsid w:val="005D2142"/>
    <w:rsid w:val="00606F0A"/>
    <w:rsid w:val="00640B0E"/>
    <w:rsid w:val="0065748A"/>
    <w:rsid w:val="00667C1C"/>
    <w:rsid w:val="006C694D"/>
    <w:rsid w:val="006E3517"/>
    <w:rsid w:val="006F0DBA"/>
    <w:rsid w:val="007A7437"/>
    <w:rsid w:val="007B5A73"/>
    <w:rsid w:val="00804750"/>
    <w:rsid w:val="0082157F"/>
    <w:rsid w:val="00825BE9"/>
    <w:rsid w:val="00827292"/>
    <w:rsid w:val="00993DBE"/>
    <w:rsid w:val="009B5C5F"/>
    <w:rsid w:val="009D019E"/>
    <w:rsid w:val="00A454D4"/>
    <w:rsid w:val="00A54ED6"/>
    <w:rsid w:val="00A7621B"/>
    <w:rsid w:val="00A77C11"/>
    <w:rsid w:val="00AB485D"/>
    <w:rsid w:val="00AE3A62"/>
    <w:rsid w:val="00B00B70"/>
    <w:rsid w:val="00B5605A"/>
    <w:rsid w:val="00B9420A"/>
    <w:rsid w:val="00BA35EA"/>
    <w:rsid w:val="00BD72D6"/>
    <w:rsid w:val="00BE69A8"/>
    <w:rsid w:val="00BF2277"/>
    <w:rsid w:val="00C55D10"/>
    <w:rsid w:val="00CE1B14"/>
    <w:rsid w:val="00D274A9"/>
    <w:rsid w:val="00D476F0"/>
    <w:rsid w:val="00E07A56"/>
    <w:rsid w:val="00E27E37"/>
    <w:rsid w:val="00E602CA"/>
    <w:rsid w:val="00EA1F3C"/>
    <w:rsid w:val="00EB47B6"/>
    <w:rsid w:val="00EC3D0A"/>
    <w:rsid w:val="00EF334B"/>
    <w:rsid w:val="00F101B8"/>
    <w:rsid w:val="00F914E0"/>
    <w:rsid w:val="00FB0F3B"/>
    <w:rsid w:val="00FB569C"/>
    <w:rsid w:val="00FF6679"/>
    <w:rsid w:val="59D8F566"/>
    <w:rsid w:val="62E8FCD3"/>
    <w:rsid w:val="7CD7A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4CEAFF"/>
  <w15:chartTrackingRefBased/>
  <w15:docId w15:val="{7A7B15CB-8D24-400D-8D23-3719E6A1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993DBE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val="pt-PT" w:eastAsia="pt-PT" w:bidi="pt-PT"/>
    </w:rPr>
  </w:style>
  <w:style w:type="paragraph" w:styleId="Heading1">
    <w:name w:val="heading 1"/>
    <w:basedOn w:val="Normal"/>
    <w:link w:val="Heading1Char"/>
    <w:uiPriority w:val="1"/>
    <w:qFormat/>
    <w:rsid w:val="00993DBE"/>
    <w:pPr>
      <w:ind w:left="1178" w:hanging="241"/>
      <w:jc w:val="both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993DBE"/>
    <w:rPr>
      <w:rFonts w:ascii="Times New Roman" w:hAnsi="Times New Roman" w:eastAsia="Times New Roman" w:cs="Times New Roman"/>
      <w:b/>
      <w:bCs/>
      <w:sz w:val="24"/>
      <w:szCs w:val="24"/>
      <w:lang w:val="pt-PT" w:eastAsia="pt-PT" w:bidi="pt-PT"/>
    </w:rPr>
  </w:style>
  <w:style w:type="paragraph" w:styleId="BodyText">
    <w:name w:val="Body Text"/>
    <w:basedOn w:val="Normal"/>
    <w:link w:val="BodyTextChar"/>
    <w:uiPriority w:val="1"/>
    <w:qFormat/>
    <w:rsid w:val="00993DBE"/>
    <w:rPr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993DBE"/>
    <w:rPr>
      <w:rFonts w:ascii="Times New Roman" w:hAnsi="Times New Roman" w:eastAsia="Times New Roman" w:cs="Times New Roman"/>
      <w:sz w:val="24"/>
      <w:szCs w:val="24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993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F0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E046F"/>
    <w:pPr>
      <w:spacing w:after="0" w:line="240" w:lineRule="auto"/>
    </w:pPr>
    <w:rPr>
      <w:rFonts w:ascii="Times New Roman" w:hAnsi="Times New Roman" w:eastAsia="Times New Roman" w:cs="Times New Roman"/>
      <w:lang w:val="pt-PT" w:eastAsia="pt-PT" w:bidi="pt-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7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 w:eastAsia="en-US" w:bidi="ar-S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F57F8"/>
    <w:rPr>
      <w:rFonts w:ascii="Courier New" w:hAnsi="Courier New" w:eastAsia="Times New Roman" w:cs="Courier New"/>
      <w:sz w:val="20"/>
      <w:szCs w:val="20"/>
      <w:lang w:val="en-US"/>
    </w:rPr>
  </w:style>
  <w:style w:type="character" w:styleId="y2iqfc" w:customStyle="1">
    <w:name w:val="y2iqfc"/>
    <w:basedOn w:val="DefaultParagraphFont"/>
    <w:rsid w:val="000F5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microsoft.com/office/2011/relationships/people" Target="peop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E8467-4EEA-40B7-B03C-E6D9DF839C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Kaoe</dc:creator>
  <keywords/>
  <dc:description/>
  <lastModifiedBy>Rodrigo Marcel Araujo Oliveira</lastModifiedBy>
  <revision>7</revision>
  <lastPrinted>2024-05-08T04:01:00.0000000Z</lastPrinted>
  <dcterms:created xsi:type="dcterms:W3CDTF">2024-05-08T04:06:00.0000000Z</dcterms:created>
  <dcterms:modified xsi:type="dcterms:W3CDTF">2024-05-13T18:37:34.7919731Z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f0b94872867efa866afe818cda99d0f279368fe173336c0fc4a8aa0feaef9d0e</vt:lpwstr>
  </property>
</Properties>
</file>