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1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Retenção com aprendizado: protótipo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Protótipo construído para o case Forward Deployed da Comp. É um sistema que identifica onde a empresa corre maior risco de perder valor por turnover voluntário evitável, leva ao gestor o contexto e a ação com maior retorno esperado, e aprende com o resultado de cada decisão. O ciclo demonstrado é </w:t>
      </w: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sinal → caso → intervenção → resultado → aprendizado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.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Dados sintéticos e ilustrativos.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Todos os dados são gerados por regras explícitas de causa e efeito, com semente fixa. Não representam pessoas, empresas ou resultados reais. Ilustram o mecanismo, não provam o resultado.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App publicado: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https://comp-case-whvmhuagjmfytrjxadlqsx.streamlit.app/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Código: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https://github.com/roartacho10/Comp-Case</w:t>
      </w: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Como navegar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Caso do gestor.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Escolha uma das três pessoas e leia a mensagem que o gestor recebe no Slack (simulado): o que chamou atenção, o motivo mais provável, o que os dados sugerem e as opções lado a lado. Registre a decisão e a sua previsão.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Avançar 12 meses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, na barra lateral. O sistema simula o que acontece depois das decisões, nos três casos e em todos os outros casos abertos da empresa.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Retorno e aprendizado.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O retorno para cada gestor, as previsões comparadas com o resultado e o que o sistema aprendeu.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Visão da liderança.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Onde está o risco, quanto valor está em jogo e o que está sendo feito, sem nomes.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Resultado em 12 meses.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Saídas evitadas, valor preservado e quanto cada real investido retornou.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A página </w:t>
      </w: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Como os dados foram gerados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mostra as premissas, as checagens e as tabelas. A página /bastidores (fora do menu) mostra o motor de regras sem interface final.</w:t>
      </w:r>
    </w:p>
    <w:tbl>
      <w:tblPr>
        <w:tblW w:w="9454" w:type="dxa"/>
        <w:tblInd w:w="-42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1"/>
        <w:gridCol w:w="3151"/>
        <w:gridCol w:w="3151"/>
      </w:tblGrid>
      <w:tr>
        <w:trPr>
          <w:tblHeader/>
        </w:trPr>
        <w:tc>
          <w:tcPr>
            <w:tcW w:w="3151" w:type="dxa"/>
            <w:shd w:val="clear" w:color="auto" w:fill="F2F2F2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Pessoa</w:t>
            </w:r>
          </w:p>
        </w:tc>
        <w:tc>
          <w:tcPr>
            <w:tcW w:w="3151" w:type="dxa"/>
            <w:shd w:val="clear" w:color="auto" w:fill="F2F2F2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Situação</w:t>
            </w:r>
          </w:p>
        </w:tc>
        <w:tc>
          <w:tcPr>
            <w:tcW w:w="3151" w:type="dxa"/>
            <w:shd w:val="clear" w:color="auto" w:fill="F2F2F2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O que observar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Mariana Costa · Engenharia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Salário abaixo do mercado, sem aumento há dois anos, propostas de fora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Como o sistema compara o custo do ajuste com o custo de perder a pessoa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Diego Ramírez · Produto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Muito tempo sem promoção, projeto encerrado, perto de um marco de tempo de casa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Uma boa decisão nem sempre garante um bom resultado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Lucía Fernández · Customer Success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Muito tempo sem promoção e um pedido de crescimento sem plano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Divergir da sugestão exige uma justificativa, que entra no aprendizado</w:t>
            </w:r>
          </w:p>
        </w:tc>
      </w:tr>
    </w:tbl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O que o protótipo mostra, ligado ao documento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Seção 4.1 (a solução):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o ciclo contínuo disparado por sinais, e não pelo calendário; a intervenção escolhida pela causa do risco; o gestor decide e registra a previsão antes de agir; o resultado ajusta as recomendações e mede a calibração de quem decide.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Seção 4.2 (os fluxos):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caso do gestor, retorno e aprendizado e visão da liderança, mais uma página com o resultado em 12 meses.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Seção 4.3 (a construção):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feita em fases, com validação antes de cada uma; histórico em docs/build_log.md, no repositório.</w:t>
      </w: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Como os números são calculados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O motor de regras (sem AI) lê só o que o sistema enxerga: os dados brutos do cliente e a rede de casos fechados da Comp.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Caso: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abre com 2 ou mais sinais da mesma causa. A causa provável é a que tem mais sinais; em empate, as duas aparecem e a decisão fica com o gestor.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Risco: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a taxa de saída em 12 meses, na rede, de casos com a mesma causa e o mesmo número de sinais em que nada foi feito.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Valor de cada opção: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o que a empresa economiza evitando a saída (reposição e substituto contratado a valor de mercado), menos o custo da opção, no tempo em que a pessoa ainda deve ficar (até 5 anos). O efeito de ações pontuais dura 12 meses; o do ajuste salarial dura enquanto ele é pago.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Sugestão: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a opção de maior valor, se for positivo; senão, monitorar. Para ações cujo custo o gestor conhece melhor, o sistema mostra até quanto vale gastar.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Resultado: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a simulação aplica as mesmas regras do mundo aos 12 meses seguintes. Os três personagens seguem um roteiro por decisão.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Aprendizado: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as taxas de permanência por causa e intervenção são recalculadas com os casos novos, e as previsões de cada gestor são comparadas com o que aconteceu.</w:t>
      </w: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Onde entra a AI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A AI (Claude, pela API da Anthropic, chamada pelo servidor do app) </w:t>
      </w: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lê e escreve, mas não calcula nem decide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: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lê a anotação da conversa de carreira e indica o sinal que ela contém;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escreve a mensagem do caso para quem decide (com perguntas adaptadas à pessoa), o retorno após 12 meses e os resumos para a liderança.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Ela recebe só os fatos já calculados pelo motor. Antes de aparecer, cada texto passa por quatro checagens: formato, </w:t>
      </w: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todo número do texto existe nos fatos recebidos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, nenhum termo vetado (rótulos, tom de comando, jargão) e a frase "a decisão é sua" na mensagem do caso. Se falhar, se não houver chave ou se a chamada demorar, a tela usa o texto padrão revisado e diz o motivo. As regras estão na pasta prompts/. Os textos aprovados ficam guardados no servidor, e cada sessão tem um limite de chamadas. A chave fica só nos secrets do Streamlit, nunca no código.</w:t>
      </w: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Premissas determinísticas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Toda regra do mundo sintético está em uma base editável, e nenhum número de regra fica no código: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data/assumptions.csv: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uma premissa por linha, com o que ela é, o valor, a unidade, o racional do valor e a origem (case, documento ou premissa assumida).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data/signals.csv e data/interventions.csv: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catálogos de sinais (causa e fonte) e de intervenções (causa que atacam e regra de custo).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data/personas.csv, data/persona_outcomes.csv e data/questions.csv:</w:t>
      </w: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 os três personagens, o roteiro de cada um por decisão e as perguntas de conversa.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Os dados em data/generated/ são derivados dessas tabelas e não são editados à mão: mudou a premissa, roda-se scripts/generate_data.py. Quarenta checagens comparam os dados gerados com as premissas, e um teste garante que o retrato no repositório é exatamente o que as premissas atuais geram. A verdade oculta (causa de cada pessoa) fica em data/hidden/, visível para auditoria, mas lida só pelo gerador, pela simulação e pelas checagens; outro teste garante isso.</w:t>
      </w: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Limitações e simplificações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Dados, empresa, pessoas e rede da Comp são sintéticos. O resultado mostra o mecanismo, não prova o efeito.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O Slack é uma imagem da conversa, sem integração; não há integração com HRIS.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Duas causas tratáveis: remuneração e crescimento. Problemas na relação com a gestão são uma causa possível na solução, mas ficaram fora do protótipo.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O aprendizado usa regras simples e transparentes, sem modelo treinado.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A visão do colaborador, as flags de priorização e a redução de dependência ficam descritas no documento, não construídas.</w:t>
      </w: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Construção em fases</w:t>
      </w:r>
    </w:p>
    <w:tbl>
      <w:tblPr>
        <w:tblW w:w="9454" w:type="dxa"/>
        <w:tblInd w:w="-42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1"/>
        <w:gridCol w:w="3151"/>
        <w:gridCol w:w="3151"/>
      </w:tblGrid>
      <w:tr>
        <w:trPr>
          <w:tblHeader/>
        </w:trPr>
        <w:tc>
          <w:tcPr>
            <w:tcW w:w="3151" w:type="dxa"/>
            <w:shd w:val="clear" w:color="auto" w:fill="F2F2F2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W w:w="3151" w:type="dxa"/>
            <w:shd w:val="clear" w:color="auto" w:fill="F2F2F2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Conteúdo</w:t>
            </w:r>
          </w:p>
        </w:tc>
        <w:tc>
          <w:tcPr>
            <w:tcW w:w="3151" w:type="dxa"/>
            <w:shd w:val="clear" w:color="auto" w:fill="F2F2F2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Fundação: repositório, estrutura e publicação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Concluída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Mundo e dados sintéticos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Concluída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Personagens e motor de regras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Concluída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Fluxo 1: caso do gestor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Concluída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Fluxos 2 e 3 (aprendizado, liderança) e resultado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Concluída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Camada de AI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Concluída</w:t>
            </w:r>
          </w:p>
        </w:tc>
      </w:tr>
      <w:tr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Testes, README e publicação final</w:t>
            </w:r>
          </w:p>
        </w:tc>
        <w:tc>
          <w:tcPr>
            <w:tcW w:w="3151" w:type="dxa"/>
          </w:tcPr>
          <w:p>
            <w:pPr>
              <w:spacing w:after="0" w:before="0"/>
              <w:rPr>
                <w:rFonts w:ascii="Nunito Light" w:cs="Nunito Light" w:eastAsia="Nunito Light" w:hAnsi="Nunito Light"/>
                <w:sz w:val="18"/>
              </w:rPr>
            </w:pPr>
            <w:r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Concluída</w:t>
            </w:r>
          </w:p>
        </w:tc>
      </w:tr>
    </w:tbl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</w:p>
    <w:p>
      <w:pPr>
        <w:keepNext w:val="1"/>
        <w:ind w:left="-283" w:hanging="135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6"/>
          <w:szCs w:val="26"/>
          <w:rtl w:val="0"/>
        </w:rPr>
        <w:t xml:space="preserve">Como rodar localmente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Instalar as dependências: pip install -r requirements.txt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Abrir o app: streamlit run app.py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Regenerar os dados a partir das premissas e rodar as checagens: python scripts/generate_data.py</w:t>
      </w:r>
    </w:p>
    <w:p>
      <w:pPr>
        <w:numPr>
          <w:ilvl w:val="0"/>
          <w:numId w:val="1"/>
        </w:numPr>
        <w:spacing w:after="0" w:before="0" w:line="276" w:lineRule="auto"/>
        <w:ind w:left="-425" w:right="0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Rodar os testes: pytest (o teste no navegador roda se o Playwright estiver instalado)</w:t>
      </w:r>
    </w:p>
    <w:p>
      <w:pPr>
        <w:spacing w:after="60" w:before="0" w:line="276" w:lineRule="auto"/>
        <w:ind w:left="-425" w:firstLine="0"/>
        <w:jc w:val="both"/>
        <w:rPr>
          <w:rFonts w:ascii="Nunito Light" w:cs="Nunito Light" w:eastAsia="Nunito Light" w:hAnsi="Nunito Light"/>
          <w:sz w:val="20"/>
          <w:szCs w:val="20"/>
        </w:rPr>
      </w:pPr>
      <w:r>
        <w:rPr>
          <w:rFonts w:ascii="Nunito Light" w:cs="Nunito Light" w:eastAsia="Nunito Light" w:hAnsi="Nunito Light"/>
          <w:sz w:val="20"/>
          <w:szCs w:val="20"/>
          <w:rtl w:val="0"/>
        </w:rPr>
        <w:t xml:space="preserve">Código em inglês; interface em português.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ovaMono-regular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ZO0sm/Fz430drJ5OIWsttWh3Q==">CgMxLjAaHgoBMBIZChcIB0ITCgZOdW5pdG8SCU5vdmEgTW9ubzgAciExMkJ6R0VmbWRIcWEySzRiOVpPT0xuVkJSbjY4eGJ6Vi0=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