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 do gestor.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Escolha uma das três pessoas e leia a mensagem que o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na barra lateral.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e aprendizado.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retorno para cada gestor, as previsões comparadas com o resultado e o que o sistema aprendeu.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Visão da liderança.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 em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 e quanto cada real investido retornou.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página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Como os dados foram gerados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mostra as premissas, as checagens e as tabelas. A página /bastidores (fora do menu) mostra o motor de regras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e aprendizado e visão da liderança, mais uma página com o resultado em 12 meses.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O efeito de ações pontuais dura 12 meses; o do ajuste salarial dura enquanto ele é pago.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Para ações cujo custo o gestor conhece melhor (carreira e projeto), o sistema mostra a perda que a ação evita, que é o máximo que vale investir, também em horas do tempo do gestor. Nos totais, essas ações entram com um custo de referência de R$ 5 mil por caso.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 e diz o motivo.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Os dados em data/generated/ são derivados dessas tabelas e não são editados à mão: mudou a premissa, roda-se scripts/generate_data.py.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