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Rule="auto"/>
        <w:rPr/>
      </w:pPr>
      <w:r>
        <w:rPr>
          <w:rFonts w:ascii="Arial" w:cs="Arial" w:eastAsia="Arial" w:hAnsi="Arial"/>
          <w:color w:val="1a1a1a"/>
          <w:sz w:val="26"/>
          <w:szCs w:val="26"/>
          <w:rtl w:val="0"/>
        </w:rPr>
        <w:t xml:space="preserve">Challenge report</w:t>
      </w:r>
      <w:r>
        <w:rPr>
          <w:rtl w:val="0"/>
        </w:rPr>
      </w:r>
    </w:p>
    <w:p w:rsidR="00000000" w:rsidDel="00000000" w:rsidP="00000000" w:rsidRDefault="00000000" w:rsidRPr="00000000" w14:paraId="00000002">
      <w:pPr>
        <w:pBdr>
          <w:bottom w:color="231f20" w:space="6" w:sz="10" w:val="single"/>
        </w:pBdr>
        <w:spacing w:after="100" w:lineRule="auto"/>
        <w:rPr/>
      </w:pPr>
      <w:r>
        <w:rPr>
          <w:rFonts w:ascii="Arial" w:cs="Arial" w:eastAsia="Arial" w:hAnsi="Arial"/>
          <w:color w:val="6b6b6b"/>
          <w:sz w:val="16"/>
          <w:szCs w:val="16"/>
          <w:rtl w:val="0"/>
        </w:rPr>
        <w:t xml:space="preserve">Enter × XP case  ·  AI Deployment  ·  Rodrigo Artacho  ·  September 2026</w:t>
      </w:r>
      <w:r>
        <w:rPr>
          <w:rtl w:val="0"/>
        </w:rPr>
      </w:r>
    </w:p>
    <w:p w:rsidR="00000000" w:rsidDel="00000000" w:rsidP="00000000" w:rsidRDefault="00000000" w:rsidRPr="00000000" w14:paraId="00000003">
      <w:pPr>
        <w:pBdr>
          <w:bottom w:color="bbbbbb" w:space="2" w:sz="6" w:val="single"/>
        </w:pBdr>
        <w:spacing w:after="75" w:before="150" w:lineRule="auto"/>
        <w:rPr/>
      </w:pPr>
      <w:r>
        <w:rPr>
          <w:rFonts w:ascii="Arial" w:cs="Arial" w:eastAsia="Arial" w:hAnsi="Arial"/>
          <w:color w:val="1a1a1a"/>
          <w:sz w:val="20"/>
          <w:szCs w:val="20"/>
          <w:rtl w:val="0"/>
        </w:rPr>
        <w:t xml:space="preserve">1.  Issues found in the first version</w:t>
      </w:r>
      <w:r>
        <w:rPr>
          <w:rtl w:val="0"/>
        </w:rPr>
      </w:r>
    </w:p>
    <w:p w:rsidR="00000000" w:rsidDel="00000000" w:rsidP="00000000" w:rsidRDefault="00000000" w:rsidRPr="00000000" w14:paraId="00000004">
      <w:pPr>
        <w:spacing w:after="62" w:line="214" w:lineRule="auto"/>
        <w:jc w:val="both"/>
        <w:rPr/>
      </w:pPr>
      <w:r>
        <w:rPr>
          <w:rFonts w:ascii="Arial" w:cs="Arial" w:eastAsia="Arial" w:hAnsi="Arial"/>
          <w:b w:val="1"/>
          <w:bCs w:val="1"/>
          <w:color w:val="1a1a1a"/>
          <w:sz w:val="18"/>
          <w:szCs w:val="18"/>
          <w:rtl w:val="0"/>
        </w:rPr>
        <w:t xml:space="preserve">It breaks loudly.</w:t>
      </w:r>
      <w:r>
        <w:rPr>
          <w:rFonts w:ascii="Arial" w:cs="Arial" w:eastAsia="Arial" w:hAnsi="Arial"/>
          <w:color w:val="1a1a1a"/>
          <w:sz w:val="18"/>
          <w:szCs w:val="18"/>
          <w:rtl w:val="0"/>
        </w:rPr>
        <w:t xml:space="preserve"> File paths point at another machine (</w:t>
      </w:r>
      <w:r>
        <w:rPr>
          <w:rFonts w:ascii="Consolas" w:cs="Consolas" w:eastAsia="Consolas" w:hAnsi="Consolas"/>
          <w:color w:val="333333"/>
          <w:sz w:val="16"/>
          <w:szCs w:val="16"/>
          <w:rtl w:val="0"/>
        </w:rPr>
        <w:t xml:space="preserve">C:\Users\blope\…</w:t>
      </w:r>
      <w:r>
        <w:rPr>
          <w:rFonts w:ascii="Arial" w:cs="Arial" w:eastAsia="Arial" w:hAnsi="Arial"/>
          <w:color w:val="1a1a1a"/>
          <w:sz w:val="18"/>
          <w:szCs w:val="18"/>
          <w:rtl w:val="0"/>
        </w:rPr>
        <w:t xml:space="preserve">), so the graph only runs on the author’s computer, and all three file readers set </w:t>
      </w:r>
      <w:r>
        <w:rPr>
          <w:rFonts w:ascii="Consolas" w:cs="Consolas" w:eastAsia="Consolas" w:hAnsi="Consolas"/>
          <w:color w:val="333333"/>
          <w:sz w:val="16"/>
          <w:szCs w:val="16"/>
          <w:rtl w:val="0"/>
        </w:rPr>
        <w:t xml:space="preserve">errorOnMissingFile: false</w:t>
      </w:r>
      <w:r>
        <w:rPr>
          <w:rFonts w:ascii="Arial" w:cs="Arial" w:eastAsia="Arial" w:hAnsi="Arial"/>
          <w:color w:val="1a1a1a"/>
          <w:sz w:val="18"/>
          <w:szCs w:val="18"/>
          <w:rtl w:val="0"/>
        </w:rPr>
        <w:t xml:space="preserve">: a missing input returns an empty string and the letter is written anyway.</w:t>
      </w:r>
      <w:r>
        <w:rPr>
          <w:rtl w:val="0"/>
        </w:rPr>
      </w:r>
    </w:p>
    <w:p w:rsidR="00000000" w:rsidDel="00000000" w:rsidP="00000000" w:rsidRDefault="00000000" w:rsidRPr="00000000" w14:paraId="00000005">
      <w:pPr>
        <w:spacing w:after="62" w:line="214" w:lineRule="auto"/>
        <w:jc w:val="both"/>
        <w:rPr/>
      </w:pPr>
      <w:r>
        <w:rPr>
          <w:rFonts w:ascii="Arial" w:cs="Arial" w:eastAsia="Arial" w:hAnsi="Arial"/>
          <w:b w:val="1"/>
          <w:bCs w:val="1"/>
          <w:color w:val="1a1a1a"/>
          <w:sz w:val="18"/>
          <w:szCs w:val="18"/>
          <w:rtl w:val="0"/>
        </w:rPr>
        <w:t xml:space="preserve">It fails quietly.</w:t>
      </w:r>
      <w:r>
        <w:rPr>
          <w:rFonts w:ascii="Arial" w:cs="Arial" w:eastAsia="Arial" w:hAnsi="Arial"/>
          <w:color w:val="1a1a1a"/>
          <w:sz w:val="18"/>
          <w:szCs w:val="18"/>
          <w:rtl w:val="0"/>
        </w:rPr>
        <w:t xml:space="preserve"> Every number in the letter is written by the model, and three can be traced back to where they came from:</w:t>
      </w:r>
      <w:r>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14" w:lineRule="auto"/>
        <w:ind w:left="345" w:right="0" w:hanging="201"/>
        <w:jc w:val="both"/>
        <w:rPr/>
      </w:pPr>
      <w:r>
        <w:rPr>
          <w:rFonts w:ascii="Arial" w:cs="Arial" w:eastAsia="Arial" w:hAnsi="Arial"/>
          <w:color w:val="1a1a1a"/>
          <w:sz w:val="18"/>
          <w:szCs w:val="18"/>
          <w:rtl w:val="0"/>
        </w:rPr>
        <w:t xml:space="preserve">“retorno total de 3,5%” is ARZZ3’s </w:t>
      </w:r>
      <w:r>
        <w:rPr>
          <w:rFonts w:ascii="Arial" w:cs="Arial" w:eastAsia="Arial" w:hAnsi="Arial"/>
          <w:b w:val="1"/>
          <w:bCs w:val="1"/>
          <w:color w:val="1a1a1a"/>
          <w:sz w:val="18"/>
          <w:szCs w:val="18"/>
          <w:rtl w:val="0"/>
        </w:rPr>
        <w:t xml:space="preserve">share of the portfolio</w:t>
      </w:r>
      <w:r>
        <w:rPr>
          <w:rFonts w:ascii="Arial" w:cs="Arial" w:eastAsia="Arial" w:hAnsi="Arial"/>
          <w:color w:val="1a1a1a"/>
          <w:sz w:val="18"/>
          <w:szCs w:val="18"/>
          <w:rtl w:val="0"/>
        </w:rPr>
        <w:t xml:space="preserve">, reused as if it were a return;</w:t>
      </w:r>
      <w:r>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14" w:lineRule="auto"/>
        <w:ind w:left="345" w:right="0" w:hanging="201"/>
        <w:jc w:val="both"/>
        <w:rPr/>
      </w:pPr>
      <w:r>
        <w:rPr>
          <w:rFonts w:ascii="Arial" w:cs="Arial" w:eastAsia="Arial" w:hAnsi="Arial"/>
          <w:color w:val="1a1a1a"/>
          <w:sz w:val="18"/>
          <w:szCs w:val="18"/>
          <w:rtl w:val="0"/>
        </w:rPr>
        <w:t xml:space="preserve">“0,2 p.p. acima do benchmark” </w:t>
      </w:r>
      <w:r>
        <w:rPr>
          <w:rFonts w:ascii="Arial" w:cs="Arial" w:eastAsia="Arial" w:hAnsi="Arial"/>
          <w:b w:val="1"/>
          <w:bCs w:val="1"/>
          <w:color w:val="1a1a1a"/>
          <w:sz w:val="18"/>
          <w:szCs w:val="18"/>
          <w:rtl w:val="0"/>
        </w:rPr>
        <w:t xml:space="preserve">has no source</w:t>
      </w:r>
      <w:r>
        <w:rPr>
          <w:rFonts w:ascii="Arial" w:cs="Arial" w:eastAsia="Arial" w:hAnsi="Arial"/>
          <w:color w:val="1a1a1a"/>
          <w:sz w:val="18"/>
          <w:szCs w:val="18"/>
          <w:rtl w:val="0"/>
        </w:rPr>
        <w:t xml:space="preserve"> — no benchmark exists in any of the three input files;</w:t>
      </w:r>
      <w:r>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14" w:lineRule="auto"/>
        <w:ind w:left="345" w:right="0" w:hanging="201"/>
        <w:jc w:val="both"/>
        <w:rPr/>
      </w:pPr>
      <w:r>
        <w:rPr>
          <w:rFonts w:ascii="Arial" w:cs="Arial" w:eastAsia="Arial" w:hAnsi="Arial"/>
          <w:color w:val="1a1a1a"/>
          <w:sz w:val="18"/>
          <w:szCs w:val="18"/>
          <w:rtl w:val="0"/>
        </w:rPr>
        <w:t xml:space="preserve">“os fundos</w:t>
      </w:r>
      <w:r>
        <w:rPr>
          <w:rFonts w:ascii="Arial Unicode MS" w:cs="Arial Unicode MS" w:eastAsia="Arial Unicode MS" w:hAnsi="Arial Unicode MS"/>
          <w:color w:val="1a1a1a"/>
          <w:sz w:val="18"/>
          <w:szCs w:val="18"/>
          <w:rtl w:val="0"/>
        </w:rPr>
        <w:t xml:space="preserve"> alcançaram 17,4%” is the average of Riza (15.51%) and Brave (19.08%), with the three losing funds (−12.13%, −14.51%, −25.66%) left out.</w:t>
      </w:r>
      <w:r>
        <w:rPr>
          <w:rtl w:val="0"/>
        </w:rPr>
      </w:r>
    </w:p>
    <w:p w:rsidR="00000000" w:rsidDel="00000000" w:rsidP="00000000" w:rsidRDefault="00000000" w:rsidRPr="00000000" w14:paraId="00000009">
      <w:pPr>
        <w:spacing w:after="62" w:line="214" w:lineRule="auto"/>
        <w:jc w:val="both"/>
        <w:rPr/>
      </w:pPr>
      <w:r>
        <w:rPr>
          <w:rFonts w:ascii="Arial" w:cs="Arial" w:eastAsia="Arial" w:hAnsi="Arial"/>
          <w:color w:val="1a1a1a"/>
          <w:sz w:val="18"/>
          <w:szCs w:val="18"/>
          <w:rtl w:val="0"/>
        </w:rPr>
        <w:t xml:space="preserve">Two more of the same kind: the </w:t>
      </w:r>
      <w:r>
        <w:rPr>
          <w:rFonts w:ascii="Arial" w:cs="Arial" w:eastAsia="Arial" w:hAnsi="Arial"/>
          <w:i w:val="1"/>
          <w:iCs w:val="1"/>
          <w:color w:val="1a1a1a"/>
          <w:sz w:val="18"/>
          <w:szCs w:val="18"/>
          <w:rtl w:val="0"/>
        </w:rPr>
        <w:t xml:space="preserve">Rentabilidade</w:t>
      </w:r>
      <w:r>
        <w:rPr>
          <w:rFonts w:ascii="Arial Unicode MS" w:cs="Arial Unicode MS" w:eastAsia="Arial Unicode MS" w:hAnsi="Arial Unicode MS"/>
          <w:color w:val="1a1a1a"/>
          <w:sz w:val="18"/>
          <w:szCs w:val="18"/>
          <w:rtl w:val="0"/>
        </w:rPr>
        <w:t xml:space="preserve"> column is the return since purchase, not the month’s (LREN3: bought at 29.05, now 16.94, −41.7%), and v1 reports it as the month; and the letter opens “Prezado João” when the client is Albert, copied from the prompt’s own example. The three summaries also arrive in the wrong slots of the final prompt — profile where the macro should be, portfolio where the profile should be. It reads well only because each summary says what it is and the model </w:t>
      </w:r>
      <w:r>
        <w:rPr>
          <w:rFonts w:ascii="Arial" w:cs="Arial" w:eastAsia="Arial" w:hAnsi="Arial"/>
          <w:color w:val="1a1a1a"/>
          <w:sz w:val="18"/>
          <w:szCs w:val="18"/>
          <w:rtl w:val="0"/>
        </w:rPr>
        <w:t xml:space="preserve">ignored the labels. Two settings make this likely to repeat — temperature 0.5, so the same portfolio gives a different letter on every run, and a 1,024-token limit for a ~700-word Portuguese letter, which truncates mid-sentence with no warning.</w:t>
      </w:r>
      <w:r>
        <w:rPr>
          <w:rtl w:val="0"/>
        </w:rPr>
      </w:r>
    </w:p>
    <w:p w:rsidR="00000000" w:rsidDel="00000000" w:rsidP="00000000" w:rsidRDefault="00000000" w:rsidRPr="00000000" w14:paraId="0000000A">
      <w:pPr>
        <w:spacing w:after="62" w:line="214" w:lineRule="auto"/>
        <w:jc w:val="both"/>
        <w:rPr/>
      </w:pPr>
      <w:r>
        <w:rPr>
          <w:rFonts w:ascii="Arial" w:cs="Arial" w:eastAsia="Arial" w:hAnsi="Arial"/>
          <w:b w:val="1"/>
          <w:bCs w:val="1"/>
          <w:color w:val="1a1a1a"/>
          <w:sz w:val="18"/>
          <w:szCs w:val="18"/>
          <w:rtl w:val="0"/>
        </w:rPr>
        <w:t xml:space="preserve">Nothing checks anything.</w:t>
      </w:r>
      <w:r>
        <w:rPr>
          <w:rFonts w:ascii="Arial" w:cs="Arial" w:eastAsia="Arial" w:hAnsi="Arial"/>
          <w:color w:val="1a1a1a"/>
          <w:sz w:val="18"/>
          <w:szCs w:val="18"/>
          <w:rtl w:val="0"/>
        </w:rPr>
        <w:t xml:space="preserve"> The final letter never sees the source files, only three summaries, so a number lost in summarising cannot be recovered or checked afterwards. There is no file output — the delivered .docx was copied by hand — no tests, no check on the arithmetic, no suitability check, and no record of what produced what.</w:t>
      </w:r>
      <w:r>
        <w:rPr>
          <w:rtl w:val="0"/>
        </w:rPr>
      </w:r>
    </w:p>
    <w:p w:rsidR="00000000" w:rsidDel="00000000" w:rsidP="00000000" w:rsidRDefault="00000000" w:rsidRPr="00000000" w14:paraId="0000000B">
      <w:pPr>
        <w:spacing w:after="62" w:line="214" w:lineRule="auto"/>
        <w:jc w:val="both"/>
        <w:rPr/>
      </w:pPr>
      <w:r>
        <w:rPr>
          <w:rFonts w:ascii="Arial" w:cs="Arial" w:eastAsia="Arial" w:hAnsi="Arial"/>
          <w:b w:val="1"/>
          <w:bCs w:val="1"/>
          <w:color w:val="1a1a1a"/>
          <w:sz w:val="18"/>
          <w:szCs w:val="18"/>
          <w:rtl w:val="0"/>
        </w:rPr>
        <w:t xml:space="preserve">And nobody is looking at the portfolio.</w:t>
      </w:r>
      <w:r>
        <w:rPr>
          <w:rFonts w:ascii="Arial Unicode MS" w:cs="Arial Unicode MS" w:eastAsia="Arial Unicode MS" w:hAnsi="Arial Unicode MS"/>
          <w:color w:val="1a1a1a"/>
          <w:sz w:val="18"/>
          <w:szCs w:val="18"/>
          <w:rtl w:val="0"/>
        </w:rPr>
        <w:t xml:space="preserve"> R$ 74,672.62 sits in cash, close to a fifth of the total and about R$ 930 a month of foregone return at XP’s own 15.50% Selic forecast. The stated “Ações 19,32%” understates real equity exposure, because three of the funds inside the 67.71% bucket hold equity themselves. The profile asks for consolidated dividend payers and fixed income rated BB+ or better; the book holds HAPV3 at −74.58%, which did not pay dividends in 2025. A C6 CDB matured on 05/09/2024 and is still on the books. Three different as-of dates appear in one report. And the price file provided covers 19% of the portfolio.</w:t>
      </w:r>
      <w:r>
        <w:rPr>
          <w:rtl w:val="0"/>
        </w:rPr>
      </w:r>
    </w:p>
    <w:p w:rsidR="00000000" w:rsidDel="00000000" w:rsidP="00000000" w:rsidRDefault="00000000" w:rsidRPr="00000000" w14:paraId="0000000C">
      <w:pPr>
        <w:pBdr>
          <w:bottom w:color="bbbbbb" w:space="2" w:sz="6" w:val="single"/>
        </w:pBdr>
        <w:spacing w:after="75" w:before="150" w:lineRule="auto"/>
        <w:rPr/>
      </w:pPr>
      <w:r>
        <w:rPr>
          <w:rFonts w:ascii="Arial" w:cs="Arial" w:eastAsia="Arial" w:hAnsi="Arial"/>
          <w:color w:val="1a1a1a"/>
          <w:sz w:val="20"/>
          <w:szCs w:val="20"/>
          <w:rtl w:val="0"/>
        </w:rPr>
        <w:t xml:space="preserve">2.  Rationale behind the approach</w:t>
      </w:r>
      <w:r>
        <w:rPr>
          <w:rtl w:val="0"/>
        </w:rPr>
      </w:r>
    </w:p>
    <w:p w:rsidR="00000000" w:rsidDel="00000000" w:rsidP="00000000" w:rsidRDefault="00000000" w:rsidRPr="00000000" w14:paraId="0000000D">
      <w:pPr>
        <w:spacing w:after="62" w:line="214" w:lineRule="auto"/>
        <w:jc w:val="both"/>
        <w:rPr/>
      </w:pPr>
      <w:r>
        <w:rPr>
          <w:rFonts w:ascii="Arial" w:cs="Arial" w:eastAsia="Arial" w:hAnsi="Arial"/>
          <w:b w:val="1"/>
          <w:bCs w:val="1"/>
          <w:color w:val="1a1a1a"/>
          <w:sz w:val="18"/>
          <w:szCs w:val="18"/>
          <w:rtl w:val="0"/>
        </w:rPr>
        <w:t xml:space="preserve">One rule, and the reason for it.</w:t>
      </w:r>
      <w:r>
        <w:rPr>
          <w:rFonts w:ascii="Arial" w:cs="Arial" w:eastAsia="Arial" w:hAnsi="Arial"/>
          <w:color w:val="1a1a1a"/>
          <w:sz w:val="18"/>
          <w:szCs w:val="18"/>
          <w:rtl w:val="0"/>
        </w:rPr>
        <w:t xml:space="preserve"> A language model is good at explaining but it has no way of telling which of its own numbers are right. So it is never asked for one. The code computes every figure and hands them over already formatted; the model writes the letter around them; a letter containing a number that is not on that list is rejected before anyone reads it. Prices, returns, suitability, checking and layout have a right answer and belong in code that can be tested. Wording, tone and what to say first have no right answer, the model beats any template at them, and being wrong there is cheap. I moved the first half from Rivet to Python; a rendered diagram of the pipeline comes attached to give back the readability the node graph had.</w:t>
      </w:r>
      <w:r>
        <w:rPr>
          <w:rtl w:val="0"/>
        </w:rPr>
      </w:r>
    </w:p>
    <w:p w:rsidR="00000000" w:rsidDel="00000000" w:rsidP="00000000" w:rsidRDefault="00000000" w:rsidRPr="00000000" w14:paraId="0000000E">
      <w:pPr>
        <w:spacing w:after="62" w:line="214" w:lineRule="auto"/>
        <w:jc w:val="both"/>
        <w:rPr/>
      </w:pPr>
      <w:r>
        <w:rPr>
          <w:rFonts w:ascii="Arial" w:cs="Arial" w:eastAsia="Arial" w:hAnsi="Arial"/>
          <w:b w:val="1"/>
          <w:bCs w:val="1"/>
          <w:color w:val="1a1a1a"/>
          <w:sz w:val="18"/>
          <w:szCs w:val="18"/>
          <w:rtl w:val="0"/>
        </w:rPr>
        <w:t xml:space="preserve">The pipeline, step by step.</w:t>
      </w:r>
      <w:r>
        <w:rPr>
          <w:rFonts w:ascii="Arial" w:cs="Arial" w:eastAsia="Arial" w:hAnsi="Arial"/>
          <w:color w:val="1a1a1a"/>
          <w:sz w:val="18"/>
          <w:szCs w:val="18"/>
          <w:rtl w:val="0"/>
        </w:rPr>
        <w:t xml:space="preserve"> Fourteen stages run in order, each a separate program that validates its own output and stops the run on failure. What each does, why, and where it falls short:</w:t>
      </w:r>
      <w:r>
        <w:rPr>
          <w:rtl w:val="0"/>
        </w:rPr>
      </w:r>
    </w:p>
    <w:p w:rsidR="00000000" w:rsidDel="00000000" w:rsidP="00000000" w:rsidRDefault="00000000" w:rsidRPr="00000000" w14:paraId="0000000F">
      <w:pPr>
        <w:spacing w:after="62" w:line="214" w:lineRule="auto"/>
        <w:jc w:val="both"/>
        <w:rPr/>
      </w:pPr>
      <w:r>
        <w:rPr>
          <w:rFonts w:ascii="Arial" w:cs="Arial" w:eastAsia="Arial" w:hAnsi="Arial"/>
          <w:b w:val="1"/>
          <w:bCs w:val="1"/>
          <w:color w:val="1a1a1a"/>
          <w:sz w:val="18"/>
          <w:szCs w:val="18"/>
          <w:rtl w:val="0"/>
        </w:rPr>
        <w:t xml:space="preserve">1. Read the documents into parameters.</w:t>
      </w:r>
      <w:r>
        <w:rPr>
          <w:rFonts w:ascii="Arial" w:cs="Arial" w:eastAsia="Arial" w:hAnsi="Arial"/>
          <w:color w:val="1a1a1a"/>
          <w:sz w:val="18"/>
          <w:szCs w:val="18"/>
          <w:rtl w:val="0"/>
        </w:rPr>
        <w:t xml:space="preserve"> The inputs are prose: a macro report, a statement, a risk-profile letter. An engine cannot read prose, so each is reduced to declared parameters. What a decision can consume from research is not the argument but its reflection in projected macro variables — IPCA, Selic, GDP — so the </w:t>
      </w:r>
      <w:r>
        <w:rPr>
          <w:rFonts w:ascii="Arial" w:cs="Arial" w:eastAsia="Arial" w:hAnsi="Arial"/>
          <w:i w:val="1"/>
          <w:iCs w:val="1"/>
          <w:color w:val="1a1a1a"/>
          <w:sz w:val="18"/>
          <w:szCs w:val="18"/>
          <w:rtl w:val="0"/>
        </w:rPr>
        <w:t xml:space="preserve">Projeções XP</w:t>
      </w:r>
      <w:r>
        <w:rPr>
          <w:rFonts w:ascii="Arial" w:cs="Arial" w:eastAsia="Arial" w:hAnsi="Arial"/>
          <w:color w:val="1a1a1a"/>
          <w:sz w:val="18"/>
          <w:szCs w:val="18"/>
          <w:rtl w:val="0"/>
        </w:rPr>
        <w:t xml:space="preserve"> table is parsed directly, never summarised by a model. It is printed twice and both copies must agree; where the table and the running text disagree, the table wins (two such contradictions turned up). The profile letter becomes three parameters — classification, objective, horizon — each stored with the sentence that produced it.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profile and horizon take three values each, a deliberate simplification, and this is a one-way monthly read. A production version takes research from a versioned feed, so a revised house view propagates instead of waiting for the next parse.</w:t>
      </w:r>
      <w:r>
        <w:rPr>
          <w:rtl w:val="0"/>
        </w:rPr>
      </w:r>
    </w:p>
    <w:p w:rsidR="00000000" w:rsidDel="00000000" w:rsidP="00000000" w:rsidRDefault="00000000" w:rsidRPr="00000000" w14:paraId="00000010">
      <w:pPr>
        <w:spacing w:after="62" w:line="214" w:lineRule="auto"/>
        <w:jc w:val="both"/>
        <w:rPr/>
      </w:pPr>
      <w:r>
        <w:rPr>
          <w:rFonts w:ascii="Arial" w:cs="Arial" w:eastAsia="Arial" w:hAnsi="Arial"/>
          <w:b w:val="1"/>
          <w:bCs w:val="1"/>
          <w:color w:val="1a1a1a"/>
          <w:sz w:val="18"/>
          <w:szCs w:val="18"/>
          <w:rtl w:val="0"/>
        </w:rPr>
        <w:t xml:space="preserve">2. Price the portfolio from public sources.</w:t>
      </w:r>
      <w:r>
        <w:rPr>
          <w:rFonts w:ascii="Arial" w:cs="Arial" w:eastAsia="Arial" w:hAnsi="Arial"/>
          <w:color w:val="1a1a1a"/>
          <w:sz w:val="18"/>
          <w:szCs w:val="18"/>
          <w:rtl w:val="0"/>
        </w:rPr>
        <w:t xml:space="preserve"> The file provided prices 19% of the book, so fund quotas come from CVM filings and share prices from B3, matched by CNPJ and ticker rather than by the statement’s names, which are not keys. Two holdings had changed ticker through mergers and only return data under the new symbol — an error that does not announce itself, because the position simply drops out of the calculation. Prices are validated against a hand-checked answer key, and any divergence stops the run. Whatever still cannot be priced is declared on the page instead of quietly filled in.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the CVM extract is frozen for the exercise; a production version calls those bases on a schedule.</w:t>
      </w:r>
      <w:r>
        <w:rPr>
          <w:rtl w:val="0"/>
        </w:rPr>
      </w:r>
    </w:p>
    <w:p w:rsidR="00000000" w:rsidDel="00000000" w:rsidP="00000000" w:rsidRDefault="00000000" w:rsidRPr="00000000" w14:paraId="00000011">
      <w:pPr>
        <w:spacing w:after="62" w:line="214" w:lineRule="auto"/>
        <w:jc w:val="both"/>
        <w:rPr/>
      </w:pPr>
      <w:r>
        <w:rPr>
          <w:rFonts w:ascii="Arial" w:cs="Arial" w:eastAsia="Arial" w:hAnsi="Arial"/>
          <w:b w:val="1"/>
          <w:bCs w:val="1"/>
          <w:color w:val="1a1a1a"/>
          <w:sz w:val="18"/>
          <w:szCs w:val="18"/>
          <w:rtl w:val="0"/>
        </w:rPr>
        <w:t xml:space="preserve">3. Compute the month.</w:t>
      </w:r>
      <w:r>
        <w:rPr>
          <w:rFonts w:ascii="Arial" w:cs="Arial" w:eastAsia="Arial" w:hAnsi="Arial"/>
          <w:color w:val="1a1a1a"/>
          <w:sz w:val="18"/>
          <w:szCs w:val="18"/>
          <w:rtl w:val="0"/>
        </w:rPr>
        <w:t xml:space="preserve"> Return, per-position contribution and look-through equity exposure, all in code and all validated against a hand-checked answer key. Performance is shown against two references kept separate, because the client asks two different questions: the CDI answers whether the risk paid, inflation answers whether the money kept its purchasing power. Real return is obtained by deflating, not subtracting. The Ibovespa is background only — Albert does not hold an equity portfolio.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these are the right two references for this client, chosen by hand. A per-client reference built from his own target allocation needs the allocation model in step 5 to exist first.</w:t>
      </w:r>
      <w:r>
        <w:rPr>
          <w:rtl w:val="0"/>
        </w:rPr>
      </w:r>
    </w:p>
    <w:p w:rsidR="00000000" w:rsidDel="00000000" w:rsidP="00000000" w:rsidRDefault="00000000" w:rsidRPr="00000000" w14:paraId="00000012">
      <w:pPr>
        <w:spacing w:after="62" w:line="214" w:lineRule="auto"/>
        <w:jc w:val="both"/>
        <w:rPr/>
      </w:pPr>
      <w:r>
        <w:rPr>
          <w:rFonts w:ascii="Arial" w:cs="Arial" w:eastAsia="Arial" w:hAnsi="Arial"/>
          <w:b w:val="1"/>
          <w:bCs w:val="1"/>
          <w:color w:val="1a1a1a"/>
          <w:sz w:val="18"/>
          <w:szCs w:val="18"/>
          <w:rtl w:val="0"/>
        </w:rPr>
        <w:t xml:space="preserve">4. Derive the limits from the profile.</w:t>
      </w:r>
      <w:r>
        <w:rPr>
          <w:rFonts w:ascii="Arial" w:cs="Arial" w:eastAsia="Arial" w:hAnsi="Arial"/>
          <w:color w:val="1a1a1a"/>
          <w:sz w:val="18"/>
          <w:szCs w:val="18"/>
          <w:rtl w:val="0"/>
        </w:rPr>
        <w:t xml:space="preserve"> Albert’s profile sets no numeric limit anywhere — not for equity, not per position, not for cash. So two things are held apart: what the document says, quoted word for word, and what the house decides those words mean. Every rule records which of the two it came from. Writing “as per the risk profile” beside 25% would claim a precision the document does not have, and numbers that sound sourced and are not is exactly the failure this case is about. Classification and horizon are kept as separate axes: the first is how much risk the client is willing to take, the second how long he can wait — a longer horizon does not make him braver, it makes him able to avoid selling at the bottom.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a 3×3 table crossing two parameters is a crude stand-in for portfolio construction.</w:t>
      </w:r>
      <w:r>
        <w:rPr>
          <w:rtl w:val="0"/>
        </w:rPr>
      </w:r>
    </w:p>
    <w:p w:rsidR="00000000" w:rsidDel="00000000" w:rsidP="00000000" w:rsidRDefault="00000000" w:rsidRPr="00000000" w14:paraId="00000013">
      <w:pPr>
        <w:spacing w:after="62" w:line="214" w:lineRule="auto"/>
        <w:jc w:val="both"/>
        <w:rPr/>
      </w:pPr>
      <w:r>
        <w:rPr>
          <w:rFonts w:ascii="Arial" w:cs="Arial" w:eastAsia="Arial" w:hAnsi="Arial"/>
          <w:b w:val="1"/>
          <w:bCs w:val="1"/>
          <w:color w:val="1a1a1a"/>
          <w:sz w:val="18"/>
          <w:szCs w:val="18"/>
          <w:rtl w:val="0"/>
        </w:rPr>
        <w:t xml:space="preserve">5. Run the rules, then set the target allocation.</w:t>
      </w:r>
      <w:r>
        <w:rPr>
          <w:rFonts w:ascii="Arial" w:cs="Arial" w:eastAsia="Arial" w:hAnsi="Arial"/>
          <w:color w:val="1a1a1a"/>
          <w:sz w:val="18"/>
          <w:szCs w:val="18"/>
          <w:rtl w:val="0"/>
        </w:rPr>
        <w:t xml:space="preserve"> Five screens over the priced portfolio: idle cash, a matured instrument, equity above the ceiling, one product above its cap, a family outside the mandate. Each finding carries the measured fact, the limit it breached and where that limit came from. The target split is arithmetic on the research projections: an expected real return per class, compounded to the end of the forecast window, and the gap between the two moves the target inside the ceiling the profile allows — the profile sets the limit, the scenario sets how much of it is used. No language model anywhere.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every instrument is classified as equity-like or fixed-income-like, which is too coarse — a long-biased fund at 40% net exposure counts here as 100% equity, a credit fund as if it carried no duration and no liquidity risk. The concentration caps are calibration, not the output of a proven allocation model. The correct version reads each fund’s published holdings from CVM and builds exposure bottom-up, by class, issuer, duration and liquidity.</w:t>
      </w:r>
      <w:r>
        <w:rPr>
          <w:rtl w:val="0"/>
        </w:rPr>
      </w:r>
    </w:p>
    <w:p w:rsidR="00000000" w:rsidDel="00000000" w:rsidP="00000000" w:rsidRDefault="00000000" w:rsidRPr="00000000" w14:paraId="00000014">
      <w:pPr>
        <w:spacing w:after="62" w:line="214" w:lineRule="auto"/>
        <w:jc w:val="both"/>
        <w:rPr/>
      </w:pPr>
      <w:r>
        <w:rPr>
          <w:rFonts w:ascii="Arial" w:cs="Arial" w:eastAsia="Arial" w:hAnsi="Arial"/>
          <w:b w:val="1"/>
          <w:bCs w:val="1"/>
          <w:color w:val="1a1a1a"/>
          <w:sz w:val="18"/>
          <w:szCs w:val="18"/>
          <w:rtl w:val="0"/>
        </w:rPr>
        <w:t xml:space="preserve">6. Size the plan.</w:t>
      </w:r>
      <w:r>
        <w:rPr>
          <w:rFonts w:ascii="Arial" w:cs="Arial" w:eastAsia="Arial" w:hAnsi="Arial"/>
          <w:color w:val="1a1a1a"/>
          <w:sz w:val="18"/>
          <w:szCs w:val="18"/>
          <w:rtl w:val="0"/>
        </w:rPr>
        <w:t xml:space="preserve"> The smallest set of orders that clears the findings: sells come from the positions that breach, the proceeds plus the idle cash go to the families that are short, and the rules are re-run on the post-trade portfolio to prove the plan works. Sells name the instrument, because the rules know exactly which position breaches; buys name only a product family and a credit criterion, because picking an issuer needs a research view this system does not have. Nothing is executed.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the objective is “clear every breach with the fewest orders”, not “maximise the client’s expected outcome”. It ignores tax, carrying cost and the fact that selling a loser realises a loss.</w:t>
      </w:r>
      <w:r>
        <w:rPr>
          <w:rtl w:val="0"/>
        </w:rPr>
      </w:r>
    </w:p>
    <w:p w:rsidR="00000000" w:rsidDel="00000000" w:rsidP="00000000" w:rsidRDefault="00000000" w:rsidRPr="00000000" w14:paraId="00000015">
      <w:pPr>
        <w:spacing w:after="62" w:line="214" w:lineRule="auto"/>
        <w:jc w:val="both"/>
        <w:rPr/>
      </w:pPr>
      <w:r>
        <w:rPr>
          <w:rFonts w:ascii="Arial" w:cs="Arial" w:eastAsia="Arial" w:hAnsi="Arial"/>
          <w:b w:val="1"/>
          <w:bCs w:val="1"/>
          <w:color w:val="1a1a1a"/>
          <w:sz w:val="18"/>
          <w:szCs w:val="18"/>
          <w:rtl w:val="0"/>
        </w:rPr>
        <w:t xml:space="preserve">7. Authorise the figures, then write.</w:t>
      </w:r>
      <w:r>
        <w:rPr>
          <w:rFonts w:ascii="Arial" w:cs="Arial" w:eastAsia="Arial" w:hAnsi="Arial"/>
          <w:color w:val="1a1a1a"/>
          <w:sz w:val="18"/>
          <w:szCs w:val="18"/>
          <w:rtl w:val="0"/>
        </w:rPr>
        <w:t xml:space="preserve"> Every number the letter may contain is published as a closed list — about ninety, each already written as the exact string it must appear as. The model receives that list and the findings, and returns seven fixed fields of prose. Headings and tables come from the template, so the document’s structure never depends on the model having remembered it.</w:t>
      </w:r>
      <w:r>
        <w:rPr>
          <w:rtl w:val="0"/>
        </w:rPr>
      </w:r>
    </w:p>
    <w:p w:rsidR="00000000" w:rsidDel="00000000" w:rsidP="00000000" w:rsidRDefault="00000000" w:rsidRPr="00000000" w14:paraId="00000016">
      <w:pPr>
        <w:spacing w:after="62" w:line="214" w:lineRule="auto"/>
        <w:jc w:val="both"/>
        <w:rPr/>
      </w:pPr>
      <w:r>
        <w:rPr>
          <w:rFonts w:ascii="Arial" w:cs="Arial" w:eastAsia="Arial" w:hAnsi="Arial"/>
          <w:b w:val="1"/>
          <w:bCs w:val="1"/>
          <w:color w:val="1a1a1a"/>
          <w:sz w:val="18"/>
          <w:szCs w:val="18"/>
          <w:rtl w:val="0"/>
        </w:rPr>
        <w:t xml:space="preserve">8. Check the text twice, both times in code.</w:t>
      </w:r>
      <w:r>
        <w:rPr>
          <w:rFonts w:ascii="Arial" w:cs="Arial" w:eastAsia="Arial" w:hAnsi="Arial"/>
          <w:color w:val="1a1a1a"/>
          <w:sz w:val="18"/>
          <w:szCs w:val="18"/>
          <w:rtl w:val="0"/>
        </w:rPr>
        <w:t xml:space="preserve"> The first pass asks whether every number in the letter appears on the authorised list, character by character. The second asks the harder question: are the sentences true? A number can be right and the sentence around it wrong — “LREN3, up 18.94%” may quote a real figure that belongs to another holding. So this pass confronts what the sentences claim with the same data: whether an asset described as rising actually rose, whether a recommended trade is in the plan, whether the letter claims it beat the CDI when it did not, whether it speaks of trades as done when it is only proposing them. If either pass fails, the reasons go back to the model and it rewrites, up to three attempts.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the second pass only recognises the sentence shapes it was built to recognise, and it reports that coverage rather than implying it checked everything.</w:t>
      </w:r>
      <w:r>
        <w:rPr>
          <w:rtl w:val="0"/>
        </w:rPr>
      </w:r>
    </w:p>
    <w:p w:rsidR="00000000" w:rsidDel="00000000" w:rsidP="00000000" w:rsidRDefault="00000000" w:rsidRPr="00000000" w14:paraId="00000017">
      <w:pPr>
        <w:spacing w:after="62" w:line="214" w:lineRule="auto"/>
        <w:jc w:val="both"/>
        <w:rPr/>
      </w:pPr>
      <w:r>
        <w:rPr>
          <w:rFonts w:ascii="Arial" w:cs="Arial" w:eastAsia="Arial" w:hAnsi="Arial"/>
          <w:b w:val="1"/>
          <w:bCs w:val="1"/>
          <w:color w:val="1a1a1a"/>
          <w:sz w:val="18"/>
          <w:szCs w:val="18"/>
          <w:rtl w:val="0"/>
        </w:rPr>
        <w:t xml:space="preserve">9. Render.</w:t>
      </w:r>
      <w:r>
        <w:rPr>
          <w:rFonts w:ascii="Arial" w:cs="Arial" w:eastAsia="Arial" w:hAnsi="Arial"/>
          <w:color w:val="1a1a1a"/>
          <w:sz w:val="18"/>
          <w:szCs w:val="18"/>
          <w:rtl w:val="0"/>
        </w:rPr>
        <w:t xml:space="preserve"> A deterministic template: the same input produces the same two pages, with a declared fitting budget and no table ever losing a row. Content that does not fit is a failure, not something to truncate.</w:t>
      </w:r>
      <w:r>
        <w:rPr>
          <w:rtl w:val="0"/>
        </w:rPr>
      </w:r>
    </w:p>
    <w:p>
      <w:pPr>
        <w:spacing w:after="62" w:line="214" w:lineRule="auto"/>
        <w:jc w:val="both"/>
        <w:rPr/>
      </w:pPr>
      <w:r>
        <w:rPr>
          <w:rFonts w:ascii="Arial" w:cs="Arial" w:eastAsia="Arial" w:hAnsi="Arial"/>
          <w:b w:val="1"/>
          <w:bCs w:val="1"/>
          <w:color w:val="1a1a1a"/>
          <w:sz w:val="18"/>
          <w:szCs w:val="18"/>
          <w:rtl w:val="0"/>
        </w:rPr>
        <w:t xml:space="preserve">The advisor’s screen.</w:t>
      </w:r>
      <w:r>
        <w:rPr>
          <w:rFonts w:ascii="Arial" w:cs="Arial" w:eastAsia="Arial" w:hAnsi="Arial"/>
          <w:color w:val="1a1a1a"/>
          <w:sz w:val="18"/>
          <w:szCs w:val="18"/>
          <w:rtl w:val="0"/>
        </w:rPr>
        <w:t xml:space="preserve"> The pipeline runs from the command line, but the person who will use it is an advisor with a morning of client calls. The interface is deliberately thin: it runs the same stages the command runs and shows what they produced, and no calculation happens in it — so the screen cannot disagree with the letter. Two buttons, separated on purpose: one refreshes the numbers and calls no model at all, the other writes the letter and is the only one that costs anything, because checking the month should not cost a model call. A letter written from data older than what is on the screen is not offered for download — the screen asks for a new one instead of handing over a PDF that looks current. From there the report is downloaded or sent to the client by e-mail, and the full execution log stays available, folded away.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in production this screen is the integration point with the client registry, live positions and the firm’s own delivery channels, with the audit record compliance requires; here it runs the stages as local processes and sends through a configured mail server.</w:t>
      </w:r>
      <w:r>
        <w:rPr>
          <w:rtl w:val="0"/>
        </w:rPr>
      </w:r>
    </w:p>
    <w:p w:rsidR="00000000" w:rsidDel="00000000" w:rsidP="00000000" w:rsidRDefault="00000000" w:rsidRPr="00000000" w14:paraId="00000018">
      <w:pPr>
        <w:spacing w:after="62" w:line="214" w:lineRule="auto"/>
        <w:jc w:val="both"/>
        <w:rPr/>
      </w:pPr>
      <w:r>
        <w:rPr>
          <w:rFonts w:ascii="Arial" w:cs="Arial" w:eastAsia="Arial" w:hAnsi="Arial"/>
          <w:b w:val="1"/>
          <w:bCs w:val="1"/>
          <w:color w:val="1a1a1a"/>
          <w:sz w:val="18"/>
          <w:szCs w:val="18"/>
          <w:rtl w:val="0"/>
        </w:rPr>
        <w:t xml:space="preserve">Tests.</w:t>
      </w:r>
      <w:r>
        <w:rPr>
          <w:rFonts w:ascii="Arial" w:cs="Arial" w:eastAsia="Arial" w:hAnsi="Arial"/>
          <w:color w:val="1a1a1a"/>
          <w:sz w:val="18"/>
          <w:szCs w:val="18"/>
          <w:rtl w:val="0"/>
        </w:rPr>
        <w:t xml:space="preserve"> Fifty-seven checks run in about sixteen seconds with no internet and no model calls, over a copy containing only the files published to the repository — so a green run also proves someone else can clone it and get the same numbers. To confirm the tests can fail at all, five bugs were introduced on purpose and all five were caught; the fifth exposed a test reading its own threshold from the file it was meant to be checking.</w:t>
      </w:r>
      <w:r>
        <w:rPr>
          <w:rtl w:val="0"/>
        </w:rPr>
      </w:r>
    </w:p>
    <w:p w:rsidR="00000000" w:rsidDel="00000000" w:rsidP="00000000" w:rsidRDefault="00000000" w:rsidRPr="00000000" w14:paraId="0000001A">
      <w:pPr>
        <w:pBdr>
          <w:bottom w:color="bbbbbb" w:space="2" w:sz="6" w:val="single"/>
        </w:pBdr>
        <w:spacing w:after="75" w:before="150" w:lineRule="auto"/>
        <w:rPr/>
      </w:pPr>
      <w:r>
        <w:rPr>
          <w:rFonts w:ascii="Arial" w:cs="Arial" w:eastAsia="Arial" w:hAnsi="Arial"/>
          <w:color w:val="1a1a1a"/>
          <w:sz w:val="20"/>
          <w:szCs w:val="20"/>
          <w:rtl w:val="0"/>
        </w:rPr>
        <w:t xml:space="preserve">3.  What I would do next with a full month</w:t>
      </w:r>
      <w:r>
        <w:rPr>
          <w:rtl w:val="0"/>
        </w:rPr>
      </w:r>
    </w:p>
    <w:p>
      <w:pPr>
        <w:spacing w:after="62" w:line="214" w:lineRule="auto"/>
        <w:jc w:val="both"/>
        <w:rPr/>
      </w:pPr>
      <w:r>
        <w:rPr>
          <w:rFonts w:ascii="Arial" w:cs="Arial" w:eastAsia="Arial" w:hAnsi="Arial"/>
          <w:b w:val="1"/>
          <w:bCs w:val="1"/>
          <w:color w:val="1a1a1a"/>
          <w:sz w:val="18"/>
          <w:szCs w:val="18"/>
          <w:rtl w:val="0"/>
        </w:rPr>
        <w:t xml:space="preserve">Why it is worth doing.</w:t>
      </w:r>
      <w:r>
        <w:rPr>
          <w:rFonts w:ascii="Arial" w:cs="Arial" w:eastAsia="Arial" w:hAnsi="Arial"/>
          <w:color w:val="1a1a1a"/>
          <w:sz w:val="18"/>
          <w:szCs w:val="18"/>
          <w:rtl w:val="0"/>
        </w:rPr>
        <w:t xml:space="preserve"> Clients below R$ 1 million are 96% of XP’s active base — some 4.6 million people — but a quarter of retail custody: about R$ 60 of revenue per client per month, and under R$ 15 of it reaching an advisor with a full book. The segment is not neglected by carelessness; it is the rational answer of someone who has to prioritise the accounts that pay for the office. XP tested the idea and stopped halfway: the fee-based advisory it launched in 2025 starts at R$ 1 million, exactly where the middle market ends — below that the fee does not pay for a human.</w:t>
      </w:r>
      <w:r>
        <w:rPr>
          <w:rtl w:val="0"/>
        </w:rPr>
      </w:r>
    </w:p>
    <w:p>
      <w:pPr>
        <w:spacing w:after="62" w:line="214" w:lineRule="auto"/>
        <w:jc w:val="both"/>
        <w:rPr/>
      </w:pPr>
      <w:r>
        <w:rPr>
          <w:rFonts w:ascii="Arial" w:cs="Arial" w:eastAsia="Arial" w:hAnsi="Arial"/>
          <w:b w:val="1"/>
          <w:bCs w:val="1"/>
          <w:color w:val="1a1a1a"/>
          <w:sz w:val="18"/>
          <w:szCs w:val="18"/>
          <w:rtl w:val="0"/>
        </w:rPr>
        <w:t xml:space="preserve">The month, honestly scoped.</w:t>
      </w:r>
      <w:r>
        <w:rPr>
          <w:rFonts w:ascii="Arial" w:cs="Arial" w:eastAsia="Arial" w:hAnsi="Arial"/>
          <w:color w:val="1a1a1a"/>
          <w:sz w:val="18"/>
          <w:szCs w:val="18"/>
          <w:rtl w:val="0"/>
        </w:rPr>
        <w:t xml:space="preserve"> One person, four weeks, on test extracts. Three of the four items below depend on data and permissions that sit on XP’s side; those are named as dependencies, not claimed as delivered.</w:t>
      </w:r>
      <w:r>
        <w:rPr>
          <w:rtl w:val="0"/>
        </w:rPr>
      </w:r>
    </w:p>
    <w:p>
      <w:pPr>
        <w:spacing w:after="62" w:line="214" w:lineRule="auto"/>
        <w:jc w:val="both"/>
        <w:rPr/>
      </w:pPr>
      <w:r>
        <w:rPr>
          <w:rFonts w:ascii="Arial" w:cs="Arial" w:eastAsia="Arial" w:hAnsi="Arial"/>
          <w:b w:val="1"/>
          <w:bCs w:val="1"/>
          <w:color w:val="1a1a1a"/>
          <w:sz w:val="18"/>
          <w:szCs w:val="18"/>
          <w:rtl w:val="0"/>
        </w:rPr>
        <w:t xml:space="preserve">1. Know the client.</w:t>
      </w:r>
      <w:r>
        <w:rPr>
          <w:rFonts w:ascii="Arial" w:cs="Arial" w:eastAsia="Arial" w:hAnsi="Arial"/>
          <w:color w:val="1a1a1a"/>
          <w:sz w:val="18"/>
          <w:szCs w:val="18"/>
          <w:rtl w:val="0"/>
        </w:rPr>
        <w:t xml:space="preserve"> The profile reduces a person to one word plus a vague horizon. Nothing records what the money is for, when it is needed, how much is added each month, or how much could be lost before the client calls. Risk in the abstract produces generic advice; risk measured against “a house in three years” produces a recommendation the client recognises as his own. Three sources: a structured intake on goals, dates, contributions and liquidity; the client’s deposit and withdrawal history, which XP already holds — revealed behaviour beats a stated preference, and someone who redeemed in March 2020 has a tolerance no questionnaire captures; and a monthly touchpoint on a channel the client already uses. The last is not only a data tap: it turns a letter into a relationship, it is the one place where a model does what it is better at than code, and it produces the labelled data nothing else does — what clients ask and what they did not understand. </w:t>
      </w:r>
      <w:r>
        <w:rPr>
          <w:rFonts w:ascii="Arial" w:cs="Arial" w:eastAsia="Arial" w:hAnsi="Arial"/>
          <w:i w:val="1"/>
          <w:iCs w:val="1"/>
          <w:color w:val="1a1a1a"/>
          <w:sz w:val="18"/>
          <w:szCs w:val="18"/>
          <w:rtl w:val="0"/>
        </w:rPr>
        <w:t xml:space="preserve">Done when:</w:t>
      </w:r>
      <w:r>
        <w:rPr>
          <w:rFonts w:ascii="Arial" w:cs="Arial" w:eastAsia="Arial" w:hAnsi="Arial"/>
          <w:color w:val="1a1a1a"/>
          <w:sz w:val="18"/>
          <w:szCs w:val="18"/>
          <w:rtl w:val="0"/>
        </w:rPr>
        <w:t xml:space="preserve"> the intake runs on four real books and the gaps it exposes are listed.</w:t>
      </w:r>
      <w:r>
        <w:rPr>
          <w:rtl w:val="0"/>
        </w:rPr>
      </w:r>
    </w:p>
    <w:p>
      <w:pPr>
        <w:spacing w:after="62" w:line="214" w:lineRule="auto"/>
        <w:jc w:val="both"/>
        <w:rPr/>
      </w:pPr>
      <w:r>
        <w:rPr>
          <w:rFonts w:ascii="Arial" w:cs="Arial" w:eastAsia="Arial" w:hAnsi="Arial"/>
          <w:b w:val="1"/>
          <w:bCs w:val="1"/>
          <w:color w:val="1a1a1a"/>
          <w:sz w:val="18"/>
          <w:szCs w:val="18"/>
          <w:rtl w:val="0"/>
        </w:rPr>
        <w:t xml:space="preserve">2. Know the assets.</w:t>
      </w:r>
      <w:r>
        <w:rPr>
          <w:rFonts w:ascii="Arial" w:cs="Arial" w:eastAsia="Arial" w:hAnsi="Arial"/>
          <w:color w:val="1a1a1a"/>
          <w:sz w:val="18"/>
          <w:szCs w:val="18"/>
          <w:rtl w:val="0"/>
        </w:rPr>
        <w:t xml:space="preserve"> Every instrument is currently equity-like or fixed-income-like, the largest single simplification in section 2. The fix is not a better rule, it is better data: prices and instrument characteristics from the firm’s own base, and exposure rebuilt from each fund’s published holdings — by class, issuer, duration and liquidity. A long-biased fund stops counting as 100% equity; a credit fund stops counting as if it carried no duration. </w:t>
      </w:r>
      <w:r>
        <w:rPr>
          <w:rFonts w:ascii="Arial" w:cs="Arial" w:eastAsia="Arial" w:hAnsi="Arial"/>
          <w:i w:val="1"/>
          <w:iCs w:val="1"/>
          <w:color w:val="1a1a1a"/>
          <w:sz w:val="18"/>
          <w:szCs w:val="18"/>
          <w:rtl w:val="0"/>
        </w:rPr>
        <w:t xml:space="preserve">Dependency:</w:t>
      </w:r>
      <w:r>
        <w:rPr>
          <w:rFonts w:ascii="Arial" w:cs="Arial" w:eastAsia="Arial" w:hAnsi="Arial"/>
          <w:color w:val="1a1a1a"/>
          <w:sz w:val="18"/>
          <w:szCs w:val="18"/>
          <w:rtl w:val="0"/>
        </w:rPr>
        <w:t xml:space="preserve"> access to the internal instrument and price base. </w:t>
      </w:r>
      <w:r>
        <w:rPr>
          <w:rFonts w:ascii="Arial" w:cs="Arial" w:eastAsia="Arial" w:hAnsi="Arial"/>
          <w:i w:val="1"/>
          <w:iCs w:val="1"/>
          <w:color w:val="1a1a1a"/>
          <w:sz w:val="18"/>
          <w:szCs w:val="18"/>
          <w:rtl w:val="0"/>
        </w:rPr>
        <w:t xml:space="preserve">Done when:</w:t>
      </w:r>
      <w:r>
        <w:rPr>
          <w:rFonts w:ascii="Arial" w:cs="Arial" w:eastAsia="Arial" w:hAnsi="Arial"/>
          <w:color w:val="1a1a1a"/>
          <w:sz w:val="18"/>
          <w:szCs w:val="18"/>
          <w:rtl w:val="0"/>
        </w:rPr>
        <w:t xml:space="preserve"> the look-through reconciles against the old labels.</w:t>
      </w:r>
      <w:r>
        <w:rPr>
          <w:rtl w:val="0"/>
        </w:rPr>
      </w:r>
    </w:p>
    <w:p>
      <w:pPr>
        <w:spacing w:after="62" w:line="214" w:lineRule="auto"/>
        <w:jc w:val="both"/>
        <w:rPr/>
      </w:pPr>
      <w:r>
        <w:rPr>
          <w:rFonts w:ascii="Arial" w:cs="Arial" w:eastAsia="Arial" w:hAnsi="Arial"/>
          <w:b w:val="1"/>
          <w:bCs w:val="1"/>
          <w:color w:val="1a1a1a"/>
          <w:sz w:val="18"/>
          <w:szCs w:val="18"/>
          <w:rtl w:val="0"/>
        </w:rPr>
        <w:t xml:space="preserve">3. A real allocation model.</w:t>
      </w:r>
      <w:r>
        <w:rPr>
          <w:rFonts w:ascii="Arial" w:cs="Arial" w:eastAsia="Arial" w:hAnsi="Arial"/>
          <w:color w:val="1a1a1a"/>
          <w:sz w:val="18"/>
          <w:szCs w:val="18"/>
          <w:rtl w:val="0"/>
        </w:rPr>
        <w:t xml:space="preserve"> Portfolio allocation is exact science crossed with client input, and what runs here is the crude version of it: a ceiling from a 3×3 table, moved by a macro spread. With the two items above in place it becomes a deterministic allocation model per goal, with tax, transaction cost and liquidity inside the objective. It stays deterministic on purpose — the aim was never to make the decision statistical, it was to stop it depending on which advisor picked up the phone. The rule engine then sits on top of the model, not instead of it. </w:t>
      </w:r>
      <w:r>
        <w:rPr>
          <w:rFonts w:ascii="Arial" w:cs="Arial" w:eastAsia="Arial" w:hAnsi="Arial"/>
          <w:i w:val="1"/>
          <w:iCs w:val="1"/>
          <w:color w:val="1a1a1a"/>
          <w:sz w:val="18"/>
          <w:szCs w:val="18"/>
          <w:rtl w:val="0"/>
        </w:rPr>
        <w:t xml:space="preserve">Done when:</w:t>
      </w:r>
      <w:r>
        <w:rPr>
          <w:rFonts w:ascii="Arial" w:cs="Arial" w:eastAsia="Arial" w:hAnsi="Arial"/>
          <w:color w:val="1a1a1a"/>
          <w:sz w:val="18"/>
          <w:szCs w:val="18"/>
          <w:rtl w:val="0"/>
        </w:rPr>
        <w:t xml:space="preserve"> the model reproduces this month’s five orders or explains why it does not.</w:t>
      </w:r>
      <w:r>
        <w:rPr>
          <w:rtl w:val="0"/>
        </w:rPr>
      </w:r>
    </w:p>
    <w:p>
      <w:pPr>
        <w:spacing w:after="62" w:line="214" w:lineRule="auto"/>
        <w:jc w:val="both"/>
        <w:rPr/>
      </w:pPr>
      <w:r>
        <w:rPr>
          <w:rFonts w:ascii="Arial" w:cs="Arial" w:eastAsia="Arial" w:hAnsi="Arial"/>
          <w:b w:val="1"/>
          <w:bCs w:val="1"/>
          <w:color w:val="1a1a1a"/>
          <w:sz w:val="18"/>
          <w:szCs w:val="18"/>
          <w:rtl w:val="0"/>
        </w:rPr>
        <w:t xml:space="preserve">4. Close the loop.</w:t>
      </w:r>
      <w:r>
        <w:rPr>
          <w:rFonts w:ascii="Arial" w:cs="Arial" w:eastAsia="Arial" w:hAnsi="Arial"/>
          <w:color w:val="1a1a1a"/>
          <w:sz w:val="18"/>
          <w:szCs w:val="18"/>
          <w:rtl w:val="0"/>
        </w:rPr>
        <w:t xml:space="preserve"> A recommendation nobody acts on changes nothing. The advisor gets an exception queue instead of 250 letters — only the clients whose plan needs judgement — approves with one click, and every edit is captured as labelled data. The order ticket is generated and the client’s approval recorded alongside the advisor’s, so the suitability trail exists before anything moves. Routing that order to execution is the step after: it touches custody, authorisation and the regulator’s record. </w:t>
      </w:r>
      <w:r>
        <w:rPr>
          <w:rFonts w:ascii="Arial" w:cs="Arial" w:eastAsia="Arial" w:hAnsi="Arial"/>
          <w:i w:val="1"/>
          <w:iCs w:val="1"/>
          <w:color w:val="1a1a1a"/>
          <w:sz w:val="18"/>
          <w:szCs w:val="18"/>
          <w:rtl w:val="0"/>
        </w:rPr>
        <w:t xml:space="preserve">Done when:</w:t>
      </w:r>
      <w:r>
        <w:rPr>
          <w:rFonts w:ascii="Arial" w:cs="Arial" w:eastAsia="Arial" w:hAnsi="Arial"/>
          <w:color w:val="1a1a1a"/>
          <w:sz w:val="18"/>
          <w:szCs w:val="18"/>
          <w:rtl w:val="0"/>
        </w:rPr>
        <w:t xml:space="preserve"> a pilot with 5 advisors and 1,000 clients.</w:t>
      </w:r>
      <w:r>
        <w:rPr>
          <w:rtl w:val="0"/>
        </w:rPr>
      </w:r>
    </w:p>
    <w:p>
      <w:pPr>
        <w:spacing w:after="62" w:line="214" w:lineRule="auto"/>
        <w:jc w:val="both"/>
        <w:rPr/>
      </w:pPr>
      <w:r>
        <w:rPr>
          <w:rFonts w:ascii="Arial" w:cs="Arial" w:eastAsia="Arial" w:hAnsi="Arial"/>
          <w:b w:val="1"/>
          <w:bCs w:val="1"/>
          <w:color w:val="1a1a1a"/>
          <w:sz w:val="18"/>
          <w:szCs w:val="18"/>
          <w:rtl w:val="0"/>
        </w:rPr>
        <w:t xml:space="preserve">How I would know it got better.</w:t>
      </w:r>
      <w:r>
        <w:rPr>
          <w:rFonts w:ascii="Arial" w:cs="Arial" w:eastAsia="Arial" w:hAnsi="Arial"/>
          <w:color w:val="1a1a1a"/>
          <w:sz w:val="18"/>
          <w:szCs w:val="18"/>
          <w:rtl w:val="0"/>
        </w:rPr>
        <w:t xml:space="preserve"> Determinism is tested; quality is not. Sampled human review against a rubric, and the advisor’s edit rate as the standing metric — every edit is a free label and a direct measure of whether the letter needed a human. Cost and latency logged per letter, because 4.6 million clients times a model call is a number that has to be known before it is committed to.</w:t>
      </w:r>
      <w:r>
        <w:rPr>
          <w:rtl w:val="0"/>
        </w:rPr>
      </w:r>
    </w:p>
    <w:p>
      <w:pPr>
        <w:spacing w:after="62" w:line="214" w:lineRule="auto"/>
        <w:jc w:val="both"/>
        <w:rPr/>
      </w:pPr>
      <w:r>
        <w:rPr>
          <w:rFonts w:ascii="Arial" w:cs="Arial" w:eastAsia="Arial" w:hAnsi="Arial"/>
          <w:b w:val="1"/>
          <w:bCs w:val="1"/>
          <w:color w:val="1a1a1a"/>
          <w:sz w:val="18"/>
          <w:szCs w:val="18"/>
          <w:rtl w:val="0"/>
        </w:rPr>
        <w:t xml:space="preserve">Where this goes.</w:t>
      </w:r>
      <w:r>
        <w:rPr>
          <w:rFonts w:ascii="Arial" w:cs="Arial" w:eastAsia="Arial" w:hAnsi="Arial"/>
          <w:color w:val="1a1a1a"/>
          <w:sz w:val="18"/>
          <w:szCs w:val="18"/>
          <w:rtl w:val="0"/>
        </w:rPr>
        <w:t xml:space="preserve"> The work in an advisor’s week that has a right answer — pricing the book, explaining performance, checking suitability, drafting — is the work that automates. What is left is the part that has none: knowing what the client is actually worried about, and being there when the market falls. An advisor who stops doing the first covers three times the book on the second, which is what this case asked for.</w:t>
      </w:r>
      <w:r>
        <w:rPr>
          <w:rtl w:val="0"/>
        </w:rPr>
      </w:r>
    </w:p>
    <w:sectPr>
      <w:pgSz w:h="16838" w:w="11906" w:orient="portrait"/>
      <w:pgMar w:bottom="720" w:top="792"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5" w:hanging="201"/>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