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Wee2 Revision</w:t>
      </w:r>
    </w:p>
    <w:p>
      <w:pPr>
        <w:pStyle w:val="Heading1"/>
        <w:numPr>
          <w:ilvl w:val="0"/>
          <w:numId w:val="1"/>
        </w:numPr>
        <w:rPr/>
      </w:pPr>
      <w:r>
        <w:rPr/>
        <w:t>Returned Form 1</w:t>
      </w:r>
    </w:p>
    <w:p>
      <w:pPr>
        <w:pStyle w:val="2"/>
        <w:spacing w:before="200" w:after="0"/>
        <w:jc w:val="center"/>
        <w:rPr/>
      </w:pPr>
      <w:r>
        <w:rPr>
          <w:rFonts w:cs="Arial" w:ascii="Arial" w:hAnsi="Arial"/>
          <w:sz w:val="24"/>
          <w:szCs w:val="24"/>
          <w:lang w:eastAsia="zh-CN"/>
        </w:rPr>
        <w:t>Review Form</w:t>
      </w:r>
    </w:p>
    <w:p>
      <w:pPr>
        <w:pStyle w:val="Normal"/>
        <w:rPr/>
      </w:pP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 xml:space="preserve">Reviewer’s Name: 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 xml:space="preserve">张耀楠     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Reviewer’s Student No.:   2015011295    Date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：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03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-11</w:t>
      </w:r>
    </w:p>
    <w:tbl>
      <w:tblPr>
        <w:tblW w:w="8856" w:type="dxa"/>
        <w:jc w:val="left"/>
        <w:tblInd w:w="-20" w:type="dxa"/>
        <w:tbl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single" w:sz="8" w:space="0" w:color="9F8AB9"/>
          <w:insideV w:val="single" w:sz="8" w:space="0" w:color="9F8AB9"/>
        </w:tblBorders>
        <w:tblCellMar>
          <w:top w:w="0" w:type="dxa"/>
          <w:left w:w="87" w:type="dxa"/>
          <w:bottom w:w="0" w:type="dxa"/>
          <w:right w:w="108" w:type="dxa"/>
        </w:tblCellMar>
      </w:tblPr>
      <w:tblGrid>
        <w:gridCol w:w="3367"/>
        <w:gridCol w:w="5488"/>
      </w:tblGrid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Comments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非常标准，写了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clean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，还用了一些高级语法区分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debug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模式（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-W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）和非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debug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模式（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-O2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）</w:t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编译正确</w:t>
            </w: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结果正确</w:t>
            </w: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) (40%)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36</w:t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 xml:space="preserve">第四题似乎没要严格按照题目的要求 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 xml:space="preserve">:”create an 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instance of each class”</w:t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变量命名合理</w:t>
            </w: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都是非常标准的变量名</w:t>
            </w:r>
          </w:p>
        </w:tc>
      </w:tr>
      <w:tr>
        <w:trPr>
          <w:trHeight w:val="490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代码格式合理</w:t>
            </w: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很不错的风格</w:t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代码注释合格</w:t>
            </w: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Other Coding Style and efficiency 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似乎都是理论最优复杂度了</w:t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15</w:t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Total Score (up to 100)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96</w:t>
            </w:r>
          </w:p>
        </w:tc>
      </w:tr>
      <w:tr>
        <w:trPr>
          <w:trHeight w:val="490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Overall Review Comments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8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可以看出该同学代码基础雄厚，精通本门课的内容。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Corresponding </w:t>
      </w:r>
      <w:r>
        <w:rPr/>
        <w:t>Revision</w:t>
      </w:r>
      <w:r>
        <w:rPr/>
        <w:t xml:space="preserve"> 1</w:t>
      </w:r>
    </w:p>
    <w:p>
      <w:pPr>
        <w:pStyle w:val="TextBody"/>
        <w:rPr/>
      </w:pPr>
      <w:r>
        <w:rPr/>
        <w:t>In Problem 4, create 3 object separately instead of one in another.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Statement on</w:t>
      </w:r>
      <w:r>
        <w:rPr/>
        <w:t xml:space="preserve"> </w:t>
      </w:r>
      <w:r>
        <w:rPr/>
        <w:t>Revision</w:t>
      </w:r>
      <w:r>
        <w:rPr/>
        <w:t xml:space="preserve"> 1</w:t>
      </w:r>
    </w:p>
    <w:p>
      <w:pPr>
        <w:pStyle w:val="TextBody"/>
        <w:numPr>
          <w:ilvl w:val="0"/>
          <w:numId w:val="1"/>
        </w:numPr>
        <w:rPr/>
      </w:pPr>
      <w:r>
        <w:rPr/>
        <w:t>All problems solved.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Returned Form 2</w:t>
      </w:r>
    </w:p>
    <w:p>
      <w:pPr>
        <w:pStyle w:val="Heading2"/>
        <w:numPr>
          <w:ilvl w:val="0"/>
          <w:numId w:val="1"/>
        </w:numPr>
        <w:jc w:val="center"/>
        <w:rPr/>
      </w:pPr>
      <w:r>
        <w:rPr>
          <w:rFonts w:cs="Arial" w:ascii="Arial" w:hAnsi="Arial"/>
          <w:sz w:val="24"/>
          <w:szCs w:val="24"/>
          <w:lang w:eastAsia="zh-CN"/>
        </w:rPr>
        <w:t>Review Form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Reviewer’s Name:___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方闽杰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___ Reviewer’s Student No.: __2015011287___ Date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：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3-17</w:t>
      </w:r>
    </w:p>
    <w:tbl>
      <w:tblPr>
        <w:tblStyle w:val="1-4"/>
        <w:tblW w:w="8856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68"/>
        <w:gridCol w:w="5487"/>
      </w:tblGrid>
      <w:tr>
        <w:trPr>
          <w:trHeight w:val="48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10%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熟练应用各种宏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 w:eastAsia="宋体" w:eastAsiaTheme="minorEastAsia"/>
                <w:b/>
                <w:bCs/>
                <w:sz w:val="20"/>
                <w:szCs w:val="24"/>
                <w:lang w:eastAsia="zh-CN"/>
              </w:rPr>
              <w:t>编译正确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10%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编译通过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 w:eastAsia="宋体" w:eastAsiaTheme="minorEastAsia"/>
                <w:b/>
                <w:bCs/>
                <w:sz w:val="20"/>
                <w:szCs w:val="24"/>
                <w:lang w:eastAsia="zh-CN"/>
              </w:rPr>
              <w:t>结果正确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(40%)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40%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正确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 w:eastAsia="宋体" w:eastAsiaTheme="minorEastAsia"/>
                <w:b/>
                <w:bCs/>
                <w:sz w:val="20"/>
                <w:szCs w:val="24"/>
                <w:lang w:eastAsia="zh-CN"/>
              </w:rPr>
              <w:t>变量命名合理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5%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合理</w:t>
            </w:r>
          </w:p>
        </w:tc>
      </w:tr>
      <w:tr>
        <w:trPr>
          <w:trHeight w:val="490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 w:eastAsia="宋体" w:eastAsiaTheme="minorEastAsia"/>
                <w:b/>
                <w:bCs/>
                <w:sz w:val="20"/>
                <w:szCs w:val="24"/>
                <w:lang w:eastAsia="zh-CN"/>
              </w:rPr>
              <w:t>代码格式合理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5%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代码风格良好，可读性强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 w:eastAsia="宋体" w:eastAsiaTheme="minorEastAsia"/>
                <w:b/>
                <w:bCs/>
                <w:sz w:val="20"/>
                <w:szCs w:val="24"/>
                <w:lang w:eastAsia="zh-CN"/>
              </w:rPr>
              <w:t>代码注释合格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5%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合理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 (</w:t>
            </w:r>
            <w:r>
              <w:rPr>
                <w:rFonts w:ascii="Arial" w:hAnsi="Arial" w:cs="Arial" w:eastAsia="宋体" w:eastAsiaTheme="minorEastAsia"/>
                <w:b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10%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运行效率高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15%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合理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Total Score (up to 100)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100%</w:t>
            </w:r>
          </w:p>
        </w:tc>
      </w:tr>
      <w:tr>
        <w:trPr>
          <w:trHeight w:val="4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Overall 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膜大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4"/>
                <w:lang w:eastAsia="zh-CN"/>
              </w:rPr>
              <w:t>神</w:t>
            </w:r>
          </w:p>
        </w:tc>
      </w:tr>
    </w:tbl>
    <w:p>
      <w:pPr>
        <w:pStyle w:val="Heading1"/>
        <w:numPr>
          <w:ilvl w:val="0"/>
          <w:numId w:val="1"/>
        </w:numPr>
        <w:rPr/>
      </w:pPr>
      <w:r>
        <w:rPr/>
        <w:t xml:space="preserve">Corresponding </w:t>
      </w:r>
      <w:r>
        <w:rPr/>
        <w:t>Revision</w:t>
      </w:r>
      <w:r>
        <w:rPr/>
        <w:t xml:space="preserve"> </w:t>
      </w:r>
      <w:r>
        <w:rPr/>
        <w:t>2</w:t>
      </w:r>
    </w:p>
    <w:p>
      <w:pPr>
        <w:pStyle w:val="TextBody"/>
        <w:numPr>
          <w:ilvl w:val="0"/>
          <w:numId w:val="1"/>
        </w:numPr>
        <w:rPr/>
      </w:pPr>
      <w:r>
        <w:rPr/>
        <w:t>N/A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Statement on</w:t>
      </w:r>
      <w:r>
        <w:rPr/>
        <w:t xml:space="preserve"> </w:t>
      </w:r>
      <w:r>
        <w:rPr/>
        <w:t>Revision</w:t>
      </w:r>
      <w:r>
        <w:rPr/>
        <w:t xml:space="preserve"> </w:t>
      </w:r>
      <w:r>
        <w:rPr/>
        <w:t>2</w:t>
      </w:r>
    </w:p>
    <w:p>
      <w:pPr>
        <w:pStyle w:val="TextBody"/>
        <w:numPr>
          <w:ilvl w:val="0"/>
          <w:numId w:val="1"/>
        </w:numPr>
        <w:spacing w:before="0" w:after="140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  <w:t>N/A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2">
    <w:name w:val="标题 2"/>
    <w:basedOn w:val="Normal"/>
    <w:qFormat/>
    <w:pPr>
      <w:keepNext/>
      <w:keepLines/>
      <w:spacing w:before="200" w:after="0"/>
      <w:outlineLvl w:val="1"/>
    </w:pPr>
    <w:rPr>
      <w:rFonts w:ascii="Cambria" w:hAnsi="Cambria" w:cs="Droid Sans Fallback"/>
      <w:b/>
      <w:bCs/>
      <w:color w:val="4F81BD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LibreOffice/5.0.5.2$Linux_X86_64 LibreOffice_project/00m0$Build-2</Application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2016-03-11T21:38:52Z</dcterms:created>
  <dc:language>en-US</dc:language>
  <dcterms:modified xsi:type="dcterms:W3CDTF">2016-03-17T23:02:53Z</dcterms:modified>
  <cp:revision>2</cp:revision>
</cp:coreProperties>
</file>