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CFDB" w14:textId="77777777" w:rsidR="0042576C" w:rsidRDefault="00000000">
      <w:pPr>
        <w:pStyle w:val="Titre1"/>
        <w:spacing w:before="400" w:after="200"/>
      </w:pPr>
      <w:r>
        <w:rPr>
          <w:b/>
          <w:bCs/>
          <w:color w:val="1F2A44"/>
          <w:sz w:val="30"/>
          <w:szCs w:val="30"/>
        </w:rPr>
        <w:t>Site A — Content updates for Mihai</w:t>
      </w:r>
    </w:p>
    <w:p w14:paraId="6D92C897" w14:textId="77777777" w:rsidR="0042576C" w:rsidRDefault="00000000">
      <w:pPr>
        <w:spacing w:after="160"/>
      </w:pPr>
      <w:r>
        <w:rPr>
          <w:sz w:val="22"/>
          <w:szCs w:val="22"/>
        </w:rPr>
        <w:t>Hi Mihai — here's a consolidated list of the remaining content changes for oreeconseil.ca. Instructions are in English; the actual copy to put on the site is kept in French exactly as it should appear, so nothing gets lost in translation. Let me know if anything is unclear.</w:t>
      </w:r>
    </w:p>
    <w:p w14:paraId="3326465D" w14:textId="77777777" w:rsidR="0042576C" w:rsidRDefault="0042576C">
      <w:pPr>
        <w:pBdr>
          <w:bottom w:val="single" w:sz="6" w:space="4" w:color="CCCCCC"/>
        </w:pBdr>
        <w:spacing w:before="300" w:after="300"/>
      </w:pPr>
    </w:p>
    <w:p w14:paraId="5E661ADA" w14:textId="77777777" w:rsidR="0042576C" w:rsidRDefault="00000000">
      <w:pPr>
        <w:pStyle w:val="Titre1"/>
        <w:spacing w:before="400" w:after="200"/>
      </w:pPr>
      <w:r>
        <w:rPr>
          <w:b/>
          <w:bCs/>
          <w:color w:val="1F2A44"/>
          <w:sz w:val="30"/>
          <w:szCs w:val="30"/>
        </w:rPr>
        <w:t>0. Please double-check: pages still in English</w:t>
      </w:r>
    </w:p>
    <w:p w14:paraId="0E20F876" w14:textId="77777777" w:rsidR="0042576C" w:rsidRDefault="00000000">
      <w:pPr>
        <w:spacing w:after="160"/>
      </w:pPr>
      <w:r>
        <w:rPr>
          <w:sz w:val="22"/>
          <w:szCs w:val="22"/>
        </w:rPr>
        <w:t>As of the last review, these pages were still showing English content even though the rest of the site defaults to French. If this is already fixed, ignore this section — otherwise these need the French version applied like the rest of the site:</w:t>
      </w:r>
    </w:p>
    <w:p w14:paraId="21E8837D" w14:textId="77777777" w:rsidR="0042576C" w:rsidRPr="003D1A4A" w:rsidRDefault="00000000">
      <w:pPr>
        <w:spacing w:after="80"/>
        <w:rPr>
          <w:lang w:val="fr-CA"/>
        </w:rPr>
      </w:pPr>
      <w:r w:rsidRPr="003D1A4A">
        <w:rPr>
          <w:sz w:val="21"/>
          <w:szCs w:val="21"/>
          <w:lang w:val="fr-CA"/>
        </w:rPr>
        <w:t>•  /services (Offre)</w:t>
      </w:r>
    </w:p>
    <w:p w14:paraId="700903DC" w14:textId="77777777" w:rsidR="0042576C" w:rsidRPr="003D1A4A" w:rsidRDefault="00000000">
      <w:pPr>
        <w:spacing w:after="80"/>
        <w:rPr>
          <w:lang w:val="fr-CA"/>
        </w:rPr>
      </w:pPr>
      <w:r w:rsidRPr="003D1A4A">
        <w:rPr>
          <w:sz w:val="21"/>
          <w:szCs w:val="21"/>
          <w:lang w:val="fr-CA"/>
        </w:rPr>
        <w:t>•  /services/diagnostic (Diagnostic Orée)</w:t>
      </w:r>
    </w:p>
    <w:p w14:paraId="24E60AA1" w14:textId="77777777" w:rsidR="0042576C" w:rsidRPr="003D1A4A" w:rsidRDefault="00000000">
      <w:pPr>
        <w:spacing w:after="80"/>
        <w:rPr>
          <w:lang w:val="fr-CA"/>
        </w:rPr>
      </w:pPr>
      <w:r w:rsidRPr="003D1A4A">
        <w:rPr>
          <w:sz w:val="21"/>
          <w:szCs w:val="21"/>
          <w:lang w:val="fr-CA"/>
        </w:rPr>
        <w:t>•  /services/support (Appui Orée)</w:t>
      </w:r>
    </w:p>
    <w:p w14:paraId="28329822" w14:textId="77777777" w:rsidR="0042576C" w:rsidRDefault="00000000">
      <w:pPr>
        <w:spacing w:after="80"/>
      </w:pPr>
      <w:r>
        <w:rPr>
          <w:sz w:val="21"/>
          <w:szCs w:val="21"/>
        </w:rPr>
        <w:t xml:space="preserve">•  /sectors/notaries (fiche </w:t>
      </w:r>
      <w:proofErr w:type="spellStart"/>
      <w:r>
        <w:rPr>
          <w:sz w:val="21"/>
          <w:szCs w:val="21"/>
        </w:rPr>
        <w:t>Notaires</w:t>
      </w:r>
      <w:proofErr w:type="spellEnd"/>
      <w:r>
        <w:rPr>
          <w:sz w:val="21"/>
          <w:szCs w:val="21"/>
        </w:rPr>
        <w:t>)</w:t>
      </w:r>
    </w:p>
    <w:p w14:paraId="38031B6E" w14:textId="77777777" w:rsidR="0042576C" w:rsidRDefault="00000000">
      <w:pPr>
        <w:spacing w:after="80"/>
      </w:pPr>
      <w:r>
        <w:rPr>
          <w:sz w:val="21"/>
          <w:szCs w:val="21"/>
        </w:rPr>
        <w:t>•  /contact</w:t>
      </w:r>
    </w:p>
    <w:p w14:paraId="6A4024F3" w14:textId="77777777" w:rsidR="0042576C" w:rsidRDefault="0042576C">
      <w:pPr>
        <w:pBdr>
          <w:bottom w:val="single" w:sz="6" w:space="4" w:color="CCCCCC"/>
        </w:pBdr>
        <w:spacing w:before="300" w:after="300"/>
      </w:pPr>
    </w:p>
    <w:p w14:paraId="39D65DE3" w14:textId="77777777" w:rsidR="0042576C" w:rsidRDefault="00000000">
      <w:pPr>
        <w:pStyle w:val="Titre1"/>
        <w:spacing w:before="400" w:after="200"/>
      </w:pPr>
      <w:r>
        <w:rPr>
          <w:b/>
          <w:bCs/>
          <w:color w:val="1F2A44"/>
          <w:sz w:val="30"/>
          <w:szCs w:val="30"/>
        </w:rPr>
        <w:t>1. Heading wording — four fixes</w:t>
      </w:r>
    </w:p>
    <w:p w14:paraId="6FDC9E9C" w14:textId="77777777" w:rsidR="0042576C" w:rsidRDefault="00000000">
      <w:pPr>
        <w:spacing w:after="160"/>
      </w:pPr>
      <w:r>
        <w:rPr>
          <w:sz w:val="22"/>
          <w:szCs w:val="22"/>
        </w:rPr>
        <w:t>These four headings read a bit stiff / translated in French. Please swap in the replacement text below.</w:t>
      </w:r>
    </w:p>
    <w:p w14:paraId="7DBDBC02" w14:textId="77777777" w:rsidR="0042576C" w:rsidRDefault="00000000">
      <w:pPr>
        <w:spacing w:before="120" w:after="40"/>
      </w:pPr>
      <w:r>
        <w:rPr>
          <w:b/>
          <w:bCs/>
          <w:color w:val="1F2A44"/>
          <w:sz w:val="19"/>
          <w:szCs w:val="19"/>
        </w:rPr>
        <w:t>1.1 — Homepage, offer section heading.</w:t>
      </w:r>
    </w:p>
    <w:p w14:paraId="72E283F2" w14:textId="77777777" w:rsidR="0042576C" w:rsidRDefault="00000000">
      <w:pPr>
        <w:spacing w:after="160"/>
      </w:pPr>
      <w:r>
        <w:rPr>
          <w:sz w:val="22"/>
          <w:szCs w:val="22"/>
        </w:rPr>
        <w:t>Replace this H2.</w:t>
      </w:r>
    </w:p>
    <w:p w14:paraId="76ECD86A" w14:textId="77777777" w:rsidR="0042576C" w:rsidRPr="003D1A4A" w:rsidRDefault="00000000">
      <w:pPr>
        <w:spacing w:before="120" w:after="40"/>
        <w:rPr>
          <w:lang w:val="fr-CA"/>
        </w:rPr>
      </w:pPr>
      <w:r w:rsidRPr="003D1A4A">
        <w:rPr>
          <w:b/>
          <w:bCs/>
          <w:color w:val="9C7A2E"/>
          <w:sz w:val="19"/>
          <w:szCs w:val="19"/>
          <w:lang w:val="fr-CA"/>
        </w:rPr>
        <w:t>Current (FR)</w:t>
      </w:r>
    </w:p>
    <w:p w14:paraId="7737644C" w14:textId="77777777" w:rsidR="0042576C" w:rsidRPr="003D1A4A" w:rsidRDefault="00000000">
      <w:pPr>
        <w:pBdr>
          <w:left w:val="single" w:sz="18" w:space="12" w:color="9C7A2E"/>
        </w:pBdr>
        <w:spacing w:after="160"/>
        <w:ind w:left="200"/>
        <w:rPr>
          <w:lang w:val="fr-CA"/>
        </w:rPr>
      </w:pPr>
      <w:r w:rsidRPr="003D1A4A">
        <w:rPr>
          <w:i/>
          <w:iCs/>
          <w:sz w:val="21"/>
          <w:szCs w:val="21"/>
          <w:lang w:val="fr-CA"/>
        </w:rPr>
        <w:t>Une offre resserrée, Une méthode</w:t>
      </w:r>
    </w:p>
    <w:p w14:paraId="230FB950" w14:textId="77777777" w:rsidR="0042576C" w:rsidRPr="003D1A4A" w:rsidRDefault="00000000">
      <w:pPr>
        <w:spacing w:before="120" w:after="40"/>
        <w:rPr>
          <w:lang w:val="fr-CA"/>
        </w:rPr>
      </w:pPr>
      <w:r w:rsidRPr="003D1A4A">
        <w:rPr>
          <w:b/>
          <w:bCs/>
          <w:color w:val="9C7A2E"/>
          <w:sz w:val="19"/>
          <w:szCs w:val="19"/>
          <w:lang w:val="fr-CA"/>
        </w:rPr>
        <w:t>Replace with (FR)</w:t>
      </w:r>
    </w:p>
    <w:p w14:paraId="2D44F5B9" w14:textId="77777777" w:rsidR="0042576C" w:rsidRPr="003D1A4A" w:rsidRDefault="00000000">
      <w:pPr>
        <w:pBdr>
          <w:left w:val="single" w:sz="18" w:space="12" w:color="9C7A2E"/>
        </w:pBdr>
        <w:spacing w:after="160"/>
        <w:ind w:left="200"/>
        <w:rPr>
          <w:lang w:val="fr-CA"/>
        </w:rPr>
      </w:pPr>
      <w:r w:rsidRPr="003D1A4A">
        <w:rPr>
          <w:i/>
          <w:iCs/>
          <w:sz w:val="21"/>
          <w:szCs w:val="21"/>
          <w:lang w:val="fr-CA"/>
        </w:rPr>
        <w:t>Une offre ciblée, une méthode</w:t>
      </w:r>
    </w:p>
    <w:p w14:paraId="499394DF" w14:textId="77777777" w:rsidR="0042576C" w:rsidRDefault="00000000">
      <w:pPr>
        <w:spacing w:before="120" w:after="40"/>
      </w:pPr>
      <w:r>
        <w:rPr>
          <w:b/>
          <w:bCs/>
          <w:color w:val="1F2A44"/>
          <w:sz w:val="19"/>
          <w:szCs w:val="19"/>
        </w:rPr>
        <w:t>1.2 — /insights page, H1.</w:t>
      </w:r>
    </w:p>
    <w:p w14:paraId="3DC3009C" w14:textId="77777777" w:rsidR="0042576C" w:rsidRDefault="00000000">
      <w:pPr>
        <w:spacing w:after="160"/>
      </w:pPr>
      <w:r>
        <w:rPr>
          <w:sz w:val="22"/>
          <w:szCs w:val="22"/>
        </w:rPr>
        <w:t>Replace this two-line H1.</w:t>
      </w:r>
    </w:p>
    <w:p w14:paraId="7CFB3317" w14:textId="77777777" w:rsidR="0042576C" w:rsidRPr="003D1A4A" w:rsidRDefault="00000000">
      <w:pPr>
        <w:spacing w:before="120" w:after="40"/>
        <w:rPr>
          <w:lang w:val="fr-CA"/>
        </w:rPr>
      </w:pPr>
      <w:r w:rsidRPr="003D1A4A">
        <w:rPr>
          <w:b/>
          <w:bCs/>
          <w:color w:val="9C7A2E"/>
          <w:sz w:val="19"/>
          <w:szCs w:val="19"/>
          <w:lang w:val="fr-CA"/>
        </w:rPr>
        <w:t>Current (FR)</w:t>
      </w:r>
    </w:p>
    <w:p w14:paraId="4BE3F211" w14:textId="77777777" w:rsidR="0042576C" w:rsidRPr="003D1A4A" w:rsidRDefault="00000000">
      <w:pPr>
        <w:pBdr>
          <w:left w:val="single" w:sz="18" w:space="12" w:color="9C7A2E"/>
        </w:pBdr>
        <w:spacing w:after="160"/>
        <w:ind w:left="200"/>
        <w:rPr>
          <w:lang w:val="fr-CA"/>
        </w:rPr>
      </w:pPr>
      <w:r w:rsidRPr="003D1A4A">
        <w:rPr>
          <w:i/>
          <w:iCs/>
          <w:sz w:val="21"/>
          <w:szCs w:val="21"/>
          <w:lang w:val="fr-CA"/>
        </w:rPr>
        <w:t>Depuis la / Pratique.</w:t>
      </w:r>
    </w:p>
    <w:p w14:paraId="02CA41A2" w14:textId="77777777" w:rsidR="0042576C" w:rsidRDefault="00000000">
      <w:pPr>
        <w:spacing w:before="120" w:after="40"/>
      </w:pPr>
      <w:r>
        <w:rPr>
          <w:b/>
          <w:bCs/>
          <w:color w:val="9C7A2E"/>
          <w:sz w:val="19"/>
          <w:szCs w:val="19"/>
        </w:rPr>
        <w:t>Replace with (FR)</w:t>
      </w:r>
    </w:p>
    <w:p w14:paraId="244493F5" w14:textId="77777777" w:rsidR="0042576C" w:rsidRDefault="00000000">
      <w:pPr>
        <w:pBdr>
          <w:left w:val="single" w:sz="18" w:space="12" w:color="9C7A2E"/>
        </w:pBdr>
        <w:spacing w:after="160"/>
        <w:ind w:left="200"/>
      </w:pPr>
      <w:r>
        <w:rPr>
          <w:i/>
          <w:iCs/>
          <w:sz w:val="21"/>
          <w:szCs w:val="21"/>
        </w:rPr>
        <w:t>Nos publications</w:t>
      </w:r>
    </w:p>
    <w:p w14:paraId="75ECE902" w14:textId="77777777" w:rsidR="0042576C" w:rsidRDefault="00000000">
      <w:pPr>
        <w:spacing w:before="120" w:after="40"/>
      </w:pPr>
      <w:r>
        <w:rPr>
          <w:b/>
          <w:bCs/>
          <w:color w:val="1F2A44"/>
          <w:sz w:val="19"/>
          <w:szCs w:val="19"/>
        </w:rPr>
        <w:t>1.3 — "3 days" wording, site-wide.</w:t>
      </w:r>
    </w:p>
    <w:p w14:paraId="1CB3DBC1" w14:textId="77777777" w:rsidR="0042576C" w:rsidRDefault="00000000">
      <w:pPr>
        <w:spacing w:after="160"/>
      </w:pPr>
      <w:r>
        <w:rPr>
          <w:sz w:val="22"/>
          <w:szCs w:val="22"/>
        </w:rPr>
        <w:t xml:space="preserve">This one needs a meaning change, not just wording: the engagement can happen on-site OR remotely, not necessarily in person at the client's office. Please replace every instance of "dans </w:t>
      </w:r>
      <w:proofErr w:type="spellStart"/>
      <w:r>
        <w:rPr>
          <w:sz w:val="22"/>
          <w:szCs w:val="22"/>
        </w:rPr>
        <w:t>votre</w:t>
      </w:r>
      <w:proofErr w:type="spellEnd"/>
      <w:r>
        <w:rPr>
          <w:sz w:val="22"/>
          <w:szCs w:val="22"/>
        </w:rPr>
        <w:t xml:space="preserve"> organisation" / "dans </w:t>
      </w:r>
      <w:proofErr w:type="spellStart"/>
      <w:r>
        <w:rPr>
          <w:sz w:val="22"/>
          <w:szCs w:val="22"/>
        </w:rPr>
        <w:t>votre</w:t>
      </w:r>
      <w:proofErr w:type="spellEnd"/>
      <w:r>
        <w:rPr>
          <w:sz w:val="22"/>
          <w:szCs w:val="22"/>
        </w:rPr>
        <w:t xml:space="preserve"> pratique" / "dans </w:t>
      </w:r>
      <w:proofErr w:type="spellStart"/>
      <w:r>
        <w:rPr>
          <w:sz w:val="22"/>
          <w:szCs w:val="22"/>
        </w:rPr>
        <w:t>vos</w:t>
      </w:r>
      <w:proofErr w:type="spellEnd"/>
      <w:r>
        <w:rPr>
          <w:sz w:val="22"/>
          <w:szCs w:val="22"/>
        </w:rPr>
        <w:t xml:space="preserve"> </w:t>
      </w:r>
      <w:proofErr w:type="spellStart"/>
      <w:r>
        <w:rPr>
          <w:sz w:val="22"/>
          <w:szCs w:val="22"/>
        </w:rPr>
        <w:t>murs</w:t>
      </w:r>
      <w:proofErr w:type="spellEnd"/>
      <w:r>
        <w:rPr>
          <w:sz w:val="22"/>
          <w:szCs w:val="22"/>
        </w:rPr>
        <w:t xml:space="preserve">" (wherever it implies physical presence) with the phrase below. </w:t>
      </w:r>
      <w:r>
        <w:rPr>
          <w:sz w:val="22"/>
          <w:szCs w:val="22"/>
        </w:rPr>
        <w:lastRenderedPageBreak/>
        <w:t>This appears at minimum in the CTA blocks repeated across most pages, on /approach as the H1, and on the Diagnostic service page once it's translated.</w:t>
      </w:r>
    </w:p>
    <w:p w14:paraId="3B022F7D" w14:textId="77777777" w:rsidR="0042576C" w:rsidRPr="003D1A4A" w:rsidRDefault="00000000">
      <w:pPr>
        <w:spacing w:before="120" w:after="40"/>
        <w:rPr>
          <w:lang w:val="fr-CA"/>
        </w:rPr>
      </w:pPr>
      <w:r w:rsidRPr="003D1A4A">
        <w:rPr>
          <w:b/>
          <w:bCs/>
          <w:color w:val="9C7A2E"/>
          <w:sz w:val="19"/>
          <w:szCs w:val="19"/>
          <w:lang w:val="fr-CA"/>
        </w:rPr>
        <w:t>Replace with (FR)</w:t>
      </w:r>
    </w:p>
    <w:p w14:paraId="5DE4A6F9" w14:textId="77777777" w:rsidR="0042576C" w:rsidRPr="003D1A4A" w:rsidRDefault="00000000">
      <w:pPr>
        <w:pBdr>
          <w:left w:val="single" w:sz="18" w:space="12" w:color="9C7A2E"/>
        </w:pBdr>
        <w:spacing w:after="160"/>
        <w:ind w:left="200"/>
        <w:rPr>
          <w:lang w:val="fr-CA"/>
        </w:rPr>
      </w:pPr>
      <w:r w:rsidRPr="003D1A4A">
        <w:rPr>
          <w:i/>
          <w:iCs/>
          <w:sz w:val="21"/>
          <w:szCs w:val="21"/>
          <w:lang w:val="fr-CA"/>
        </w:rPr>
        <w:t>Trois jours consacrés à votre organisation — sur place ou à distance, selon ce qui convient le mieux.</w:t>
      </w:r>
    </w:p>
    <w:p w14:paraId="27E6931F" w14:textId="77777777" w:rsidR="0042576C" w:rsidRDefault="00000000">
      <w:pPr>
        <w:spacing w:after="160"/>
      </w:pPr>
      <w:r>
        <w:rPr>
          <w:sz w:val="22"/>
          <w:szCs w:val="22"/>
        </w:rPr>
        <w:t>For short H1-style headings where the full sentence doesn't fit (e.g. /approach), use instead:</w:t>
      </w:r>
    </w:p>
    <w:p w14:paraId="53A6DEFB" w14:textId="77777777" w:rsidR="0042576C" w:rsidRDefault="00000000">
      <w:pPr>
        <w:pBdr>
          <w:left w:val="single" w:sz="18" w:space="12" w:color="9C7A2E"/>
        </w:pBdr>
        <w:spacing w:after="160"/>
        <w:ind w:left="200"/>
      </w:pPr>
      <w:r>
        <w:rPr>
          <w:i/>
          <w:iCs/>
          <w:sz w:val="21"/>
          <w:szCs w:val="21"/>
        </w:rPr>
        <w:t xml:space="preserve">Trois </w:t>
      </w:r>
      <w:proofErr w:type="spellStart"/>
      <w:r>
        <w:rPr>
          <w:i/>
          <w:iCs/>
          <w:sz w:val="21"/>
          <w:szCs w:val="21"/>
        </w:rPr>
        <w:t>jours</w:t>
      </w:r>
      <w:proofErr w:type="spellEnd"/>
      <w:r>
        <w:rPr>
          <w:i/>
          <w:iCs/>
          <w:sz w:val="21"/>
          <w:szCs w:val="21"/>
        </w:rPr>
        <w:t>, avec vous</w:t>
      </w:r>
    </w:p>
    <w:p w14:paraId="43C53167" w14:textId="77777777" w:rsidR="0042576C" w:rsidRDefault="00000000">
      <w:pPr>
        <w:spacing w:after="160"/>
      </w:pPr>
      <w:r>
        <w:rPr>
          <w:sz w:val="22"/>
          <w:szCs w:val="22"/>
        </w:rPr>
        <w:t>And the "Format" info-card label that currently reads "Sur place" should become:</w:t>
      </w:r>
    </w:p>
    <w:p w14:paraId="7F051DAC" w14:textId="77777777" w:rsidR="0042576C" w:rsidRDefault="00000000">
      <w:pPr>
        <w:pBdr>
          <w:left w:val="single" w:sz="18" w:space="12" w:color="9C7A2E"/>
        </w:pBdr>
        <w:spacing w:after="160"/>
        <w:ind w:left="200"/>
      </w:pPr>
      <w:r>
        <w:rPr>
          <w:i/>
          <w:iCs/>
          <w:sz w:val="21"/>
          <w:szCs w:val="21"/>
        </w:rPr>
        <w:t xml:space="preserve">Sur place </w:t>
      </w:r>
      <w:proofErr w:type="spellStart"/>
      <w:r>
        <w:rPr>
          <w:i/>
          <w:iCs/>
          <w:sz w:val="21"/>
          <w:szCs w:val="21"/>
        </w:rPr>
        <w:t>ou</w:t>
      </w:r>
      <w:proofErr w:type="spellEnd"/>
      <w:r>
        <w:rPr>
          <w:i/>
          <w:iCs/>
          <w:sz w:val="21"/>
          <w:szCs w:val="21"/>
        </w:rPr>
        <w:t xml:space="preserve"> à distance</w:t>
      </w:r>
    </w:p>
    <w:p w14:paraId="025046D9" w14:textId="77777777" w:rsidR="0042576C" w:rsidRDefault="0042576C">
      <w:pPr>
        <w:pBdr>
          <w:bottom w:val="single" w:sz="6" w:space="4" w:color="CCCCCC"/>
        </w:pBdr>
        <w:spacing w:before="300" w:after="300"/>
      </w:pPr>
    </w:p>
    <w:p w14:paraId="5CBAB3F1" w14:textId="77777777" w:rsidR="0042576C" w:rsidRDefault="00000000">
      <w:pPr>
        <w:pStyle w:val="Titre1"/>
        <w:spacing w:before="400" w:after="200"/>
      </w:pPr>
      <w:r>
        <w:rPr>
          <w:b/>
          <w:bCs/>
          <w:color w:val="1F2A44"/>
          <w:sz w:val="30"/>
          <w:szCs w:val="30"/>
        </w:rPr>
        <w:t>2. Sector pages — reframe the opening hook</w:t>
      </w:r>
    </w:p>
    <w:p w14:paraId="01961ED7" w14:textId="77777777" w:rsidR="0042576C" w:rsidRDefault="00000000">
      <w:pPr>
        <w:spacing w:after="160"/>
      </w:pPr>
      <w:r>
        <w:rPr>
          <w:sz w:val="22"/>
          <w:szCs w:val="22"/>
        </w:rPr>
        <w:t>For the four sector pages that are hypotheses (not yet backed by an actual client in that sector — Notaries, Law firms, HR advisers, Investment firms), please swap the opening hook paragraph and add a short reassurance line near the guardrail paragraph at the bottom of each page. This is intentional: it's honest about these being sectors Aminata wants to grow into, not case studies. The OBNL/nonprofits page does NOT need this — it's already based on a real client and stays as-is.</w:t>
      </w:r>
    </w:p>
    <w:p w14:paraId="7729D300" w14:textId="77777777" w:rsidR="0042576C" w:rsidRDefault="00000000">
      <w:pPr>
        <w:pStyle w:val="Titre2"/>
        <w:spacing w:before="320" w:after="140"/>
      </w:pPr>
      <w:r>
        <w:rPr>
          <w:b/>
          <w:bCs/>
          <w:color w:val="1F2A44"/>
          <w:sz w:val="24"/>
          <w:szCs w:val="24"/>
        </w:rPr>
        <w:t>/</w:t>
      </w:r>
      <w:proofErr w:type="gramStart"/>
      <w:r>
        <w:rPr>
          <w:b/>
          <w:bCs/>
          <w:color w:val="1F2A44"/>
          <w:sz w:val="24"/>
          <w:szCs w:val="24"/>
        </w:rPr>
        <w:t>sectors</w:t>
      </w:r>
      <w:proofErr w:type="gramEnd"/>
      <w:r>
        <w:rPr>
          <w:b/>
          <w:bCs/>
          <w:color w:val="1F2A44"/>
          <w:sz w:val="24"/>
          <w:szCs w:val="24"/>
        </w:rPr>
        <w:t xml:space="preserve"> overview page — intro paragraph</w:t>
      </w:r>
    </w:p>
    <w:p w14:paraId="1A90B059" w14:textId="77777777" w:rsidR="0042576C" w:rsidRDefault="00000000">
      <w:pPr>
        <w:spacing w:before="120" w:after="40"/>
      </w:pPr>
      <w:r>
        <w:rPr>
          <w:b/>
          <w:bCs/>
          <w:color w:val="9C7A2E"/>
          <w:sz w:val="19"/>
          <w:szCs w:val="19"/>
        </w:rPr>
        <w:t>Current (FR)</w:t>
      </w:r>
    </w:p>
    <w:p w14:paraId="3BCA0366" w14:textId="77777777" w:rsidR="0042576C" w:rsidRPr="003D1A4A" w:rsidRDefault="00000000">
      <w:pPr>
        <w:pBdr>
          <w:left w:val="single" w:sz="18" w:space="12" w:color="9C7A2E"/>
        </w:pBdr>
        <w:spacing w:after="160"/>
        <w:ind w:left="200"/>
        <w:rPr>
          <w:lang w:val="fr-CA"/>
        </w:rPr>
      </w:pPr>
      <w:r w:rsidRPr="003D1A4A">
        <w:rPr>
          <w:i/>
          <w:iCs/>
          <w:sz w:val="21"/>
          <w:szCs w:val="21"/>
          <w:lang w:val="fr-CA"/>
        </w:rPr>
        <w:t>Chacun d'eux porte des obligations qui rendent coûteuse une adoption négligente de l'IA. C'est précisément pour ça que la méthode commence par les obligations plutôt que par les outils.</w:t>
      </w:r>
    </w:p>
    <w:p w14:paraId="4FF13B51" w14:textId="77777777" w:rsidR="0042576C" w:rsidRPr="003D1A4A" w:rsidRDefault="00000000">
      <w:pPr>
        <w:spacing w:before="120" w:after="40"/>
        <w:rPr>
          <w:lang w:val="fr-CA"/>
        </w:rPr>
      </w:pPr>
      <w:r w:rsidRPr="003D1A4A">
        <w:rPr>
          <w:b/>
          <w:bCs/>
          <w:color w:val="9C7A2E"/>
          <w:sz w:val="19"/>
          <w:szCs w:val="19"/>
          <w:lang w:val="fr-CA"/>
        </w:rPr>
        <w:t>Replace with (FR)</w:t>
      </w:r>
    </w:p>
    <w:p w14:paraId="747D7567" w14:textId="77777777" w:rsidR="0042576C" w:rsidRPr="003D1A4A" w:rsidRDefault="00000000">
      <w:pPr>
        <w:pBdr>
          <w:left w:val="single" w:sz="18" w:space="12" w:color="9C7A2E"/>
        </w:pBdr>
        <w:spacing w:after="160"/>
        <w:ind w:left="200"/>
        <w:rPr>
          <w:lang w:val="fr-CA"/>
        </w:rPr>
      </w:pPr>
      <w:r w:rsidRPr="003D1A4A">
        <w:rPr>
          <w:i/>
          <w:iCs/>
          <w:sz w:val="21"/>
          <w:szCs w:val="21"/>
          <w:lang w:val="fr-CA"/>
        </w:rPr>
        <w:t>Voici les secteurs vers lesquels Orée choisit de tendre — pas parce qu'ils sont déjà tous des clients, mais parce que ce sont des milieux qui ont un vrai besoin d'une adoption prudente de l'IA, et où la méthode peut apporter beaucoup sans jamais être envahissante. Voici comment elle s'appliquerait dans chacun.</w:t>
      </w:r>
    </w:p>
    <w:p w14:paraId="0C0DEE9A" w14:textId="77777777" w:rsidR="0042576C" w:rsidRPr="003D1A4A" w:rsidRDefault="00000000">
      <w:pPr>
        <w:pStyle w:val="Titre2"/>
        <w:spacing w:before="320" w:after="140"/>
        <w:rPr>
          <w:lang w:val="fr-CA"/>
        </w:rPr>
      </w:pPr>
      <w:r w:rsidRPr="003D1A4A">
        <w:rPr>
          <w:b/>
          <w:bCs/>
          <w:color w:val="1F2A44"/>
          <w:sz w:val="24"/>
          <w:szCs w:val="24"/>
          <w:lang w:val="fr-CA"/>
        </w:rPr>
        <w:t>/sectors overview page — remove the card grid</w:t>
      </w:r>
    </w:p>
    <w:p w14:paraId="0D8738EE" w14:textId="77777777" w:rsidR="0042576C" w:rsidRDefault="00000000">
      <w:pPr>
        <w:spacing w:after="160"/>
      </w:pPr>
      <w:r>
        <w:rPr>
          <w:sz w:val="22"/>
          <w:szCs w:val="22"/>
        </w:rPr>
        <w:t>Below that intro paragraph, the page currently shows an eyebrow label "Par profession" followed by an H2 "</w:t>
      </w:r>
      <w:proofErr w:type="spellStart"/>
      <w:r>
        <w:rPr>
          <w:sz w:val="22"/>
          <w:szCs w:val="22"/>
        </w:rPr>
        <w:t>Où</w:t>
      </w:r>
      <w:proofErr w:type="spellEnd"/>
      <w:r>
        <w:rPr>
          <w:sz w:val="22"/>
          <w:szCs w:val="22"/>
        </w:rPr>
        <w:t xml:space="preserve"> la </w:t>
      </w:r>
      <w:proofErr w:type="spellStart"/>
      <w:r>
        <w:rPr>
          <w:sz w:val="22"/>
          <w:szCs w:val="22"/>
        </w:rPr>
        <w:t>méthode</w:t>
      </w:r>
      <w:proofErr w:type="spellEnd"/>
      <w:r>
        <w:rPr>
          <w:sz w:val="22"/>
          <w:szCs w:val="22"/>
        </w:rPr>
        <w:t xml:space="preserve"> se pose", then the five sectors as boxed cards with tags (Cadre / Pression / </w:t>
      </w:r>
      <w:proofErr w:type="spellStart"/>
      <w:r>
        <w:rPr>
          <w:sz w:val="22"/>
          <w:szCs w:val="22"/>
        </w:rPr>
        <w:t>Où</w:t>
      </w:r>
      <w:proofErr w:type="spellEnd"/>
      <w:r>
        <w:rPr>
          <w:sz w:val="22"/>
          <w:szCs w:val="22"/>
        </w:rPr>
        <w:t xml:space="preserve"> </w:t>
      </w:r>
      <w:proofErr w:type="spellStart"/>
      <w:r>
        <w:rPr>
          <w:sz w:val="22"/>
          <w:szCs w:val="22"/>
        </w:rPr>
        <w:t>l'on</w:t>
      </w:r>
      <w:proofErr w:type="spellEnd"/>
      <w:r>
        <w:rPr>
          <w:sz w:val="22"/>
          <w:szCs w:val="22"/>
        </w:rPr>
        <w:t xml:space="preserve"> commence). Please remove the eyebrow, the card/box treatment, and the tags entirely — replace with a plain heading followed by a simple text list, no boxes, no "starting point" indicator. Each sector name should still link to its dedicated page, just styled as a text heading/link rather than a card.</w:t>
      </w:r>
    </w:p>
    <w:p w14:paraId="179FB1AB" w14:textId="77777777" w:rsidR="0042576C" w:rsidRPr="003D1A4A" w:rsidRDefault="00000000">
      <w:pPr>
        <w:spacing w:before="120" w:after="40"/>
        <w:rPr>
          <w:lang w:val="fr-CA"/>
        </w:rPr>
      </w:pPr>
      <w:r w:rsidRPr="003D1A4A">
        <w:rPr>
          <w:b/>
          <w:bCs/>
          <w:color w:val="9C7A2E"/>
          <w:sz w:val="19"/>
          <w:szCs w:val="19"/>
          <w:lang w:val="fr-CA"/>
        </w:rPr>
        <w:t>Remove (FR)</w:t>
      </w:r>
    </w:p>
    <w:p w14:paraId="646FB13B" w14:textId="77777777" w:rsidR="0042576C" w:rsidRPr="003D1A4A" w:rsidRDefault="00000000">
      <w:pPr>
        <w:pBdr>
          <w:left w:val="single" w:sz="18" w:space="12" w:color="9C7A2E"/>
        </w:pBdr>
        <w:spacing w:after="160"/>
        <w:ind w:left="200"/>
        <w:rPr>
          <w:lang w:val="fr-CA"/>
        </w:rPr>
      </w:pPr>
      <w:r w:rsidRPr="003D1A4A">
        <w:rPr>
          <w:i/>
          <w:iCs/>
          <w:sz w:val="21"/>
          <w:szCs w:val="21"/>
          <w:lang w:val="fr-CA"/>
        </w:rPr>
        <w:t>Par profession</w:t>
      </w:r>
    </w:p>
    <w:p w14:paraId="2BEF028C" w14:textId="77777777" w:rsidR="0042576C" w:rsidRPr="003D1A4A" w:rsidRDefault="00000000">
      <w:pPr>
        <w:spacing w:before="120" w:after="40"/>
        <w:rPr>
          <w:lang w:val="fr-CA"/>
        </w:rPr>
      </w:pPr>
      <w:r w:rsidRPr="003D1A4A">
        <w:rPr>
          <w:b/>
          <w:bCs/>
          <w:color w:val="9C7A2E"/>
          <w:sz w:val="19"/>
          <w:szCs w:val="19"/>
          <w:lang w:val="fr-CA"/>
        </w:rPr>
        <w:t>New heading, replaces "Où la méthode se pose" (FR)</w:t>
      </w:r>
    </w:p>
    <w:p w14:paraId="0B416DBC" w14:textId="77777777" w:rsidR="0042576C" w:rsidRPr="003D1A4A" w:rsidRDefault="00000000">
      <w:pPr>
        <w:pBdr>
          <w:left w:val="single" w:sz="18" w:space="12" w:color="9C7A2E"/>
        </w:pBdr>
        <w:spacing w:after="160"/>
        <w:ind w:left="200"/>
        <w:rPr>
          <w:lang w:val="fr-CA"/>
        </w:rPr>
      </w:pPr>
      <w:r w:rsidRPr="003D1A4A">
        <w:rPr>
          <w:i/>
          <w:iCs/>
          <w:sz w:val="21"/>
          <w:szCs w:val="21"/>
          <w:lang w:val="fr-CA"/>
        </w:rPr>
        <w:t>Voici où la méthode se prête</w:t>
      </w:r>
    </w:p>
    <w:p w14:paraId="681B739A" w14:textId="77777777" w:rsidR="0042576C" w:rsidRDefault="00000000">
      <w:pPr>
        <w:spacing w:before="120" w:after="40"/>
      </w:pPr>
      <w:r>
        <w:rPr>
          <w:b/>
          <w:bCs/>
          <w:color w:val="9C7A2E"/>
          <w:sz w:val="19"/>
          <w:szCs w:val="19"/>
        </w:rPr>
        <w:t>New body copy — plain list, no cards (FR)</w:t>
      </w:r>
    </w:p>
    <w:p w14:paraId="002EBE87" w14:textId="77777777" w:rsidR="0042576C" w:rsidRPr="003D1A4A" w:rsidRDefault="00000000">
      <w:pPr>
        <w:pBdr>
          <w:left w:val="single" w:sz="18" w:space="12" w:color="9C7A2E"/>
        </w:pBdr>
        <w:spacing w:after="160"/>
        <w:ind w:left="200"/>
        <w:rPr>
          <w:lang w:val="fr-CA"/>
        </w:rPr>
      </w:pPr>
      <w:r w:rsidRPr="003D1A4A">
        <w:rPr>
          <w:i/>
          <w:iCs/>
          <w:sz w:val="21"/>
          <w:szCs w:val="21"/>
          <w:lang w:val="fr-CA"/>
        </w:rPr>
        <w:t>Notaires — Vision 2030 a donné une direction, et la profession sera de plus en plus appelée à s'adapter. Un terrain où je vois un vrai besoin, à condition que rien ne s'approche de l'acte authentique lui-même.</w:t>
      </w:r>
    </w:p>
    <w:p w14:paraId="1C5003E2" w14:textId="77777777" w:rsidR="0042576C" w:rsidRPr="003D1A4A" w:rsidRDefault="00000000">
      <w:pPr>
        <w:pBdr>
          <w:left w:val="single" w:sz="18" w:space="12" w:color="9C7A2E"/>
        </w:pBdr>
        <w:spacing w:after="160"/>
        <w:ind w:left="200"/>
        <w:rPr>
          <w:lang w:val="fr-CA"/>
        </w:rPr>
      </w:pPr>
      <w:r w:rsidRPr="003D1A4A">
        <w:rPr>
          <w:i/>
          <w:iCs/>
          <w:sz w:val="21"/>
          <w:szCs w:val="21"/>
          <w:lang w:val="fr-CA"/>
        </w:rPr>
        <w:lastRenderedPageBreak/>
        <w:t>Cabinets d'avocats — Les devoirs envers le Barreau ne laissent aucune place à l'improvisation. Observer avant d'équiper peut faire une vraie différence, sans jamais mettre la signature de l'avocat en jeu.</w:t>
      </w:r>
    </w:p>
    <w:p w14:paraId="44B1A97A" w14:textId="77777777" w:rsidR="0042576C" w:rsidRPr="003D1A4A" w:rsidRDefault="00000000">
      <w:pPr>
        <w:pBdr>
          <w:left w:val="single" w:sz="18" w:space="12" w:color="9C7A2E"/>
        </w:pBdr>
        <w:spacing w:after="160"/>
        <w:ind w:left="200"/>
        <w:rPr>
          <w:lang w:val="fr-CA"/>
        </w:rPr>
      </w:pPr>
      <w:r w:rsidRPr="003D1A4A">
        <w:rPr>
          <w:i/>
          <w:iCs/>
          <w:sz w:val="21"/>
          <w:szCs w:val="21"/>
          <w:lang w:val="fr-CA"/>
        </w:rPr>
        <w:t>CRHA et conseillers RH — Vos équipes utilisent probablement déjà ces outils, discrètement. Un terrain où je vois un vrai besoin d'encadrement, sans jamais surveiller ni dicter.</w:t>
      </w:r>
    </w:p>
    <w:p w14:paraId="6EBF9445" w14:textId="77777777" w:rsidR="0042576C" w:rsidRPr="003D1A4A" w:rsidRDefault="00000000">
      <w:pPr>
        <w:pBdr>
          <w:left w:val="single" w:sz="18" w:space="12" w:color="9C7A2E"/>
        </w:pBdr>
        <w:spacing w:after="160"/>
        <w:ind w:left="200"/>
        <w:rPr>
          <w:lang w:val="fr-CA"/>
        </w:rPr>
      </w:pPr>
      <w:r w:rsidRPr="003D1A4A">
        <w:rPr>
          <w:i/>
          <w:iCs/>
          <w:sz w:val="21"/>
          <w:szCs w:val="21"/>
          <w:lang w:val="fr-CA"/>
        </w:rPr>
        <w:t>Firmes de placement — La question de la résidence des données et de la traçabilité revient tôt ou tard. Un terrain où je vois un vrai besoin de rigueur documentaire, sans ralentir vos opérations.</w:t>
      </w:r>
    </w:p>
    <w:p w14:paraId="46A80AEF" w14:textId="77777777" w:rsidR="0042576C" w:rsidRPr="003D1A4A" w:rsidRDefault="00000000">
      <w:pPr>
        <w:pBdr>
          <w:left w:val="single" w:sz="18" w:space="12" w:color="9C7A2E"/>
        </w:pBdr>
        <w:spacing w:after="160"/>
        <w:ind w:left="200"/>
        <w:rPr>
          <w:lang w:val="fr-CA"/>
        </w:rPr>
      </w:pPr>
      <w:r w:rsidRPr="003D1A4A">
        <w:rPr>
          <w:i/>
          <w:iCs/>
          <w:sz w:val="21"/>
          <w:szCs w:val="21"/>
          <w:lang w:val="fr-CA"/>
        </w:rPr>
        <w:t>OBNL — La mission passe en premier, mais c'est la paperasse derrière elle qui use discrètement l'équipe. Un terrain où une petite équipe peut gagner beaucoup, sans jamais bousculer ce qui compte vraiment.</w:t>
      </w:r>
    </w:p>
    <w:p w14:paraId="37B85402" w14:textId="77777777" w:rsidR="0042576C" w:rsidRDefault="00000000">
      <w:pPr>
        <w:pStyle w:val="Titre2"/>
        <w:spacing w:before="320" w:after="140"/>
      </w:pPr>
      <w:r>
        <w:rPr>
          <w:b/>
          <w:bCs/>
          <w:color w:val="1F2A44"/>
          <w:sz w:val="24"/>
          <w:szCs w:val="24"/>
        </w:rPr>
        <w:t>/sectors/notaries</w:t>
      </w:r>
    </w:p>
    <w:p w14:paraId="357B9AC2" w14:textId="77777777" w:rsidR="0042576C" w:rsidRDefault="00000000">
      <w:pPr>
        <w:spacing w:before="120" w:after="40"/>
      </w:pPr>
      <w:r>
        <w:rPr>
          <w:b/>
          <w:bCs/>
          <w:color w:val="9C7A2E"/>
          <w:sz w:val="19"/>
          <w:szCs w:val="19"/>
        </w:rPr>
        <w:t>New hook (FR)</w:t>
      </w:r>
    </w:p>
    <w:p w14:paraId="61ECC9A2" w14:textId="77777777" w:rsidR="0042576C" w:rsidRPr="003D1A4A" w:rsidRDefault="00000000">
      <w:pPr>
        <w:pBdr>
          <w:left w:val="single" w:sz="18" w:space="12" w:color="9C7A2E"/>
        </w:pBdr>
        <w:spacing w:after="160"/>
        <w:ind w:left="200"/>
        <w:rPr>
          <w:lang w:val="fr-CA"/>
        </w:rPr>
      </w:pPr>
      <w:r w:rsidRPr="003D1A4A">
        <w:rPr>
          <w:i/>
          <w:iCs/>
          <w:sz w:val="21"/>
          <w:szCs w:val="21"/>
          <w:lang w:val="fr-CA"/>
        </w:rPr>
        <w:t>Voici comment la méthode s'appliquerait à une étude notariale. Vision 2030 a donné une direction, et la profession sera de plus en plus appelée à s'adapter — un terrain où je vois un vrai besoin, à condition que rien ne s'approche de l'acte authentique lui-même.</w:t>
      </w:r>
    </w:p>
    <w:p w14:paraId="54003ECA" w14:textId="77777777" w:rsidR="0042576C" w:rsidRDefault="00000000">
      <w:pPr>
        <w:spacing w:before="120" w:after="40"/>
      </w:pPr>
      <w:r>
        <w:rPr>
          <w:b/>
          <w:bCs/>
          <w:color w:val="9C7A2E"/>
          <w:sz w:val="19"/>
          <w:szCs w:val="19"/>
        </w:rPr>
        <w:t>Reassurance line to add near the guardrail paragraph (FR)</w:t>
      </w:r>
    </w:p>
    <w:p w14:paraId="2875BDA6" w14:textId="77777777" w:rsidR="0042576C" w:rsidRPr="003D1A4A" w:rsidRDefault="00000000">
      <w:pPr>
        <w:pBdr>
          <w:left w:val="single" w:sz="18" w:space="12" w:color="9C7A2E"/>
        </w:pBdr>
        <w:spacing w:after="160"/>
        <w:ind w:left="200"/>
        <w:rPr>
          <w:lang w:val="fr-CA"/>
        </w:rPr>
      </w:pPr>
      <w:r w:rsidRPr="003D1A4A">
        <w:rPr>
          <w:i/>
          <w:iCs/>
          <w:sz w:val="21"/>
          <w:szCs w:val="21"/>
          <w:lang w:val="fr-CA"/>
        </w:rPr>
        <w:t>La méthode ne prend jamais toute la place : elle s'ajoute à votre pratique le temps du mandat, sans s'y installer, et sans jamais toucher à ce qui doit rester entre vos mains.</w:t>
      </w:r>
    </w:p>
    <w:p w14:paraId="47F96338" w14:textId="77777777" w:rsidR="0042576C" w:rsidRDefault="00000000">
      <w:pPr>
        <w:pStyle w:val="Titre2"/>
        <w:spacing w:before="320" w:after="140"/>
      </w:pPr>
      <w:r>
        <w:rPr>
          <w:b/>
          <w:bCs/>
          <w:color w:val="1F2A44"/>
          <w:sz w:val="24"/>
          <w:szCs w:val="24"/>
        </w:rPr>
        <w:t>/sectors/law-firms</w:t>
      </w:r>
    </w:p>
    <w:p w14:paraId="456033FC" w14:textId="77777777" w:rsidR="0042576C" w:rsidRDefault="00000000">
      <w:pPr>
        <w:spacing w:before="120" w:after="40"/>
      </w:pPr>
      <w:r>
        <w:rPr>
          <w:b/>
          <w:bCs/>
          <w:color w:val="9C7A2E"/>
          <w:sz w:val="19"/>
          <w:szCs w:val="19"/>
        </w:rPr>
        <w:t>New hook (FR)</w:t>
      </w:r>
    </w:p>
    <w:p w14:paraId="16B71FD1" w14:textId="77777777" w:rsidR="0042576C" w:rsidRPr="003D1A4A" w:rsidRDefault="00000000">
      <w:pPr>
        <w:pBdr>
          <w:left w:val="single" w:sz="18" w:space="12" w:color="9C7A2E"/>
        </w:pBdr>
        <w:spacing w:after="160"/>
        <w:ind w:left="200"/>
        <w:rPr>
          <w:lang w:val="fr-CA"/>
        </w:rPr>
      </w:pPr>
      <w:r w:rsidRPr="003D1A4A">
        <w:rPr>
          <w:i/>
          <w:iCs/>
          <w:sz w:val="21"/>
          <w:szCs w:val="21"/>
          <w:lang w:val="fr-CA"/>
        </w:rPr>
        <w:t>Voici comment la méthode s'appliquerait à un cabinet d'avocats. Les devoirs envers le Barreau ne laissent aucune place à l'improvisation — c'est exactement le genre de contrainte où observer avant d'équiper peut faire une vraie différence, sans jamais mettre la signature de l'avocat en jeu.</w:t>
      </w:r>
    </w:p>
    <w:p w14:paraId="0A4C6387" w14:textId="77777777" w:rsidR="0042576C" w:rsidRDefault="00000000">
      <w:pPr>
        <w:spacing w:before="120" w:after="40"/>
      </w:pPr>
      <w:r>
        <w:rPr>
          <w:b/>
          <w:bCs/>
          <w:color w:val="9C7A2E"/>
          <w:sz w:val="19"/>
          <w:szCs w:val="19"/>
        </w:rPr>
        <w:t>Reassurance line to add near the guardrail paragraph (FR)</w:t>
      </w:r>
    </w:p>
    <w:p w14:paraId="2F92FA46" w14:textId="77777777" w:rsidR="0042576C" w:rsidRPr="003D1A4A" w:rsidRDefault="00000000">
      <w:pPr>
        <w:pBdr>
          <w:left w:val="single" w:sz="18" w:space="12" w:color="9C7A2E"/>
        </w:pBdr>
        <w:spacing w:after="160"/>
        <w:ind w:left="200"/>
        <w:rPr>
          <w:lang w:val="fr-CA"/>
        </w:rPr>
      </w:pPr>
      <w:r w:rsidRPr="003D1A4A">
        <w:rPr>
          <w:i/>
          <w:iCs/>
          <w:sz w:val="21"/>
          <w:szCs w:val="21"/>
          <w:lang w:val="fr-CA"/>
        </w:rPr>
        <w:t>Rien n'est imposé ni automatisé d'office : la méthode identifie ce qui peut être délégué et s'arrête net à la limite de votre jugement professionnel.</w:t>
      </w:r>
    </w:p>
    <w:p w14:paraId="34982D2A" w14:textId="77777777" w:rsidR="0042576C" w:rsidRDefault="00000000">
      <w:pPr>
        <w:pStyle w:val="Titre2"/>
        <w:spacing w:before="320" w:after="140"/>
      </w:pPr>
      <w:r>
        <w:rPr>
          <w:b/>
          <w:bCs/>
          <w:color w:val="1F2A44"/>
          <w:sz w:val="24"/>
          <w:szCs w:val="24"/>
        </w:rPr>
        <w:t>/sectors/hr-advisers</w:t>
      </w:r>
    </w:p>
    <w:p w14:paraId="4D098703" w14:textId="77777777" w:rsidR="0042576C" w:rsidRDefault="00000000">
      <w:pPr>
        <w:spacing w:before="120" w:after="40"/>
      </w:pPr>
      <w:r>
        <w:rPr>
          <w:b/>
          <w:bCs/>
          <w:color w:val="9C7A2E"/>
          <w:sz w:val="19"/>
          <w:szCs w:val="19"/>
        </w:rPr>
        <w:t>New hook (FR)</w:t>
      </w:r>
    </w:p>
    <w:p w14:paraId="018D675E" w14:textId="77777777" w:rsidR="0042576C" w:rsidRPr="003D1A4A" w:rsidRDefault="00000000">
      <w:pPr>
        <w:pBdr>
          <w:left w:val="single" w:sz="18" w:space="12" w:color="9C7A2E"/>
        </w:pBdr>
        <w:spacing w:after="160"/>
        <w:ind w:left="200"/>
        <w:rPr>
          <w:lang w:val="fr-CA"/>
        </w:rPr>
      </w:pPr>
      <w:r w:rsidRPr="003D1A4A">
        <w:rPr>
          <w:i/>
          <w:iCs/>
          <w:sz w:val="21"/>
          <w:szCs w:val="21"/>
          <w:lang w:val="fr-CA"/>
        </w:rPr>
        <w:t>Voici comment la méthode s'appliquerait à une équipe RH. Vos équipes utilisent probablement déjà ces outils, discrètement — un terrain où je vois un vrai besoin d'encadrement, sans jamais surveiller ni dicter, seulement nommer ce qui se passe déjà et poser des balises claires.</w:t>
      </w:r>
    </w:p>
    <w:p w14:paraId="28C33C7E" w14:textId="77777777" w:rsidR="0042576C" w:rsidRDefault="00000000">
      <w:pPr>
        <w:spacing w:before="120" w:after="40"/>
      </w:pPr>
      <w:r>
        <w:rPr>
          <w:b/>
          <w:bCs/>
          <w:color w:val="9C7A2E"/>
          <w:sz w:val="19"/>
          <w:szCs w:val="19"/>
        </w:rPr>
        <w:t>Reassurance line to add near the guardrail paragraph (FR)</w:t>
      </w:r>
    </w:p>
    <w:p w14:paraId="64F48238" w14:textId="77777777" w:rsidR="0042576C" w:rsidRPr="003D1A4A" w:rsidRDefault="00000000">
      <w:pPr>
        <w:pBdr>
          <w:left w:val="single" w:sz="18" w:space="12" w:color="9C7A2E"/>
        </w:pBdr>
        <w:spacing w:after="160"/>
        <w:ind w:left="200"/>
        <w:rPr>
          <w:lang w:val="fr-CA"/>
        </w:rPr>
      </w:pPr>
      <w:r w:rsidRPr="003D1A4A">
        <w:rPr>
          <w:i/>
          <w:iCs/>
          <w:sz w:val="21"/>
          <w:szCs w:val="21"/>
          <w:lang w:val="fr-CA"/>
        </w:rPr>
        <w:t>L'objectif n'est pas de contrôler l'équipe, mais de rendre visible et défendable ce qu'elle fait déjà — sans ajouter de lourdeur administrative.</w:t>
      </w:r>
    </w:p>
    <w:p w14:paraId="13347886" w14:textId="77777777" w:rsidR="0042576C" w:rsidRDefault="00000000">
      <w:pPr>
        <w:pStyle w:val="Titre2"/>
        <w:spacing w:before="320" w:after="140"/>
      </w:pPr>
      <w:r>
        <w:rPr>
          <w:b/>
          <w:bCs/>
          <w:color w:val="1F2A44"/>
          <w:sz w:val="24"/>
          <w:szCs w:val="24"/>
        </w:rPr>
        <w:t>/sectors/investment-firms</w:t>
      </w:r>
    </w:p>
    <w:p w14:paraId="5F006420" w14:textId="77777777" w:rsidR="0042576C" w:rsidRDefault="00000000">
      <w:pPr>
        <w:spacing w:before="120" w:after="40"/>
      </w:pPr>
      <w:r>
        <w:rPr>
          <w:b/>
          <w:bCs/>
          <w:color w:val="9C7A2E"/>
          <w:sz w:val="19"/>
          <w:szCs w:val="19"/>
        </w:rPr>
        <w:t>New hook (FR)</w:t>
      </w:r>
    </w:p>
    <w:p w14:paraId="2D0E095A" w14:textId="77777777" w:rsidR="0042576C" w:rsidRPr="003D1A4A" w:rsidRDefault="00000000">
      <w:pPr>
        <w:pBdr>
          <w:left w:val="single" w:sz="18" w:space="12" w:color="9C7A2E"/>
        </w:pBdr>
        <w:spacing w:after="160"/>
        <w:ind w:left="200"/>
        <w:rPr>
          <w:lang w:val="fr-CA"/>
        </w:rPr>
      </w:pPr>
      <w:r w:rsidRPr="003D1A4A">
        <w:rPr>
          <w:i/>
          <w:iCs/>
          <w:sz w:val="21"/>
          <w:szCs w:val="21"/>
          <w:lang w:val="fr-CA"/>
        </w:rPr>
        <w:t>Voici comment la méthode s'appliquerait à une firme de placement. La question de la résidence des données et de la traçabilité revient tôt ou tard — un terrain où je vois un vrai besoin de rigueur documentaire, sans ralentir vos opérations ni s'installer plus longtemps que nécessaire.</w:t>
      </w:r>
    </w:p>
    <w:p w14:paraId="0E89807D" w14:textId="77777777" w:rsidR="0042576C" w:rsidRDefault="00000000">
      <w:pPr>
        <w:spacing w:before="120" w:after="40"/>
      </w:pPr>
      <w:r>
        <w:rPr>
          <w:b/>
          <w:bCs/>
          <w:color w:val="9C7A2E"/>
          <w:sz w:val="19"/>
          <w:szCs w:val="19"/>
        </w:rPr>
        <w:t>Reassurance line to add near the guardrail paragraph (FR)</w:t>
      </w:r>
    </w:p>
    <w:p w14:paraId="4C12F721" w14:textId="77777777" w:rsidR="0042576C" w:rsidRPr="003D1A4A" w:rsidRDefault="00000000">
      <w:pPr>
        <w:pBdr>
          <w:left w:val="single" w:sz="18" w:space="12" w:color="9C7A2E"/>
        </w:pBdr>
        <w:spacing w:after="160"/>
        <w:ind w:left="200"/>
        <w:rPr>
          <w:lang w:val="fr-CA"/>
        </w:rPr>
      </w:pPr>
      <w:r w:rsidRPr="003D1A4A">
        <w:rPr>
          <w:i/>
          <w:iCs/>
          <w:sz w:val="21"/>
          <w:szCs w:val="21"/>
          <w:lang w:val="fr-CA"/>
        </w:rPr>
        <w:t>Le mandat est borné dans le temps dès le départ : la méthode répond à une question précise, puis se retire.</w:t>
      </w:r>
    </w:p>
    <w:p w14:paraId="0E9F7DEA" w14:textId="77777777" w:rsidR="0042576C" w:rsidRPr="003D1A4A" w:rsidRDefault="0042576C">
      <w:pPr>
        <w:pBdr>
          <w:bottom w:val="single" w:sz="6" w:space="4" w:color="CCCCCC"/>
        </w:pBdr>
        <w:spacing w:before="300" w:after="300"/>
        <w:rPr>
          <w:lang w:val="fr-CA"/>
        </w:rPr>
      </w:pPr>
    </w:p>
    <w:p w14:paraId="17AE3414" w14:textId="77777777" w:rsidR="0042576C" w:rsidRDefault="00000000">
      <w:pPr>
        <w:pStyle w:val="Titre1"/>
        <w:spacing w:before="400" w:after="200"/>
      </w:pPr>
      <w:r>
        <w:rPr>
          <w:b/>
          <w:bCs/>
          <w:color w:val="1F2A44"/>
          <w:sz w:val="30"/>
          <w:szCs w:val="30"/>
        </w:rPr>
        <w:t>3. Pricing — add to the Diagnostic service page</w:t>
      </w:r>
    </w:p>
    <w:p w14:paraId="1110B457" w14:textId="77777777" w:rsidR="0042576C" w:rsidRDefault="00000000">
      <w:pPr>
        <w:spacing w:after="160"/>
      </w:pPr>
      <w:r>
        <w:rPr>
          <w:sz w:val="22"/>
          <w:szCs w:val="22"/>
        </w:rPr>
        <w:t>Please add visible pricing to /services/diagnostic (or wherever the service detail lives). Two tiers: standard, and a reduced rate for nonprofits. Exact copy below.</w:t>
      </w:r>
    </w:p>
    <w:p w14:paraId="48E3359D" w14:textId="77777777" w:rsidR="0042576C" w:rsidRDefault="00000000">
      <w:pPr>
        <w:spacing w:before="120" w:after="40"/>
      </w:pPr>
      <w:r>
        <w:rPr>
          <w:b/>
          <w:bCs/>
          <w:color w:val="9C7A2E"/>
          <w:sz w:val="19"/>
          <w:szCs w:val="19"/>
        </w:rPr>
        <w:t>Standard tier — PME and regulated professions (FR)</w:t>
      </w:r>
    </w:p>
    <w:p w14:paraId="4F8C90DD" w14:textId="77777777" w:rsidR="0042576C" w:rsidRPr="003D1A4A" w:rsidRDefault="00000000">
      <w:pPr>
        <w:pBdr>
          <w:left w:val="single" w:sz="18" w:space="12" w:color="9C7A2E"/>
        </w:pBdr>
        <w:spacing w:after="160"/>
        <w:ind w:left="200"/>
        <w:rPr>
          <w:lang w:val="fr-CA"/>
        </w:rPr>
      </w:pPr>
      <w:r w:rsidRPr="003D1A4A">
        <w:rPr>
          <w:i/>
          <w:iCs/>
          <w:sz w:val="21"/>
          <w:szCs w:val="21"/>
          <w:lang w:val="fr-CA"/>
        </w:rPr>
        <w:t>Le diagnostic se situe entre 3 000 $ et 6 000 $, selon la taille de votre organisation — précisé après l'appel initial.</w:t>
      </w:r>
    </w:p>
    <w:p w14:paraId="5E9E5D67" w14:textId="77777777" w:rsidR="0042576C" w:rsidRPr="003D1A4A" w:rsidRDefault="00000000">
      <w:pPr>
        <w:spacing w:before="120" w:after="40"/>
        <w:rPr>
          <w:lang w:val="fr-CA"/>
        </w:rPr>
      </w:pPr>
      <w:r w:rsidRPr="003D1A4A">
        <w:rPr>
          <w:b/>
          <w:bCs/>
          <w:color w:val="9C7A2E"/>
          <w:sz w:val="19"/>
          <w:szCs w:val="19"/>
          <w:lang w:val="fr-CA"/>
        </w:rPr>
        <w:t>Nonprofit tier — OBNL (FR)</w:t>
      </w:r>
    </w:p>
    <w:p w14:paraId="7C722091" w14:textId="77777777" w:rsidR="0042576C" w:rsidRPr="003D1A4A" w:rsidRDefault="00000000">
      <w:pPr>
        <w:pBdr>
          <w:left w:val="single" w:sz="18" w:space="12" w:color="9C7A2E"/>
        </w:pBdr>
        <w:spacing w:after="160"/>
        <w:ind w:left="200"/>
        <w:rPr>
          <w:lang w:val="fr-CA"/>
        </w:rPr>
      </w:pPr>
      <w:r w:rsidRPr="003D1A4A">
        <w:rPr>
          <w:i/>
          <w:iCs/>
          <w:sz w:val="21"/>
          <w:szCs w:val="21"/>
          <w:lang w:val="fr-CA"/>
        </w:rPr>
        <w:t>Un tarif réduit s'applique aux OBNL, entre 1 500 $ et 3 000 $, parce que ce sont des milieux où Orée choisit délibérément d'investir.</w:t>
      </w:r>
    </w:p>
    <w:p w14:paraId="415846F3" w14:textId="77777777" w:rsidR="0042576C" w:rsidRDefault="00000000">
      <w:pPr>
        <w:spacing w:after="160"/>
      </w:pPr>
      <w:r>
        <w:rPr>
          <w:sz w:val="22"/>
          <w:szCs w:val="22"/>
        </w:rPr>
        <w:t>Both are still framed as ranges confirmed after the intro call, not fixed public quotes — please keep both phrased as estimates, not final prices.</w:t>
      </w:r>
    </w:p>
    <w:p w14:paraId="72A69DE2" w14:textId="77777777" w:rsidR="0042576C" w:rsidRDefault="0042576C">
      <w:pPr>
        <w:pBdr>
          <w:bottom w:val="single" w:sz="6" w:space="4" w:color="CCCCCC"/>
        </w:pBdr>
        <w:spacing w:before="300" w:after="300"/>
      </w:pPr>
    </w:p>
    <w:p w14:paraId="7D03DD7C" w14:textId="77777777" w:rsidR="0042576C" w:rsidRPr="003D1A4A" w:rsidRDefault="00000000">
      <w:pPr>
        <w:pStyle w:val="Titre1"/>
        <w:spacing w:before="400" w:after="200"/>
        <w:rPr>
          <w:lang w:val="fr-CA"/>
        </w:rPr>
      </w:pPr>
      <w:r w:rsidRPr="003D1A4A">
        <w:rPr>
          <w:b/>
          <w:bCs/>
          <w:color w:val="1F2A44"/>
          <w:sz w:val="30"/>
          <w:szCs w:val="30"/>
          <w:lang w:val="fr-CA"/>
        </w:rPr>
        <w:t>4. Bio update — "Une praticienne, Vingt-sept ans"</w:t>
      </w:r>
    </w:p>
    <w:p w14:paraId="1854DDF4" w14:textId="77777777" w:rsidR="0042576C" w:rsidRDefault="00000000">
      <w:pPr>
        <w:spacing w:after="160"/>
      </w:pPr>
      <w:r>
        <w:rPr>
          <w:sz w:val="22"/>
          <w:szCs w:val="22"/>
        </w:rPr>
        <w:t xml:space="preserve">Please remove every named employer (Fonds de </w:t>
      </w:r>
      <w:proofErr w:type="spellStart"/>
      <w:r>
        <w:rPr>
          <w:sz w:val="22"/>
          <w:szCs w:val="22"/>
        </w:rPr>
        <w:t>solidarité</w:t>
      </w:r>
      <w:proofErr w:type="spellEnd"/>
      <w:r>
        <w:rPr>
          <w:sz w:val="22"/>
          <w:szCs w:val="22"/>
        </w:rPr>
        <w:t xml:space="preserve"> FTQ, Bell, Bombardier, CGI, Banque Nationale, Université de Montréal as an employer) from the bio, on both the homepage and /approach. Replace with the industry-focused text below — no company names anywhere in this section. This also removes the need for the "not clients" disclaimer line, since there's nothing left to misread as a client list.</w:t>
      </w:r>
    </w:p>
    <w:p w14:paraId="0AD38F85" w14:textId="77777777" w:rsidR="0042576C" w:rsidRDefault="00000000">
      <w:pPr>
        <w:pStyle w:val="Titre2"/>
        <w:spacing w:before="320" w:after="140"/>
      </w:pPr>
      <w:r>
        <w:rPr>
          <w:b/>
          <w:bCs/>
          <w:color w:val="1F2A44"/>
          <w:sz w:val="24"/>
          <w:szCs w:val="24"/>
        </w:rPr>
        <w:t>Homepage — short bio block</w:t>
      </w:r>
    </w:p>
    <w:p w14:paraId="7135856E" w14:textId="77777777" w:rsidR="0042576C" w:rsidRDefault="00000000">
      <w:pPr>
        <w:spacing w:before="120" w:after="40"/>
      </w:pPr>
      <w:r>
        <w:rPr>
          <w:b/>
          <w:bCs/>
          <w:color w:val="9C7A2E"/>
          <w:sz w:val="19"/>
          <w:szCs w:val="19"/>
        </w:rPr>
        <w:t>Replace with (FR)</w:t>
      </w:r>
    </w:p>
    <w:p w14:paraId="2D4CBBEE" w14:textId="77777777" w:rsidR="0042576C" w:rsidRPr="003D1A4A" w:rsidRDefault="00000000">
      <w:pPr>
        <w:pBdr>
          <w:left w:val="single" w:sz="18" w:space="12" w:color="9C7A2E"/>
        </w:pBdr>
        <w:spacing w:after="160"/>
        <w:ind w:left="200"/>
        <w:rPr>
          <w:lang w:val="fr-CA"/>
        </w:rPr>
      </w:pPr>
      <w:r w:rsidRPr="003D1A4A">
        <w:rPr>
          <w:i/>
          <w:iCs/>
          <w:sz w:val="21"/>
          <w:szCs w:val="21"/>
          <w:lang w:val="fr-CA"/>
        </w:rPr>
        <w:t>Orée, c'est la pratique d'Aminata Diabaté — vingt-sept ans de méthodologie, d'optimisation de processus, de gestion du changement et de conformité réglementaire, au cœur des services financiers, des télécommunications, de l'industrie et du secteur public québécois. Vous travaillez directement avec elle. Pas de gestionnaire de compte, pas de transfert de dossier, pas de consultant junior qui apprend votre dossier à vos frais.</w:t>
      </w:r>
    </w:p>
    <w:p w14:paraId="73D273BF" w14:textId="77777777" w:rsidR="0042576C" w:rsidRDefault="00000000">
      <w:pPr>
        <w:pStyle w:val="Titre2"/>
        <w:spacing w:before="320" w:after="140"/>
      </w:pPr>
      <w:r>
        <w:rPr>
          <w:b/>
          <w:bCs/>
          <w:color w:val="1F2A44"/>
          <w:sz w:val="24"/>
          <w:szCs w:val="24"/>
        </w:rPr>
        <w:t>/</w:t>
      </w:r>
      <w:proofErr w:type="gramStart"/>
      <w:r>
        <w:rPr>
          <w:b/>
          <w:bCs/>
          <w:color w:val="1F2A44"/>
          <w:sz w:val="24"/>
          <w:szCs w:val="24"/>
        </w:rPr>
        <w:t>approach</w:t>
      </w:r>
      <w:proofErr w:type="gramEnd"/>
      <w:r>
        <w:rPr>
          <w:b/>
          <w:bCs/>
          <w:color w:val="1F2A44"/>
          <w:sz w:val="24"/>
          <w:szCs w:val="24"/>
        </w:rPr>
        <w:t xml:space="preserve"> — full bio paragraphs, and remove the "</w:t>
      </w:r>
      <w:proofErr w:type="spellStart"/>
      <w:r>
        <w:rPr>
          <w:b/>
          <w:bCs/>
          <w:color w:val="1F2A44"/>
          <w:sz w:val="24"/>
          <w:szCs w:val="24"/>
        </w:rPr>
        <w:t>Parcours</w:t>
      </w:r>
      <w:proofErr w:type="spellEnd"/>
      <w:r>
        <w:rPr>
          <w:b/>
          <w:bCs/>
          <w:color w:val="1F2A44"/>
          <w:sz w:val="24"/>
          <w:szCs w:val="24"/>
        </w:rPr>
        <w:t>" bullet list</w:t>
      </w:r>
    </w:p>
    <w:p w14:paraId="6BAF61DE" w14:textId="77777777" w:rsidR="0042576C" w:rsidRDefault="00000000">
      <w:pPr>
        <w:spacing w:after="160"/>
      </w:pPr>
      <w:r>
        <w:rPr>
          <w:sz w:val="22"/>
          <w:szCs w:val="22"/>
        </w:rPr>
        <w:t>Also remove the bulleted "</w:t>
      </w:r>
      <w:proofErr w:type="spellStart"/>
      <w:r>
        <w:rPr>
          <w:sz w:val="22"/>
          <w:szCs w:val="22"/>
        </w:rPr>
        <w:t>Parcours</w:t>
      </w:r>
      <w:proofErr w:type="spellEnd"/>
      <w:r>
        <w:rPr>
          <w:sz w:val="22"/>
          <w:szCs w:val="22"/>
        </w:rPr>
        <w:t>" list (the one with company name + sector tag) and the "not clients" line below it — this new text replaces both.</w:t>
      </w:r>
    </w:p>
    <w:p w14:paraId="424A68AD" w14:textId="77777777" w:rsidR="0042576C" w:rsidRPr="003D1A4A" w:rsidRDefault="00000000">
      <w:pPr>
        <w:spacing w:before="120" w:after="40"/>
        <w:rPr>
          <w:lang w:val="fr-CA"/>
        </w:rPr>
      </w:pPr>
      <w:r w:rsidRPr="003D1A4A">
        <w:rPr>
          <w:b/>
          <w:bCs/>
          <w:color w:val="9C7A2E"/>
          <w:sz w:val="19"/>
          <w:szCs w:val="19"/>
          <w:lang w:val="fr-CA"/>
        </w:rPr>
        <w:t>Replace with (FR)</w:t>
      </w:r>
    </w:p>
    <w:p w14:paraId="3B9E8565" w14:textId="77777777" w:rsidR="0042576C" w:rsidRPr="003D1A4A" w:rsidRDefault="00000000">
      <w:pPr>
        <w:pBdr>
          <w:left w:val="single" w:sz="18" w:space="12" w:color="9C7A2E"/>
        </w:pBdr>
        <w:spacing w:after="160"/>
        <w:ind w:left="200"/>
        <w:rPr>
          <w:lang w:val="fr-CA"/>
        </w:rPr>
      </w:pPr>
      <w:r w:rsidRPr="003D1A4A">
        <w:rPr>
          <w:i/>
          <w:iCs/>
          <w:sz w:val="21"/>
          <w:szCs w:val="21"/>
          <w:lang w:val="fr-CA"/>
        </w:rPr>
        <w:t>Vingt-sept ans à l'intérieur d'organisations complexes m'ont appris à reconnaître un changement de grande ampleur, peu importe sa forme. Dans une grande institution financière, j'ai vécu de l'intérieur l'appropriation de l'IA — ses risques, ses résistances, ses angles morts —, piloté un dossier de gestion documentaire pour le département de la conformité en plein cœur des obligations de la Loi 25, et mené un projet d'optimisation des contrats fournisseurs avec la méthodologie Lean. Chez un grand joueur industriel, j'ai passé quatre ans comme consultante en gestion du changement, appliquant la méthodologie Prosci/ADKAR sur un mandat majeur. En télécommunications, en services-conseils et dans le secteur public et parapublic québécois, ce sont d'autres transformations qui m'ont formée.</w:t>
      </w:r>
    </w:p>
    <w:p w14:paraId="4B7057A5" w14:textId="77777777" w:rsidR="0042576C" w:rsidRPr="003D1A4A" w:rsidRDefault="00000000">
      <w:pPr>
        <w:pBdr>
          <w:left w:val="single" w:sz="18" w:space="12" w:color="9C7A2E"/>
        </w:pBdr>
        <w:spacing w:after="160"/>
        <w:ind w:left="200"/>
        <w:rPr>
          <w:lang w:val="fr-CA"/>
        </w:rPr>
      </w:pPr>
      <w:r w:rsidRPr="003D1A4A">
        <w:rPr>
          <w:i/>
          <w:iCs/>
          <w:sz w:val="21"/>
          <w:szCs w:val="21"/>
          <w:lang w:val="fr-CA"/>
        </w:rPr>
        <w:t>Cette pratique s'ancre dans une formation en économie et sciences politiques à l'Université de Montréal, et dans des cadres reconnus, appliqués sur le terrain : la méthodologie ADKAR en gestion du changement, une base solide en Lean Six Sigma, et deux certifications professionnelles — Business Relationship Management Professional (BRMP) et Management of Portfolio (MoP), Fondations et Praticien. C'est cette double expérience, vécue sur le terrain et structurée par la méthode, qui a nourri la conception d'O·R·É·E.</w:t>
      </w:r>
    </w:p>
    <w:p w14:paraId="2FDF3A9F" w14:textId="77777777" w:rsidR="0042576C" w:rsidRDefault="00000000">
      <w:pPr>
        <w:pStyle w:val="Titre2"/>
        <w:spacing w:before="320" w:after="140"/>
      </w:pPr>
      <w:r>
        <w:rPr>
          <w:b/>
          <w:bCs/>
          <w:color w:val="1F2A44"/>
          <w:sz w:val="24"/>
          <w:szCs w:val="24"/>
        </w:rPr>
        <w:t xml:space="preserve">/services/training (Formation </w:t>
      </w:r>
      <w:proofErr w:type="spellStart"/>
      <w:r>
        <w:rPr>
          <w:b/>
          <w:bCs/>
          <w:color w:val="1F2A44"/>
          <w:sz w:val="24"/>
          <w:szCs w:val="24"/>
        </w:rPr>
        <w:t>Orée</w:t>
      </w:r>
      <w:proofErr w:type="spellEnd"/>
      <w:r>
        <w:rPr>
          <w:b/>
          <w:bCs/>
          <w:color w:val="1F2A44"/>
          <w:sz w:val="24"/>
          <w:szCs w:val="24"/>
        </w:rPr>
        <w:t>) — add one line on teaching credentials</w:t>
      </w:r>
    </w:p>
    <w:p w14:paraId="21D8ABE6" w14:textId="77777777" w:rsidR="0042576C" w:rsidRDefault="00000000">
      <w:pPr>
        <w:spacing w:after="160"/>
      </w:pPr>
      <w:r>
        <w:rPr>
          <w:sz w:val="22"/>
          <w:szCs w:val="22"/>
        </w:rPr>
        <w:t>This ties the training service to an actual pedagogy credential, once the page is translated to French.</w:t>
      </w:r>
    </w:p>
    <w:p w14:paraId="10474AA2" w14:textId="77777777" w:rsidR="0042576C" w:rsidRPr="003D1A4A" w:rsidRDefault="00000000">
      <w:pPr>
        <w:spacing w:before="120" w:after="40"/>
        <w:rPr>
          <w:lang w:val="fr-CA"/>
        </w:rPr>
      </w:pPr>
      <w:r w:rsidRPr="003D1A4A">
        <w:rPr>
          <w:b/>
          <w:bCs/>
          <w:color w:val="9C7A2E"/>
          <w:sz w:val="19"/>
          <w:szCs w:val="19"/>
          <w:lang w:val="fr-CA"/>
        </w:rPr>
        <w:t>Add (FR)</w:t>
      </w:r>
    </w:p>
    <w:p w14:paraId="1A06E58C" w14:textId="77777777" w:rsidR="0042576C" w:rsidRPr="003D1A4A" w:rsidRDefault="00000000">
      <w:pPr>
        <w:pBdr>
          <w:left w:val="single" w:sz="18" w:space="12" w:color="9C7A2E"/>
        </w:pBdr>
        <w:spacing w:after="160"/>
        <w:ind w:left="200"/>
        <w:rPr>
          <w:lang w:val="fr-CA"/>
        </w:rPr>
      </w:pPr>
      <w:r w:rsidRPr="003D1A4A">
        <w:rPr>
          <w:i/>
          <w:iCs/>
          <w:sz w:val="21"/>
          <w:szCs w:val="21"/>
          <w:lang w:val="fr-CA"/>
        </w:rPr>
        <w:t>La conception de Formation Orée s'appuie aussi sur une certification en pédagogie de niveau supérieur obtenue à Harvard.</w:t>
      </w:r>
    </w:p>
    <w:p w14:paraId="15A0E449" w14:textId="77777777" w:rsidR="0042576C" w:rsidRPr="003D1A4A" w:rsidRDefault="0042576C">
      <w:pPr>
        <w:pBdr>
          <w:bottom w:val="single" w:sz="6" w:space="4" w:color="CCCCCC"/>
        </w:pBdr>
        <w:spacing w:before="300" w:after="300"/>
        <w:rPr>
          <w:lang w:val="fr-CA"/>
        </w:rPr>
      </w:pPr>
    </w:p>
    <w:p w14:paraId="58626F61" w14:textId="77777777" w:rsidR="0042576C" w:rsidRDefault="00000000">
      <w:pPr>
        <w:pStyle w:val="Titre1"/>
        <w:spacing w:before="400" w:after="200"/>
      </w:pPr>
      <w:r>
        <w:rPr>
          <w:b/>
          <w:bCs/>
          <w:color w:val="1F2A44"/>
          <w:sz w:val="30"/>
          <w:szCs w:val="30"/>
        </w:rPr>
        <w:t>5. Facilitation credentials — two more additions</w:t>
      </w:r>
    </w:p>
    <w:p w14:paraId="5357B22E" w14:textId="77777777" w:rsidR="0042576C" w:rsidRDefault="00000000">
      <w:pPr>
        <w:spacing w:after="160"/>
      </w:pPr>
      <w:r>
        <w:rPr>
          <w:sz w:val="22"/>
          <w:szCs w:val="22"/>
        </w:rPr>
        <w:t xml:space="preserve">Two more real credentials to weave in, both tied to how the mandate is </w:t>
      </w:r>
      <w:proofErr w:type="gramStart"/>
      <w:r>
        <w:rPr>
          <w:sz w:val="22"/>
          <w:szCs w:val="22"/>
        </w:rPr>
        <w:t>actually delivered</w:t>
      </w:r>
      <w:proofErr w:type="gramEnd"/>
      <w:r>
        <w:rPr>
          <w:sz w:val="22"/>
          <w:szCs w:val="22"/>
        </w:rPr>
        <w:t>.</w:t>
      </w:r>
    </w:p>
    <w:p w14:paraId="665B75A9" w14:textId="77777777" w:rsidR="0042576C" w:rsidRDefault="00000000">
      <w:pPr>
        <w:pStyle w:val="Titre2"/>
        <w:spacing w:before="320" w:after="140"/>
      </w:pPr>
      <w:r>
        <w:rPr>
          <w:b/>
          <w:bCs/>
          <w:color w:val="1F2A44"/>
          <w:sz w:val="24"/>
          <w:szCs w:val="24"/>
        </w:rPr>
        <w:t>/services/diagnostic — the optional group workshop</w:t>
      </w:r>
    </w:p>
    <w:p w14:paraId="5DBDC443" w14:textId="77777777" w:rsidR="0042576C" w:rsidRDefault="00000000">
      <w:pPr>
        <w:spacing w:after="160"/>
      </w:pPr>
      <w:r>
        <w:rPr>
          <w:sz w:val="22"/>
          <w:szCs w:val="22"/>
        </w:rPr>
        <w:t>Near the mention of the optional group workshop, add a line naming the facilitation method used.</w:t>
      </w:r>
    </w:p>
    <w:p w14:paraId="541F1F72" w14:textId="77777777" w:rsidR="0042576C" w:rsidRPr="003D1A4A" w:rsidRDefault="00000000">
      <w:pPr>
        <w:spacing w:before="120" w:after="40"/>
        <w:rPr>
          <w:lang w:val="fr-CA"/>
        </w:rPr>
      </w:pPr>
      <w:r w:rsidRPr="003D1A4A">
        <w:rPr>
          <w:b/>
          <w:bCs/>
          <w:color w:val="9C7A2E"/>
          <w:sz w:val="19"/>
          <w:szCs w:val="19"/>
          <w:lang w:val="fr-CA"/>
        </w:rPr>
        <w:t>Add (FR)</w:t>
      </w:r>
    </w:p>
    <w:p w14:paraId="490641D7" w14:textId="77777777" w:rsidR="0042576C" w:rsidRPr="003D1A4A" w:rsidRDefault="00000000">
      <w:pPr>
        <w:pBdr>
          <w:left w:val="single" w:sz="18" w:space="12" w:color="9C7A2E"/>
        </w:pBdr>
        <w:spacing w:after="160"/>
        <w:ind w:left="200"/>
        <w:rPr>
          <w:lang w:val="fr-CA"/>
        </w:rPr>
      </w:pPr>
      <w:r w:rsidRPr="003D1A4A">
        <w:rPr>
          <w:i/>
          <w:iCs/>
          <w:sz w:val="21"/>
          <w:szCs w:val="21"/>
          <w:lang w:val="fr-CA"/>
        </w:rPr>
        <w:t>L'atelier de groupe optionnel s'appuie sur la méthode LEGO® Serious Play®, une approche de facilitation reconnue pour faire émerger les frictions que les entretiens seuls ne révèlent pas.</w:t>
      </w:r>
    </w:p>
    <w:p w14:paraId="10189E63" w14:textId="77777777" w:rsidR="0042576C" w:rsidRDefault="00000000">
      <w:pPr>
        <w:pStyle w:val="Titre2"/>
        <w:spacing w:before="320" w:after="140"/>
      </w:pPr>
      <w:r>
        <w:rPr>
          <w:b/>
          <w:bCs/>
          <w:color w:val="1F2A44"/>
          <w:sz w:val="24"/>
          <w:szCs w:val="24"/>
        </w:rPr>
        <w:t xml:space="preserve">Wherever "sur place </w:t>
      </w:r>
      <w:proofErr w:type="spellStart"/>
      <w:r>
        <w:rPr>
          <w:b/>
          <w:bCs/>
          <w:color w:val="1F2A44"/>
          <w:sz w:val="24"/>
          <w:szCs w:val="24"/>
        </w:rPr>
        <w:t>ou</w:t>
      </w:r>
      <w:proofErr w:type="spellEnd"/>
      <w:r>
        <w:rPr>
          <w:b/>
          <w:bCs/>
          <w:color w:val="1F2A44"/>
          <w:sz w:val="24"/>
          <w:szCs w:val="24"/>
        </w:rPr>
        <w:t xml:space="preserve"> à distance" appears (see section 1.3) — remote facilitation credential</w:t>
      </w:r>
    </w:p>
    <w:p w14:paraId="1B81082B" w14:textId="77777777" w:rsidR="0042576C" w:rsidRDefault="00000000">
      <w:pPr>
        <w:spacing w:after="160"/>
      </w:pPr>
      <w:r>
        <w:rPr>
          <w:sz w:val="22"/>
          <w:szCs w:val="22"/>
        </w:rPr>
        <w:t>Since the engagement can now happen remotely, add a short credibility line confirming remote delivery is a real, credentialed skill, not an afterthought. Best placed on /services/diagnostic, near the Format info-card or the process description.</w:t>
      </w:r>
    </w:p>
    <w:p w14:paraId="4023290C" w14:textId="77777777" w:rsidR="0042576C" w:rsidRPr="003D1A4A" w:rsidRDefault="00000000">
      <w:pPr>
        <w:spacing w:before="120" w:after="40"/>
        <w:rPr>
          <w:lang w:val="fr-CA"/>
        </w:rPr>
      </w:pPr>
      <w:r w:rsidRPr="003D1A4A">
        <w:rPr>
          <w:b/>
          <w:bCs/>
          <w:color w:val="9C7A2E"/>
          <w:sz w:val="19"/>
          <w:szCs w:val="19"/>
          <w:lang w:val="fr-CA"/>
        </w:rPr>
        <w:t>Add (FR)</w:t>
      </w:r>
    </w:p>
    <w:p w14:paraId="1FEA7985" w14:textId="77777777" w:rsidR="0042576C" w:rsidRPr="003D1A4A" w:rsidRDefault="00000000">
      <w:pPr>
        <w:pBdr>
          <w:left w:val="single" w:sz="18" w:space="12" w:color="9C7A2E"/>
        </w:pBdr>
        <w:spacing w:after="160"/>
        <w:ind w:left="200"/>
        <w:rPr>
          <w:lang w:val="fr-CA"/>
        </w:rPr>
      </w:pPr>
      <w:r w:rsidRPr="003D1A4A">
        <w:rPr>
          <w:i/>
          <w:iCs/>
          <w:sz w:val="21"/>
          <w:szCs w:val="21"/>
          <w:lang w:val="fr-CA"/>
        </w:rPr>
        <w:t>Que la rencontre se déroule sur place ou à distance, l'animation s'appuie sur une formation certifiée en facilitation de rencontres virtuelles.</w:t>
      </w:r>
    </w:p>
    <w:p w14:paraId="014493B9" w14:textId="77777777" w:rsidR="0042576C" w:rsidRPr="003D1A4A" w:rsidRDefault="0042576C">
      <w:pPr>
        <w:pBdr>
          <w:bottom w:val="single" w:sz="6" w:space="4" w:color="CCCCCC"/>
        </w:pBdr>
        <w:spacing w:before="300" w:after="300"/>
        <w:rPr>
          <w:lang w:val="fr-CA"/>
        </w:rPr>
      </w:pPr>
    </w:p>
    <w:p w14:paraId="3EE3E0B8" w14:textId="77777777" w:rsidR="0042576C" w:rsidRDefault="00000000">
      <w:pPr>
        <w:spacing w:before="240" w:after="40"/>
      </w:pPr>
      <w:r>
        <w:rPr>
          <w:b/>
          <w:bCs/>
          <w:color w:val="1F2A44"/>
          <w:sz w:val="19"/>
          <w:szCs w:val="19"/>
        </w:rPr>
        <w:t>Suggested order of work</w:t>
      </w:r>
    </w:p>
    <w:p w14:paraId="4730DBBF" w14:textId="77777777" w:rsidR="0042576C" w:rsidRDefault="00000000">
      <w:pPr>
        <w:spacing w:after="80"/>
      </w:pPr>
      <w:r>
        <w:rPr>
          <w:sz w:val="21"/>
          <w:szCs w:val="21"/>
        </w:rPr>
        <w:t>•  Section 0 first (confirm nothing is silently still in English)</w:t>
      </w:r>
    </w:p>
    <w:p w14:paraId="386AF8B7" w14:textId="77777777" w:rsidR="0042576C" w:rsidRDefault="00000000">
      <w:pPr>
        <w:spacing w:after="80"/>
      </w:pPr>
      <w:r>
        <w:rPr>
          <w:sz w:val="21"/>
          <w:szCs w:val="21"/>
        </w:rPr>
        <w:t>•  Section 3 next (pricing — highest business impact)</w:t>
      </w:r>
    </w:p>
    <w:p w14:paraId="7AD46582" w14:textId="77777777" w:rsidR="0042576C" w:rsidRDefault="00000000">
      <w:pPr>
        <w:spacing w:after="80"/>
      </w:pPr>
      <w:r>
        <w:rPr>
          <w:sz w:val="21"/>
          <w:szCs w:val="21"/>
        </w:rPr>
        <w:t>•  Section 4 next (bio accuracy — removes any overclaiming risk)</w:t>
      </w:r>
    </w:p>
    <w:p w14:paraId="4147350C" w14:textId="77777777" w:rsidR="0042576C" w:rsidRDefault="00000000">
      <w:pPr>
        <w:spacing w:after="80"/>
      </w:pPr>
      <w:r>
        <w:rPr>
          <w:sz w:val="21"/>
          <w:szCs w:val="21"/>
        </w:rPr>
        <w:t>•  Section 5 alongside section 4 (same page, same edit pass)</w:t>
      </w:r>
    </w:p>
    <w:p w14:paraId="63CADAE9" w14:textId="77777777" w:rsidR="0042576C" w:rsidRDefault="00000000">
      <w:pPr>
        <w:spacing w:after="80"/>
      </w:pPr>
      <w:r>
        <w:rPr>
          <w:sz w:val="21"/>
          <w:szCs w:val="21"/>
        </w:rPr>
        <w:t>•  Section 6 (new sector page) whenever there's room for a new page — not urgent, but fills a real gap</w:t>
      </w:r>
    </w:p>
    <w:p w14:paraId="783CF668" w14:textId="77777777" w:rsidR="0042576C" w:rsidRDefault="00000000">
      <w:pPr>
        <w:spacing w:after="80"/>
      </w:pPr>
      <w:r>
        <w:rPr>
          <w:sz w:val="21"/>
          <w:szCs w:val="21"/>
        </w:rPr>
        <w:t>•  Sections 1 and 2 (wording polish) whenever convenient</w:t>
      </w:r>
    </w:p>
    <w:p w14:paraId="55C5E4D9" w14:textId="77777777" w:rsidR="0042576C" w:rsidRDefault="0042576C">
      <w:pPr>
        <w:pBdr>
          <w:bottom w:val="single" w:sz="6" w:space="4" w:color="CCCCCC"/>
        </w:pBdr>
        <w:spacing w:before="300" w:after="300"/>
      </w:pPr>
    </w:p>
    <w:p w14:paraId="23E9366B" w14:textId="77777777" w:rsidR="0042576C" w:rsidRDefault="00000000">
      <w:pPr>
        <w:pStyle w:val="Titre1"/>
        <w:spacing w:before="400" w:after="200"/>
      </w:pPr>
      <w:r>
        <w:rPr>
          <w:b/>
          <w:bCs/>
          <w:color w:val="1F2A44"/>
          <w:sz w:val="30"/>
          <w:szCs w:val="30"/>
        </w:rPr>
        <w:t xml:space="preserve">6. New sector page — Small businesses ("Petites </w:t>
      </w:r>
      <w:proofErr w:type="spellStart"/>
      <w:r>
        <w:rPr>
          <w:b/>
          <w:bCs/>
          <w:color w:val="1F2A44"/>
          <w:sz w:val="30"/>
          <w:szCs w:val="30"/>
        </w:rPr>
        <w:t>entreprises</w:t>
      </w:r>
      <w:proofErr w:type="spellEnd"/>
      <w:r>
        <w:rPr>
          <w:b/>
          <w:bCs/>
          <w:color w:val="1F2A44"/>
          <w:sz w:val="30"/>
          <w:szCs w:val="30"/>
        </w:rPr>
        <w:t>")</w:t>
      </w:r>
    </w:p>
    <w:p w14:paraId="44D97BB1" w14:textId="77777777" w:rsidR="0042576C" w:rsidRDefault="00000000">
      <w:pPr>
        <w:spacing w:after="160"/>
      </w:pPr>
      <w:r>
        <w:rPr>
          <w:sz w:val="22"/>
          <w:szCs w:val="22"/>
        </w:rPr>
        <w:t xml:space="preserve">This is a real gap, not a nice-to-have: the site's own tagline says "PME et professions </w:t>
      </w:r>
      <w:proofErr w:type="spellStart"/>
      <w:r>
        <w:rPr>
          <w:sz w:val="22"/>
          <w:szCs w:val="22"/>
        </w:rPr>
        <w:t>réglementées</w:t>
      </w:r>
      <w:proofErr w:type="spellEnd"/>
      <w:r>
        <w:rPr>
          <w:sz w:val="22"/>
          <w:szCs w:val="22"/>
        </w:rPr>
        <w:t>," but the five existing sector pages are all regulated-profession niches. General small businesses — arguably the largest part of the target audience — only get a generic link to the /sectors overview, no dedicated page. Please add a sixth sector page, same template as the others (eyebrow, two-line H1, hook, "La situation" section, six info-cards, four starting points, three outcome blocks, guardrail line, standard diagnostic CTA). Suggested URL: /sectors/</w:t>
      </w:r>
      <w:proofErr w:type="gramStart"/>
      <w:r>
        <w:rPr>
          <w:sz w:val="22"/>
          <w:szCs w:val="22"/>
        </w:rPr>
        <w:t>small-business</w:t>
      </w:r>
      <w:proofErr w:type="gramEnd"/>
      <w:r>
        <w:rPr>
          <w:sz w:val="22"/>
          <w:szCs w:val="22"/>
        </w:rPr>
        <w:t>. Full copy below, French only for now — same as the others, it'll need an English pass later.</w:t>
      </w:r>
    </w:p>
    <w:p w14:paraId="666B0074" w14:textId="77777777" w:rsidR="0042576C" w:rsidRPr="003D1A4A" w:rsidRDefault="00000000">
      <w:pPr>
        <w:spacing w:before="120" w:after="40"/>
        <w:rPr>
          <w:lang w:val="fr-CA"/>
        </w:rPr>
      </w:pPr>
      <w:r w:rsidRPr="003D1A4A">
        <w:rPr>
          <w:b/>
          <w:bCs/>
          <w:color w:val="9C7A2E"/>
          <w:sz w:val="19"/>
          <w:szCs w:val="19"/>
          <w:lang w:val="fr-CA"/>
        </w:rPr>
        <w:t>Eyebrow</w:t>
      </w:r>
    </w:p>
    <w:p w14:paraId="31FD4319" w14:textId="77777777" w:rsidR="0042576C" w:rsidRPr="003D1A4A" w:rsidRDefault="00000000">
      <w:pPr>
        <w:pBdr>
          <w:left w:val="single" w:sz="18" w:space="12" w:color="9C7A2E"/>
        </w:pBdr>
        <w:spacing w:after="160"/>
        <w:ind w:left="200"/>
        <w:rPr>
          <w:lang w:val="fr-CA"/>
        </w:rPr>
      </w:pPr>
      <w:r w:rsidRPr="003D1A4A">
        <w:rPr>
          <w:i/>
          <w:iCs/>
          <w:sz w:val="21"/>
          <w:szCs w:val="21"/>
          <w:lang w:val="fr-CA"/>
        </w:rPr>
        <w:t>Secteur · Priorisation et ressources limitées</w:t>
      </w:r>
    </w:p>
    <w:p w14:paraId="5C03F191" w14:textId="77777777" w:rsidR="0042576C" w:rsidRPr="003D1A4A" w:rsidRDefault="00000000">
      <w:pPr>
        <w:spacing w:before="120" w:after="40"/>
        <w:rPr>
          <w:lang w:val="fr-CA"/>
        </w:rPr>
      </w:pPr>
      <w:r w:rsidRPr="003D1A4A">
        <w:rPr>
          <w:b/>
          <w:bCs/>
          <w:color w:val="9C7A2E"/>
          <w:sz w:val="19"/>
          <w:szCs w:val="19"/>
          <w:lang w:val="fr-CA"/>
        </w:rPr>
        <w:t>H1 (two lines)</w:t>
      </w:r>
    </w:p>
    <w:p w14:paraId="1E573F90" w14:textId="77777777" w:rsidR="0042576C" w:rsidRPr="003D1A4A" w:rsidRDefault="00000000">
      <w:pPr>
        <w:pBdr>
          <w:left w:val="single" w:sz="18" w:space="12" w:color="9C7A2E"/>
        </w:pBdr>
        <w:spacing w:after="160"/>
        <w:ind w:left="200"/>
        <w:rPr>
          <w:lang w:val="fr-CA"/>
        </w:rPr>
      </w:pPr>
      <w:r w:rsidRPr="003D1A4A">
        <w:rPr>
          <w:i/>
          <w:iCs/>
          <w:sz w:val="21"/>
          <w:szCs w:val="21"/>
          <w:lang w:val="fr-CA"/>
        </w:rPr>
        <w:t>Pour les petites entreprises / du Québec</w:t>
      </w:r>
    </w:p>
    <w:p w14:paraId="142E42C5" w14:textId="77777777" w:rsidR="0042576C" w:rsidRPr="003D1A4A" w:rsidRDefault="00000000">
      <w:pPr>
        <w:spacing w:before="120" w:after="40"/>
        <w:rPr>
          <w:lang w:val="fr-CA"/>
        </w:rPr>
      </w:pPr>
      <w:r w:rsidRPr="003D1A4A">
        <w:rPr>
          <w:b/>
          <w:bCs/>
          <w:color w:val="9C7A2E"/>
          <w:sz w:val="19"/>
          <w:szCs w:val="19"/>
          <w:lang w:val="fr-CA"/>
        </w:rPr>
        <w:t>Hook</w:t>
      </w:r>
    </w:p>
    <w:p w14:paraId="4DC42FAB" w14:textId="77777777" w:rsidR="0042576C" w:rsidRPr="003D1A4A" w:rsidRDefault="00000000">
      <w:pPr>
        <w:pBdr>
          <w:left w:val="single" w:sz="18" w:space="12" w:color="9C7A2E"/>
        </w:pBdr>
        <w:spacing w:after="160"/>
        <w:ind w:left="200"/>
        <w:rPr>
          <w:lang w:val="fr-CA"/>
        </w:rPr>
      </w:pPr>
      <w:r w:rsidRPr="003D1A4A">
        <w:rPr>
          <w:i/>
          <w:iCs/>
          <w:sz w:val="21"/>
          <w:szCs w:val="21"/>
          <w:lang w:val="fr-CA"/>
        </w:rPr>
        <w:t>Vous n'avez ni le temps ni le budget pour vous tromper d'outil. La question n'est pas si l'IA peut aider — c'est par où commencer, avec ce que vous avez déjà.</w:t>
      </w:r>
    </w:p>
    <w:p w14:paraId="7A65A47C" w14:textId="77777777" w:rsidR="0042576C" w:rsidRPr="003D1A4A" w:rsidRDefault="00000000">
      <w:pPr>
        <w:spacing w:before="120" w:after="40"/>
        <w:rPr>
          <w:lang w:val="fr-CA"/>
        </w:rPr>
      </w:pPr>
      <w:r w:rsidRPr="003D1A4A">
        <w:rPr>
          <w:b/>
          <w:bCs/>
          <w:color w:val="9C7A2E"/>
          <w:sz w:val="19"/>
          <w:szCs w:val="19"/>
          <w:lang w:val="fr-CA"/>
        </w:rPr>
        <w:t>La situation — three paragraphs</w:t>
      </w:r>
    </w:p>
    <w:p w14:paraId="2864226F" w14:textId="77777777" w:rsidR="0042576C" w:rsidRPr="003D1A4A" w:rsidRDefault="00000000">
      <w:pPr>
        <w:pBdr>
          <w:left w:val="single" w:sz="18" w:space="12" w:color="9C7A2E"/>
        </w:pBdr>
        <w:spacing w:after="160"/>
        <w:ind w:left="200"/>
        <w:rPr>
          <w:lang w:val="fr-CA"/>
        </w:rPr>
      </w:pPr>
      <w:r w:rsidRPr="003D1A4A">
        <w:rPr>
          <w:i/>
          <w:iCs/>
          <w:sz w:val="21"/>
          <w:szCs w:val="21"/>
          <w:lang w:val="fr-CA"/>
        </w:rPr>
        <w:t>Dans une petite entreprise, la même personne s'occupe des ventes, des horaires, de la facturation et de tout ce qui ne rentre nulle part ailleurs. Il n'y a pas de budget d'expérimentation ni de département TI à qui poser la question. On entend parler d'IA partout, mais rarement d'un exemple qui ressemble vraiment à ce que vous faites.</w:t>
      </w:r>
    </w:p>
    <w:p w14:paraId="2489B9B1" w14:textId="77777777" w:rsidR="0042576C" w:rsidRPr="003D1A4A" w:rsidRDefault="00000000">
      <w:pPr>
        <w:pBdr>
          <w:left w:val="single" w:sz="18" w:space="12" w:color="9C7A2E"/>
        </w:pBdr>
        <w:spacing w:after="160"/>
        <w:ind w:left="200"/>
        <w:rPr>
          <w:lang w:val="fr-CA"/>
        </w:rPr>
      </w:pPr>
      <w:r w:rsidRPr="003D1A4A">
        <w:rPr>
          <w:i/>
          <w:iCs/>
          <w:sz w:val="21"/>
          <w:szCs w:val="21"/>
          <w:lang w:val="fr-CA"/>
        </w:rPr>
        <w:t>Pendant ce temps, les grandes entreprises adoptent l'IA deux fois plus vite que les plus petites — un écart de départ qui se creuse, pas qui se referme. Et un mauvais essai d'outil coûte plus cher à une petite structure : le temps perdu ne se rattrape pas aussi facilement.</w:t>
      </w:r>
    </w:p>
    <w:p w14:paraId="52A58C13" w14:textId="77777777" w:rsidR="0042576C" w:rsidRPr="003D1A4A" w:rsidRDefault="00000000">
      <w:pPr>
        <w:pBdr>
          <w:left w:val="single" w:sz="18" w:space="12" w:color="9C7A2E"/>
        </w:pBdr>
        <w:spacing w:after="160"/>
        <w:ind w:left="200"/>
        <w:rPr>
          <w:lang w:val="fr-CA"/>
        </w:rPr>
      </w:pPr>
      <w:r w:rsidRPr="003D1A4A">
        <w:rPr>
          <w:i/>
          <w:iCs/>
          <w:sz w:val="21"/>
          <w:szCs w:val="21"/>
          <w:lang w:val="fr-CA"/>
        </w:rPr>
        <w:t>La voie à suivre n'est pas d'acheter un outil et de voir ce qui se passe. C'est de comprendre d'abord où le travail ralentit vraiment, avant d'engager quoi que ce soit.</w:t>
      </w:r>
    </w:p>
    <w:p w14:paraId="33FB8766" w14:textId="77777777" w:rsidR="0042576C" w:rsidRPr="003D1A4A" w:rsidRDefault="00000000">
      <w:pPr>
        <w:spacing w:before="120" w:after="40"/>
        <w:rPr>
          <w:lang w:val="fr-CA"/>
        </w:rPr>
      </w:pPr>
      <w:r w:rsidRPr="003D1A4A">
        <w:rPr>
          <w:b/>
          <w:bCs/>
          <w:color w:val="9C7A2E"/>
          <w:sz w:val="19"/>
          <w:szCs w:val="19"/>
          <w:lang w:val="fr-CA"/>
        </w:rPr>
        <w:t>Info cards — six</w:t>
      </w:r>
    </w:p>
    <w:p w14:paraId="53862D5E" w14:textId="77777777" w:rsidR="0042576C" w:rsidRPr="003D1A4A" w:rsidRDefault="00000000">
      <w:pPr>
        <w:pBdr>
          <w:left w:val="single" w:sz="18" w:space="12" w:color="9C7A2E"/>
        </w:pBdr>
        <w:spacing w:after="160"/>
        <w:ind w:left="200"/>
        <w:rPr>
          <w:lang w:val="fr-CA"/>
        </w:rPr>
      </w:pPr>
      <w:r w:rsidRPr="003D1A4A">
        <w:rPr>
          <w:i/>
          <w:iCs/>
          <w:sz w:val="21"/>
          <w:szCs w:val="21"/>
          <w:lang w:val="fr-CA"/>
        </w:rPr>
        <w:t>Cadre — Priorisation avant l'achat d'outils</w:t>
      </w:r>
    </w:p>
    <w:p w14:paraId="5D875CC4" w14:textId="77777777" w:rsidR="0042576C" w:rsidRPr="003D1A4A" w:rsidRDefault="00000000">
      <w:pPr>
        <w:pBdr>
          <w:left w:val="single" w:sz="18" w:space="12" w:color="9C7A2E"/>
        </w:pBdr>
        <w:spacing w:after="160"/>
        <w:ind w:left="200"/>
        <w:rPr>
          <w:lang w:val="fr-CA"/>
        </w:rPr>
      </w:pPr>
      <w:r w:rsidRPr="003D1A4A">
        <w:rPr>
          <w:i/>
          <w:iCs/>
          <w:sz w:val="21"/>
          <w:szCs w:val="21"/>
          <w:lang w:val="fr-CA"/>
        </w:rPr>
        <w:t>S'applique aussi — Loi 25</w:t>
      </w:r>
    </w:p>
    <w:p w14:paraId="2CFEC171" w14:textId="77777777" w:rsidR="0042576C" w:rsidRPr="003D1A4A" w:rsidRDefault="00000000">
      <w:pPr>
        <w:pBdr>
          <w:left w:val="single" w:sz="18" w:space="12" w:color="9C7A2E"/>
        </w:pBdr>
        <w:spacing w:after="160"/>
        <w:ind w:left="200"/>
        <w:rPr>
          <w:lang w:val="fr-CA"/>
        </w:rPr>
      </w:pPr>
      <w:r w:rsidRPr="003D1A4A">
        <w:rPr>
          <w:i/>
          <w:iCs/>
          <w:sz w:val="21"/>
          <w:szCs w:val="21"/>
          <w:lang w:val="fr-CA"/>
        </w:rPr>
        <w:t>Enjeu central — Ressources et temps limités</w:t>
      </w:r>
    </w:p>
    <w:p w14:paraId="444FD7A7" w14:textId="77777777" w:rsidR="0042576C" w:rsidRPr="003D1A4A" w:rsidRDefault="00000000">
      <w:pPr>
        <w:pBdr>
          <w:left w:val="single" w:sz="18" w:space="12" w:color="9C7A2E"/>
        </w:pBdr>
        <w:spacing w:after="160"/>
        <w:ind w:left="200"/>
        <w:rPr>
          <w:lang w:val="fr-CA"/>
        </w:rPr>
      </w:pPr>
      <w:r w:rsidRPr="003D1A4A">
        <w:rPr>
          <w:i/>
          <w:iCs/>
          <w:sz w:val="21"/>
          <w:szCs w:val="21"/>
          <w:lang w:val="fr-CA"/>
        </w:rPr>
        <w:t>Point de départ — La tâche la plus répétitive de la semaine</w:t>
      </w:r>
    </w:p>
    <w:p w14:paraId="46110612" w14:textId="77777777" w:rsidR="0042576C" w:rsidRPr="003D1A4A" w:rsidRDefault="00000000">
      <w:pPr>
        <w:pBdr>
          <w:left w:val="single" w:sz="18" w:space="12" w:color="9C7A2E"/>
        </w:pBdr>
        <w:spacing w:after="160"/>
        <w:ind w:left="200"/>
        <w:rPr>
          <w:lang w:val="fr-CA"/>
        </w:rPr>
      </w:pPr>
      <w:r w:rsidRPr="003D1A4A">
        <w:rPr>
          <w:i/>
          <w:iCs/>
          <w:sz w:val="21"/>
          <w:szCs w:val="21"/>
          <w:lang w:val="fr-CA"/>
        </w:rPr>
        <w:t>Constat typique — Trop d'outils essayés, aucun adopté</w:t>
      </w:r>
    </w:p>
    <w:p w14:paraId="1622C9AB" w14:textId="77777777" w:rsidR="0042576C" w:rsidRPr="003D1A4A" w:rsidRDefault="00000000">
      <w:pPr>
        <w:pBdr>
          <w:left w:val="single" w:sz="18" w:space="12" w:color="9C7A2E"/>
        </w:pBdr>
        <w:spacing w:after="160"/>
        <w:ind w:left="200"/>
        <w:rPr>
          <w:lang w:val="fr-CA"/>
        </w:rPr>
      </w:pPr>
      <w:r w:rsidRPr="003D1A4A">
        <w:rPr>
          <w:i/>
          <w:iCs/>
          <w:sz w:val="21"/>
          <w:szCs w:val="21"/>
          <w:lang w:val="fr-CA"/>
        </w:rPr>
        <w:t>Jamais touché — Les décisions finales restent à vous</w:t>
      </w:r>
    </w:p>
    <w:p w14:paraId="4F9F5287" w14:textId="77777777" w:rsidR="0042576C" w:rsidRDefault="00000000">
      <w:pPr>
        <w:spacing w:before="120" w:after="40"/>
      </w:pPr>
      <w:r>
        <w:rPr>
          <w:b/>
          <w:bCs/>
          <w:color w:val="9C7A2E"/>
          <w:sz w:val="19"/>
          <w:szCs w:val="19"/>
        </w:rPr>
        <w:t xml:space="preserve">Points de </w:t>
      </w:r>
      <w:proofErr w:type="spellStart"/>
      <w:r>
        <w:rPr>
          <w:b/>
          <w:bCs/>
          <w:color w:val="9C7A2E"/>
          <w:sz w:val="19"/>
          <w:szCs w:val="19"/>
        </w:rPr>
        <w:t>départ</w:t>
      </w:r>
      <w:proofErr w:type="spellEnd"/>
      <w:r>
        <w:rPr>
          <w:b/>
          <w:bCs/>
          <w:color w:val="9C7A2E"/>
          <w:sz w:val="19"/>
          <w:szCs w:val="19"/>
        </w:rPr>
        <w:t xml:space="preserve"> — four, each with a title, one line, and a timing tag</w:t>
      </w:r>
    </w:p>
    <w:p w14:paraId="2E2DE1BB" w14:textId="77777777" w:rsidR="0042576C" w:rsidRPr="003D1A4A" w:rsidRDefault="00000000">
      <w:pPr>
        <w:pBdr>
          <w:left w:val="single" w:sz="18" w:space="12" w:color="9C7A2E"/>
        </w:pBdr>
        <w:spacing w:after="160"/>
        <w:ind w:left="200"/>
        <w:rPr>
          <w:lang w:val="fr-CA"/>
        </w:rPr>
      </w:pPr>
      <w:r w:rsidRPr="003D1A4A">
        <w:rPr>
          <w:i/>
          <w:iCs/>
          <w:sz w:val="21"/>
          <w:szCs w:val="21"/>
          <w:lang w:val="fr-CA"/>
        </w:rPr>
        <w:t>01 · La tâche répétitive qui mange le plus de temps — Identifier la tâche hebdomadaire la plus chronophage et la moins stratégique, souvent de la saisie, du classement ou de la rédaction répétitive, et vérifier si l'IA peut vraiment l'alléger. (Habituellement en premier)</w:t>
      </w:r>
    </w:p>
    <w:p w14:paraId="313990DC" w14:textId="77777777" w:rsidR="0042576C" w:rsidRPr="003D1A4A" w:rsidRDefault="00000000">
      <w:pPr>
        <w:pBdr>
          <w:left w:val="single" w:sz="18" w:space="12" w:color="9C7A2E"/>
        </w:pBdr>
        <w:spacing w:after="160"/>
        <w:ind w:left="200"/>
        <w:rPr>
          <w:lang w:val="fr-CA"/>
        </w:rPr>
      </w:pPr>
      <w:r w:rsidRPr="003D1A4A">
        <w:rPr>
          <w:i/>
          <w:iCs/>
          <w:sz w:val="21"/>
          <w:szCs w:val="21"/>
          <w:lang w:val="fr-CA"/>
        </w:rPr>
        <w:t>02 · Le tri de l'information — Retrouver rapidement une réponse dans vos documents, contrats ou courriels, sans tout relire à chaque fois. (Tôt)</w:t>
      </w:r>
    </w:p>
    <w:p w14:paraId="08771E2B" w14:textId="77777777" w:rsidR="0042576C" w:rsidRPr="003D1A4A" w:rsidRDefault="00000000">
      <w:pPr>
        <w:pBdr>
          <w:left w:val="single" w:sz="18" w:space="12" w:color="9C7A2E"/>
        </w:pBdr>
        <w:spacing w:after="160"/>
        <w:ind w:left="200"/>
        <w:rPr>
          <w:lang w:val="fr-CA"/>
        </w:rPr>
      </w:pPr>
      <w:r w:rsidRPr="003D1A4A">
        <w:rPr>
          <w:i/>
          <w:iCs/>
          <w:sz w:val="21"/>
          <w:szCs w:val="21"/>
          <w:lang w:val="fr-CA"/>
        </w:rPr>
        <w:t>03 · Les premiers jets de communication — Réponses aux clients, descriptions de produits, publications : un premier jet généré, toujours révisé avant l'envoi. (Une fois les bases en place)</w:t>
      </w:r>
    </w:p>
    <w:p w14:paraId="5CCD0DB8" w14:textId="77777777" w:rsidR="0042576C" w:rsidRPr="003D1A4A" w:rsidRDefault="00000000">
      <w:pPr>
        <w:pBdr>
          <w:left w:val="single" w:sz="18" w:space="12" w:color="9C7A2E"/>
        </w:pBdr>
        <w:spacing w:after="160"/>
        <w:ind w:left="200"/>
        <w:rPr>
          <w:lang w:val="fr-CA"/>
        </w:rPr>
      </w:pPr>
      <w:r w:rsidRPr="003D1A4A">
        <w:rPr>
          <w:i/>
          <w:iCs/>
          <w:sz w:val="21"/>
          <w:szCs w:val="21"/>
          <w:lang w:val="fr-CA"/>
        </w:rPr>
        <w:t>04 · Les bases à respecter — Vérifier ce que la Loi 25 exige déjà de vous, même à petite échelle, et s'assurer que rien de nouveau ne vous met en tort. (En continu)</w:t>
      </w:r>
    </w:p>
    <w:p w14:paraId="41942B3A" w14:textId="77777777" w:rsidR="0042576C" w:rsidRPr="003D1A4A" w:rsidRDefault="00000000">
      <w:pPr>
        <w:spacing w:before="120" w:after="40"/>
        <w:rPr>
          <w:lang w:val="fr-CA"/>
        </w:rPr>
      </w:pPr>
      <w:r w:rsidRPr="003D1A4A">
        <w:rPr>
          <w:b/>
          <w:bCs/>
          <w:color w:val="9C7A2E"/>
          <w:sz w:val="19"/>
          <w:szCs w:val="19"/>
          <w:lang w:val="fr-CA"/>
        </w:rPr>
        <w:t>Ce qui change — three outcome blocks</w:t>
      </w:r>
    </w:p>
    <w:p w14:paraId="6C4B32AC" w14:textId="77777777" w:rsidR="0042576C" w:rsidRPr="003D1A4A" w:rsidRDefault="00000000">
      <w:pPr>
        <w:pBdr>
          <w:left w:val="single" w:sz="18" w:space="12" w:color="9C7A2E"/>
        </w:pBdr>
        <w:spacing w:after="160"/>
        <w:ind w:left="200"/>
        <w:rPr>
          <w:lang w:val="fr-CA"/>
        </w:rPr>
      </w:pPr>
      <w:r w:rsidRPr="003D1A4A">
        <w:rPr>
          <w:i/>
          <w:iCs/>
          <w:sz w:val="21"/>
          <w:szCs w:val="21"/>
          <w:lang w:val="fr-CA"/>
        </w:rPr>
        <w:t>Un point de départ clair, pas dix essais — Vous savez par où commencer, avec un plan chiffré plutôt qu'une liste d'outils à essayer un par un.</w:t>
      </w:r>
    </w:p>
    <w:p w14:paraId="1BE3F230" w14:textId="77777777" w:rsidR="0042576C" w:rsidRPr="003D1A4A" w:rsidRDefault="00000000">
      <w:pPr>
        <w:pBdr>
          <w:left w:val="single" w:sz="18" w:space="12" w:color="9C7A2E"/>
        </w:pBdr>
        <w:spacing w:after="160"/>
        <w:ind w:left="200"/>
        <w:rPr>
          <w:lang w:val="fr-CA"/>
        </w:rPr>
      </w:pPr>
      <w:r w:rsidRPr="003D1A4A">
        <w:rPr>
          <w:i/>
          <w:iCs/>
          <w:sz w:val="21"/>
          <w:szCs w:val="21"/>
          <w:lang w:val="fr-CA"/>
        </w:rPr>
        <w:t>Du temps redonné, pas remplacé — Les heures récupérées vont vers ce qui fait avancer l'entreprise, pas vers l'apprentissage d'un nouvel outil compliqué.</w:t>
      </w:r>
    </w:p>
    <w:p w14:paraId="12CEDF1A" w14:textId="77777777" w:rsidR="0042576C" w:rsidRPr="003D1A4A" w:rsidRDefault="00000000">
      <w:pPr>
        <w:pBdr>
          <w:left w:val="single" w:sz="18" w:space="12" w:color="9C7A2E"/>
        </w:pBdr>
        <w:spacing w:after="160"/>
        <w:ind w:left="200"/>
        <w:rPr>
          <w:lang w:val="fr-CA"/>
        </w:rPr>
      </w:pPr>
      <w:r w:rsidRPr="003D1A4A">
        <w:rPr>
          <w:i/>
          <w:iCs/>
          <w:sz w:val="21"/>
          <w:szCs w:val="21"/>
          <w:lang w:val="fr-CA"/>
        </w:rPr>
        <w:t>Rien d'imposé, rien d'installé sans vous — Le mandat reste borné : vous gardez le contrôle de ce qui est adopté et de ce qui ne l'est pas.</w:t>
      </w:r>
    </w:p>
    <w:p w14:paraId="25519CBF" w14:textId="77777777" w:rsidR="0042576C" w:rsidRPr="003D1A4A" w:rsidRDefault="00000000">
      <w:pPr>
        <w:spacing w:before="120" w:after="40"/>
        <w:rPr>
          <w:lang w:val="fr-CA"/>
        </w:rPr>
      </w:pPr>
      <w:r w:rsidRPr="003D1A4A">
        <w:rPr>
          <w:b/>
          <w:bCs/>
          <w:color w:val="9C7A2E"/>
          <w:sz w:val="19"/>
          <w:szCs w:val="19"/>
          <w:lang w:val="fr-CA"/>
        </w:rPr>
        <w:t>Guardrail line</w:t>
      </w:r>
    </w:p>
    <w:p w14:paraId="46F71CFC" w14:textId="77777777" w:rsidR="0042576C" w:rsidRPr="003D1A4A" w:rsidRDefault="00000000">
      <w:pPr>
        <w:pBdr>
          <w:left w:val="single" w:sz="18" w:space="12" w:color="9C7A2E"/>
        </w:pBdr>
        <w:spacing w:after="160"/>
        <w:ind w:left="200"/>
        <w:rPr>
          <w:lang w:val="fr-CA"/>
        </w:rPr>
      </w:pPr>
      <w:r w:rsidRPr="003D1A4A">
        <w:rPr>
          <w:i/>
          <w:iCs/>
          <w:sz w:val="21"/>
          <w:szCs w:val="21"/>
          <w:lang w:val="fr-CA"/>
        </w:rPr>
        <w:t>Orée ne vend aucun outil et ne touche aucune commission de ceux qui en vendent — la recommandation reste indépendante, peu importe la taille de l'entreprise.</w:t>
      </w:r>
    </w:p>
    <w:p w14:paraId="111FC1F9" w14:textId="77777777" w:rsidR="0042576C" w:rsidRDefault="00000000">
      <w:pPr>
        <w:spacing w:after="160"/>
      </w:pPr>
      <w:r>
        <w:rPr>
          <w:sz w:val="22"/>
          <w:szCs w:val="22"/>
        </w:rPr>
        <w:t>CTA block: reuse the standard "</w:t>
      </w:r>
      <w:proofErr w:type="spellStart"/>
      <w:r>
        <w:rPr>
          <w:sz w:val="22"/>
          <w:szCs w:val="22"/>
        </w:rPr>
        <w:t>Réservez</w:t>
      </w:r>
      <w:proofErr w:type="spellEnd"/>
      <w:r>
        <w:rPr>
          <w:sz w:val="22"/>
          <w:szCs w:val="22"/>
        </w:rPr>
        <w:t xml:space="preserve"> </w:t>
      </w:r>
      <w:proofErr w:type="spellStart"/>
      <w:r>
        <w:rPr>
          <w:sz w:val="22"/>
          <w:szCs w:val="22"/>
        </w:rPr>
        <w:t>votre</w:t>
      </w:r>
      <w:proofErr w:type="spellEnd"/>
      <w:r>
        <w:rPr>
          <w:sz w:val="22"/>
          <w:szCs w:val="22"/>
        </w:rPr>
        <w:t xml:space="preserve"> diagnostic </w:t>
      </w:r>
      <w:proofErr w:type="spellStart"/>
      <w:r>
        <w:rPr>
          <w:sz w:val="22"/>
          <w:szCs w:val="22"/>
        </w:rPr>
        <w:t>Orée</w:t>
      </w:r>
      <w:proofErr w:type="spellEnd"/>
      <w:r>
        <w:rPr>
          <w:sz w:val="22"/>
          <w:szCs w:val="22"/>
        </w:rPr>
        <w:t>" block used on every other sector page. Standard pricing tier applies here (3 000 $–6 000 $) — the reduced OBNL tier does not.</w:t>
      </w:r>
    </w:p>
    <w:p w14:paraId="0A611972" w14:textId="77777777" w:rsidR="0042576C" w:rsidRDefault="0042576C">
      <w:pPr>
        <w:pBdr>
          <w:bottom w:val="single" w:sz="6" w:space="4" w:color="CCCCCC"/>
        </w:pBdr>
        <w:spacing w:before="300" w:after="300"/>
      </w:pPr>
    </w:p>
    <w:p w14:paraId="4A19CF6E" w14:textId="77777777" w:rsidR="0042576C" w:rsidRDefault="00000000">
      <w:pPr>
        <w:spacing w:before="240" w:after="40"/>
      </w:pPr>
      <w:r>
        <w:rPr>
          <w:b/>
          <w:bCs/>
          <w:color w:val="1F6B1F"/>
          <w:sz w:val="19"/>
          <w:szCs w:val="19"/>
        </w:rPr>
        <w:t>7. Nonprofits sector page — reference only, already live</w:t>
      </w:r>
    </w:p>
    <w:p w14:paraId="5B377E75" w14:textId="77777777" w:rsidR="0042576C" w:rsidRDefault="00000000">
      <w:pPr>
        <w:spacing w:after="160"/>
      </w:pPr>
      <w:r>
        <w:rPr>
          <w:sz w:val="22"/>
          <w:szCs w:val="22"/>
        </w:rPr>
        <w:t>This one is already implemented at /sectors/nonprofits — included here for completeness, so the full set of sector pages lives in one document. No action needed unless something below doesn't match what's currently live.</w:t>
      </w:r>
    </w:p>
    <w:p w14:paraId="7AFB43FD" w14:textId="77777777" w:rsidR="0042576C" w:rsidRPr="003D1A4A" w:rsidRDefault="00000000">
      <w:pPr>
        <w:spacing w:before="120" w:after="40"/>
        <w:rPr>
          <w:lang w:val="fr-CA"/>
        </w:rPr>
      </w:pPr>
      <w:r w:rsidRPr="003D1A4A">
        <w:rPr>
          <w:b/>
          <w:bCs/>
          <w:color w:val="9C7A2E"/>
          <w:sz w:val="19"/>
          <w:szCs w:val="19"/>
          <w:lang w:val="fr-CA"/>
        </w:rPr>
        <w:t>Eyebrow</w:t>
      </w:r>
    </w:p>
    <w:p w14:paraId="146C39EC" w14:textId="77777777" w:rsidR="0042576C" w:rsidRPr="003D1A4A" w:rsidRDefault="00000000">
      <w:pPr>
        <w:pBdr>
          <w:left w:val="single" w:sz="18" w:space="12" w:color="9C7A2E"/>
        </w:pBdr>
        <w:spacing w:after="160"/>
        <w:ind w:left="200"/>
        <w:rPr>
          <w:lang w:val="fr-CA"/>
        </w:rPr>
      </w:pPr>
      <w:r w:rsidRPr="003D1A4A">
        <w:rPr>
          <w:i/>
          <w:iCs/>
          <w:sz w:val="21"/>
          <w:szCs w:val="21"/>
          <w:lang w:val="fr-CA"/>
        </w:rPr>
        <w:t>Secteur · Obligations envers les bailleurs et gouvernance</w:t>
      </w:r>
    </w:p>
    <w:p w14:paraId="16F6D3B3" w14:textId="77777777" w:rsidR="0042576C" w:rsidRPr="003D1A4A" w:rsidRDefault="00000000">
      <w:pPr>
        <w:spacing w:before="120" w:after="40"/>
        <w:rPr>
          <w:lang w:val="fr-CA"/>
        </w:rPr>
      </w:pPr>
      <w:r w:rsidRPr="003D1A4A">
        <w:rPr>
          <w:b/>
          <w:bCs/>
          <w:color w:val="9C7A2E"/>
          <w:sz w:val="19"/>
          <w:szCs w:val="19"/>
          <w:lang w:val="fr-CA"/>
        </w:rPr>
        <w:t>H1 (two lines)</w:t>
      </w:r>
    </w:p>
    <w:p w14:paraId="16244003" w14:textId="77777777" w:rsidR="0042576C" w:rsidRPr="003D1A4A" w:rsidRDefault="00000000">
      <w:pPr>
        <w:pBdr>
          <w:left w:val="single" w:sz="18" w:space="12" w:color="9C7A2E"/>
        </w:pBdr>
        <w:spacing w:after="160"/>
        <w:ind w:left="200"/>
        <w:rPr>
          <w:lang w:val="fr-CA"/>
        </w:rPr>
      </w:pPr>
      <w:r w:rsidRPr="003D1A4A">
        <w:rPr>
          <w:i/>
          <w:iCs/>
          <w:sz w:val="21"/>
          <w:szCs w:val="21"/>
          <w:lang w:val="fr-CA"/>
        </w:rPr>
        <w:t>Pour les OBNL / du Québec</w:t>
      </w:r>
    </w:p>
    <w:p w14:paraId="07B87F98" w14:textId="77777777" w:rsidR="0042576C" w:rsidRPr="003D1A4A" w:rsidRDefault="00000000">
      <w:pPr>
        <w:spacing w:before="120" w:after="40"/>
        <w:rPr>
          <w:lang w:val="fr-CA"/>
        </w:rPr>
      </w:pPr>
      <w:r w:rsidRPr="003D1A4A">
        <w:rPr>
          <w:b/>
          <w:bCs/>
          <w:color w:val="9C7A2E"/>
          <w:sz w:val="19"/>
          <w:szCs w:val="19"/>
          <w:lang w:val="fr-CA"/>
        </w:rPr>
        <w:t>Hook</w:t>
      </w:r>
    </w:p>
    <w:p w14:paraId="4C03AF27" w14:textId="77777777" w:rsidR="0042576C" w:rsidRPr="003D1A4A" w:rsidRDefault="00000000">
      <w:pPr>
        <w:pBdr>
          <w:left w:val="single" w:sz="18" w:space="12" w:color="9C7A2E"/>
        </w:pBdr>
        <w:spacing w:after="160"/>
        <w:ind w:left="200"/>
        <w:rPr>
          <w:lang w:val="fr-CA"/>
        </w:rPr>
      </w:pPr>
      <w:r w:rsidRPr="003D1A4A">
        <w:rPr>
          <w:i/>
          <w:iCs/>
          <w:sz w:val="21"/>
          <w:szCs w:val="21"/>
          <w:lang w:val="fr-CA"/>
        </w:rPr>
        <w:t>La mission passe en premier, mais c'est la paperasse derrière elle qui use discrètement l'équipe. La question n'est pas si l'IA peut aider — c'est ce qu'un petit organisme peut adopter sans risquer la confiance sur laquelle il repose.</w:t>
      </w:r>
    </w:p>
    <w:p w14:paraId="44634934" w14:textId="77777777" w:rsidR="0042576C" w:rsidRPr="003D1A4A" w:rsidRDefault="00000000">
      <w:pPr>
        <w:spacing w:before="120" w:after="40"/>
        <w:rPr>
          <w:lang w:val="fr-CA"/>
        </w:rPr>
      </w:pPr>
      <w:r w:rsidRPr="003D1A4A">
        <w:rPr>
          <w:b/>
          <w:bCs/>
          <w:color w:val="9C7A2E"/>
          <w:sz w:val="19"/>
          <w:szCs w:val="19"/>
          <w:lang w:val="fr-CA"/>
        </w:rPr>
        <w:t>La situation — three paragraphs</w:t>
      </w:r>
    </w:p>
    <w:p w14:paraId="2FFC2828" w14:textId="77777777" w:rsidR="0042576C" w:rsidRPr="003D1A4A" w:rsidRDefault="00000000">
      <w:pPr>
        <w:pBdr>
          <w:left w:val="single" w:sz="18" w:space="12" w:color="9C7A2E"/>
        </w:pBdr>
        <w:spacing w:after="160"/>
        <w:ind w:left="200"/>
        <w:rPr>
          <w:lang w:val="fr-CA"/>
        </w:rPr>
      </w:pPr>
      <w:r w:rsidRPr="003D1A4A">
        <w:rPr>
          <w:i/>
          <w:iCs/>
          <w:sz w:val="21"/>
          <w:szCs w:val="21"/>
          <w:lang w:val="fr-CA"/>
        </w:rPr>
        <w:t>Un OBNL d'un à dix employés n'a presque jamais de poste dédié à la technologie. La direction générale rédige le rapport de subvention, répond aux donateurs, participe à l'embauche et fait tourner les programmes — souvent le même après-midi. Il n'y a personne à qui demander si un outil est sécuritaire.</w:t>
      </w:r>
    </w:p>
    <w:p w14:paraId="779D5F51" w14:textId="77777777" w:rsidR="0042576C" w:rsidRPr="003D1A4A" w:rsidRDefault="00000000">
      <w:pPr>
        <w:pBdr>
          <w:left w:val="single" w:sz="18" w:space="12" w:color="9C7A2E"/>
        </w:pBdr>
        <w:spacing w:after="160"/>
        <w:ind w:left="200"/>
        <w:rPr>
          <w:lang w:val="fr-CA"/>
        </w:rPr>
      </w:pPr>
      <w:r w:rsidRPr="003D1A4A">
        <w:rPr>
          <w:i/>
          <w:iCs/>
          <w:sz w:val="21"/>
          <w:szCs w:val="21"/>
          <w:lang w:val="fr-CA"/>
        </w:rPr>
        <w:t>En même temps, chaque bailleur veut son propre format, selon son propre échéancier, et les donateurs s'attendent à ce que leurs renseignements soient traités avec autant de soin qu'une institution financière. Un raccourci qui fait gagner un après-midi mais qui abîme cette confiance coûte plus cher qu'il ne rapporte.</w:t>
      </w:r>
    </w:p>
    <w:p w14:paraId="6B5EAFFE" w14:textId="77777777" w:rsidR="0042576C" w:rsidRPr="003D1A4A" w:rsidRDefault="00000000">
      <w:pPr>
        <w:pBdr>
          <w:left w:val="single" w:sz="18" w:space="12" w:color="9C7A2E"/>
        </w:pBdr>
        <w:spacing w:after="160"/>
        <w:ind w:left="200"/>
        <w:rPr>
          <w:lang w:val="fr-CA"/>
        </w:rPr>
      </w:pPr>
      <w:r w:rsidRPr="003D1A4A">
        <w:rPr>
          <w:i/>
          <w:iCs/>
          <w:sz w:val="21"/>
          <w:szCs w:val="21"/>
          <w:lang w:val="fr-CA"/>
        </w:rPr>
        <w:t>La voie à suivre n'est pas d'automatiser la mission — c'est d'automatiser ce qui l'entoure : la paperasse, les formats répétés, le registre que personne n'a le temps de tenir à jour.</w:t>
      </w:r>
    </w:p>
    <w:p w14:paraId="2A928FFF" w14:textId="77777777" w:rsidR="0042576C" w:rsidRPr="003D1A4A" w:rsidRDefault="00000000">
      <w:pPr>
        <w:spacing w:before="120" w:after="40"/>
        <w:rPr>
          <w:lang w:val="fr-CA"/>
        </w:rPr>
      </w:pPr>
      <w:r w:rsidRPr="003D1A4A">
        <w:rPr>
          <w:b/>
          <w:bCs/>
          <w:color w:val="9C7A2E"/>
          <w:sz w:val="19"/>
          <w:szCs w:val="19"/>
          <w:lang w:val="fr-CA"/>
        </w:rPr>
        <w:t>Info cards — six</w:t>
      </w:r>
    </w:p>
    <w:p w14:paraId="53AAF2B1" w14:textId="77777777" w:rsidR="0042576C" w:rsidRPr="003D1A4A" w:rsidRDefault="00000000">
      <w:pPr>
        <w:pBdr>
          <w:left w:val="single" w:sz="18" w:space="12" w:color="9C7A2E"/>
        </w:pBdr>
        <w:spacing w:after="160"/>
        <w:ind w:left="200"/>
        <w:rPr>
          <w:lang w:val="fr-CA"/>
        </w:rPr>
      </w:pPr>
      <w:r w:rsidRPr="003D1A4A">
        <w:rPr>
          <w:i/>
          <w:iCs/>
          <w:sz w:val="21"/>
          <w:szCs w:val="21"/>
          <w:lang w:val="fr-CA"/>
        </w:rPr>
        <w:t>Cadre — Reddition de comptes aux bailleurs</w:t>
      </w:r>
    </w:p>
    <w:p w14:paraId="602D4DF6" w14:textId="77777777" w:rsidR="0042576C" w:rsidRPr="003D1A4A" w:rsidRDefault="00000000">
      <w:pPr>
        <w:pBdr>
          <w:left w:val="single" w:sz="18" w:space="12" w:color="9C7A2E"/>
        </w:pBdr>
        <w:spacing w:after="160"/>
        <w:ind w:left="200"/>
        <w:rPr>
          <w:lang w:val="fr-CA"/>
        </w:rPr>
      </w:pPr>
      <w:r w:rsidRPr="003D1A4A">
        <w:rPr>
          <w:i/>
          <w:iCs/>
          <w:sz w:val="21"/>
          <w:szCs w:val="21"/>
          <w:lang w:val="fr-CA"/>
        </w:rPr>
        <w:t>S'applique aussi — Loi 25</w:t>
      </w:r>
    </w:p>
    <w:p w14:paraId="4514B228" w14:textId="77777777" w:rsidR="0042576C" w:rsidRPr="003D1A4A" w:rsidRDefault="00000000">
      <w:pPr>
        <w:pBdr>
          <w:left w:val="single" w:sz="18" w:space="12" w:color="9C7A2E"/>
        </w:pBdr>
        <w:spacing w:after="160"/>
        <w:ind w:left="200"/>
        <w:rPr>
          <w:lang w:val="fr-CA"/>
        </w:rPr>
      </w:pPr>
      <w:r w:rsidRPr="003D1A4A">
        <w:rPr>
          <w:i/>
          <w:iCs/>
          <w:sz w:val="21"/>
          <w:szCs w:val="21"/>
          <w:lang w:val="fr-CA"/>
        </w:rPr>
        <w:t>Enjeu central — Données des donateurs et bénéficiaires</w:t>
      </w:r>
    </w:p>
    <w:p w14:paraId="46036F90" w14:textId="77777777" w:rsidR="0042576C" w:rsidRPr="003D1A4A" w:rsidRDefault="00000000">
      <w:pPr>
        <w:pBdr>
          <w:left w:val="single" w:sz="18" w:space="12" w:color="9C7A2E"/>
        </w:pBdr>
        <w:spacing w:after="160"/>
        <w:ind w:left="200"/>
        <w:rPr>
          <w:lang w:val="fr-CA"/>
        </w:rPr>
      </w:pPr>
      <w:r w:rsidRPr="003D1A4A">
        <w:rPr>
          <w:i/>
          <w:iCs/>
          <w:sz w:val="21"/>
          <w:szCs w:val="21"/>
          <w:lang w:val="fr-CA"/>
        </w:rPr>
        <w:t>Point de départ — Rapports et demandes de subvention</w:t>
      </w:r>
    </w:p>
    <w:p w14:paraId="0CDBC8A6" w14:textId="77777777" w:rsidR="0042576C" w:rsidRPr="003D1A4A" w:rsidRDefault="00000000">
      <w:pPr>
        <w:pBdr>
          <w:left w:val="single" w:sz="18" w:space="12" w:color="9C7A2E"/>
        </w:pBdr>
        <w:spacing w:after="160"/>
        <w:ind w:left="200"/>
        <w:rPr>
          <w:lang w:val="fr-CA"/>
        </w:rPr>
      </w:pPr>
      <w:r w:rsidRPr="003D1A4A">
        <w:rPr>
          <w:i/>
          <w:iCs/>
          <w:sz w:val="21"/>
          <w:szCs w:val="21"/>
          <w:lang w:val="fr-CA"/>
        </w:rPr>
        <w:t>Constat typique — Une seule personne porte tout</w:t>
      </w:r>
    </w:p>
    <w:p w14:paraId="66AD39E8" w14:textId="77777777" w:rsidR="0042576C" w:rsidRPr="003D1A4A" w:rsidRDefault="00000000">
      <w:pPr>
        <w:pBdr>
          <w:left w:val="single" w:sz="18" w:space="12" w:color="9C7A2E"/>
        </w:pBdr>
        <w:spacing w:after="160"/>
        <w:ind w:left="200"/>
        <w:rPr>
          <w:lang w:val="fr-CA"/>
        </w:rPr>
      </w:pPr>
      <w:r w:rsidRPr="003D1A4A">
        <w:rPr>
          <w:i/>
          <w:iCs/>
          <w:sz w:val="21"/>
          <w:szCs w:val="21"/>
          <w:lang w:val="fr-CA"/>
        </w:rPr>
        <w:t>Jamais touché — L'admissibilité à l'aide</w:t>
      </w:r>
    </w:p>
    <w:p w14:paraId="1E935C90" w14:textId="77777777" w:rsidR="0042576C" w:rsidRPr="003D1A4A" w:rsidRDefault="00000000">
      <w:pPr>
        <w:spacing w:before="120" w:after="40"/>
        <w:rPr>
          <w:lang w:val="fr-CA"/>
        </w:rPr>
      </w:pPr>
      <w:r w:rsidRPr="003D1A4A">
        <w:rPr>
          <w:b/>
          <w:bCs/>
          <w:color w:val="9C7A2E"/>
          <w:sz w:val="19"/>
          <w:szCs w:val="19"/>
          <w:lang w:val="fr-CA"/>
        </w:rPr>
        <w:t>Points de départ — four, each with a title, one line, and a timing tag</w:t>
      </w:r>
    </w:p>
    <w:p w14:paraId="1652CDA4" w14:textId="77777777" w:rsidR="0042576C" w:rsidRPr="003D1A4A" w:rsidRDefault="00000000">
      <w:pPr>
        <w:pBdr>
          <w:left w:val="single" w:sz="18" w:space="12" w:color="9C7A2E"/>
        </w:pBdr>
        <w:spacing w:after="160"/>
        <w:ind w:left="200"/>
        <w:rPr>
          <w:lang w:val="fr-CA"/>
        </w:rPr>
      </w:pPr>
      <w:r w:rsidRPr="003D1A4A">
        <w:rPr>
          <w:i/>
          <w:iCs/>
          <w:sz w:val="21"/>
          <w:szCs w:val="21"/>
          <w:lang w:val="fr-CA"/>
        </w:rPr>
        <w:t>01 · Rapports et demandes de subvention — Les sections narratives récurrentes, les tableaux budgétaires et les résumés de résultats que chaque bailleur redemande à chaque cycle, rédigés à partir de vos rapports antérieurs et révisés avant l'envoi. (Habituellement en premier)</w:t>
      </w:r>
    </w:p>
    <w:p w14:paraId="01A7D171" w14:textId="77777777" w:rsidR="0042576C" w:rsidRPr="003D1A4A" w:rsidRDefault="00000000">
      <w:pPr>
        <w:pBdr>
          <w:left w:val="single" w:sz="18" w:space="12" w:color="9C7A2E"/>
        </w:pBdr>
        <w:spacing w:after="160"/>
        <w:ind w:left="200"/>
        <w:rPr>
          <w:lang w:val="fr-CA"/>
        </w:rPr>
      </w:pPr>
      <w:r w:rsidRPr="003D1A4A">
        <w:rPr>
          <w:i/>
          <w:iCs/>
          <w:sz w:val="21"/>
          <w:szCs w:val="21"/>
          <w:lang w:val="fr-CA"/>
        </w:rPr>
        <w:t>02 · Dossiers de donateurs et de bénévoles — Nettoyer et organiser les listes éparpillées entre chiffriers, courriels et la mémoire de quelqu'un, pour que l'information soit utilisable et que les obligations de la Loi 25 qui s'y rattachent soient traçables. (Tôt)</w:t>
      </w:r>
    </w:p>
    <w:p w14:paraId="1E1A8CC2" w14:textId="77777777" w:rsidR="0042576C" w:rsidRPr="003D1A4A" w:rsidRDefault="00000000">
      <w:pPr>
        <w:pBdr>
          <w:left w:val="single" w:sz="18" w:space="12" w:color="9C7A2E"/>
        </w:pBdr>
        <w:spacing w:after="160"/>
        <w:ind w:left="200"/>
        <w:rPr>
          <w:lang w:val="fr-CA"/>
        </w:rPr>
      </w:pPr>
      <w:r w:rsidRPr="003D1A4A">
        <w:rPr>
          <w:i/>
          <w:iCs/>
          <w:sz w:val="21"/>
          <w:szCs w:val="21"/>
          <w:lang w:val="fr-CA"/>
        </w:rPr>
        <w:t>03 · Correspondance avec donateurs et partenaires — Premiers jets de lettres de remerciement, d'infolettres et de courriels aux partenaires. Le travail de volume, pas la relation elle-même. (Une fois les bases en place)</w:t>
      </w:r>
    </w:p>
    <w:p w14:paraId="7B96A47F" w14:textId="77777777" w:rsidR="0042576C" w:rsidRPr="003D1A4A" w:rsidRDefault="00000000">
      <w:pPr>
        <w:pBdr>
          <w:left w:val="single" w:sz="18" w:space="12" w:color="9C7A2E"/>
        </w:pBdr>
        <w:spacing w:after="160"/>
        <w:ind w:left="200"/>
        <w:rPr>
          <w:lang w:val="fr-CA"/>
        </w:rPr>
      </w:pPr>
      <w:r w:rsidRPr="003D1A4A">
        <w:rPr>
          <w:i/>
          <w:iCs/>
          <w:sz w:val="21"/>
          <w:szCs w:val="21"/>
          <w:lang w:val="fr-CA"/>
        </w:rPr>
        <w:t>04 · Registres de gouvernance — Politiques, registre des conflits d'intérêts, et la documentation Loi 25 dont le conseil d'administration est ultimement responsable, tenue à jour plutôt qu'assemblée à la hâte avant une réunion. (En continu)</w:t>
      </w:r>
    </w:p>
    <w:p w14:paraId="5D31A66A" w14:textId="77777777" w:rsidR="0042576C" w:rsidRPr="003D1A4A" w:rsidRDefault="00000000">
      <w:pPr>
        <w:spacing w:before="120" w:after="40"/>
        <w:rPr>
          <w:lang w:val="fr-CA"/>
        </w:rPr>
      </w:pPr>
      <w:r w:rsidRPr="003D1A4A">
        <w:rPr>
          <w:b/>
          <w:bCs/>
          <w:color w:val="9C7A2E"/>
          <w:sz w:val="19"/>
          <w:szCs w:val="19"/>
          <w:lang w:val="fr-CA"/>
        </w:rPr>
        <w:t>Ce qui change — three outcome blocks</w:t>
      </w:r>
    </w:p>
    <w:p w14:paraId="54CA25EB" w14:textId="77777777" w:rsidR="0042576C" w:rsidRPr="003D1A4A" w:rsidRDefault="00000000">
      <w:pPr>
        <w:pBdr>
          <w:left w:val="single" w:sz="18" w:space="12" w:color="9C7A2E"/>
        </w:pBdr>
        <w:spacing w:after="160"/>
        <w:ind w:left="200"/>
        <w:rPr>
          <w:lang w:val="fr-CA"/>
        </w:rPr>
      </w:pPr>
      <w:r w:rsidRPr="003D1A4A">
        <w:rPr>
          <w:i/>
          <w:iCs/>
          <w:sz w:val="21"/>
          <w:szCs w:val="21"/>
          <w:lang w:val="fr-CA"/>
        </w:rPr>
        <w:t>Du temps rendu à la personne qui n'en a pas — Les heures récupérées viennent de la paperasse autour de la mission, pas des programmes ni des relations qui définissent l'organisme.</w:t>
      </w:r>
    </w:p>
    <w:p w14:paraId="6A1D9A69" w14:textId="77777777" w:rsidR="0042576C" w:rsidRPr="003D1A4A" w:rsidRDefault="00000000">
      <w:pPr>
        <w:pBdr>
          <w:left w:val="single" w:sz="18" w:space="12" w:color="9C7A2E"/>
        </w:pBdr>
        <w:spacing w:after="160"/>
        <w:ind w:left="200"/>
        <w:rPr>
          <w:lang w:val="fr-CA"/>
        </w:rPr>
      </w:pPr>
      <w:r w:rsidRPr="003D1A4A">
        <w:rPr>
          <w:i/>
          <w:iCs/>
          <w:sz w:val="21"/>
          <w:szCs w:val="21"/>
          <w:lang w:val="fr-CA"/>
        </w:rPr>
        <w:t>Un dossier que le conseil peut défendre — Un raisonnement écrit sur ce qui a été délégué à un outil et ce qui ne l'a pas été, prêt pour un audit de bailleur ou une question du conseil.</w:t>
      </w:r>
    </w:p>
    <w:p w14:paraId="0CB99985" w14:textId="77777777" w:rsidR="0042576C" w:rsidRPr="003D1A4A" w:rsidRDefault="00000000">
      <w:pPr>
        <w:pBdr>
          <w:left w:val="single" w:sz="18" w:space="12" w:color="9C7A2E"/>
        </w:pBdr>
        <w:spacing w:after="160"/>
        <w:ind w:left="200"/>
        <w:rPr>
          <w:lang w:val="fr-CA"/>
        </w:rPr>
      </w:pPr>
      <w:r w:rsidRPr="003D1A4A">
        <w:rPr>
          <w:i/>
          <w:iCs/>
          <w:sz w:val="21"/>
          <w:szCs w:val="21"/>
          <w:lang w:val="fr-CA"/>
        </w:rPr>
        <w:t>Prêt pour chaque bailleur, à chaque cycle — Des rapports qui prenaient une semaine sont désormais produits à partir d'un processus, plutôt que reconstruits à zéro chaque fois.</w:t>
      </w:r>
    </w:p>
    <w:p w14:paraId="474341F5" w14:textId="77777777" w:rsidR="0042576C" w:rsidRPr="003D1A4A" w:rsidRDefault="00000000">
      <w:pPr>
        <w:spacing w:before="120" w:after="40"/>
        <w:rPr>
          <w:lang w:val="fr-CA"/>
        </w:rPr>
      </w:pPr>
      <w:r w:rsidRPr="003D1A4A">
        <w:rPr>
          <w:b/>
          <w:bCs/>
          <w:color w:val="9C7A2E"/>
          <w:sz w:val="19"/>
          <w:szCs w:val="19"/>
          <w:lang w:val="fr-CA"/>
        </w:rPr>
        <w:t>Guardrail line</w:t>
      </w:r>
    </w:p>
    <w:p w14:paraId="7A462825" w14:textId="77777777" w:rsidR="0042576C" w:rsidRPr="003D1A4A" w:rsidRDefault="00000000">
      <w:pPr>
        <w:pBdr>
          <w:left w:val="single" w:sz="18" w:space="12" w:color="9C7A2E"/>
        </w:pBdr>
        <w:spacing w:after="160"/>
        <w:ind w:left="200"/>
        <w:rPr>
          <w:lang w:val="fr-CA"/>
        </w:rPr>
      </w:pPr>
      <w:r w:rsidRPr="003D1A4A">
        <w:rPr>
          <w:i/>
          <w:iCs/>
          <w:sz w:val="21"/>
          <w:szCs w:val="21"/>
          <w:lang w:val="fr-CA"/>
        </w:rPr>
        <w:t>Orée ne recommande jamais l'IA pour décider qui est admissible à un service ou à une aide, lorsque la population desservie est vulnérable. Cette décision reste entre les mains des personnes redevables envers votre conseil et votre communauté — pas un modèle de notation.</w:t>
      </w:r>
    </w:p>
    <w:p w14:paraId="707F12F7" w14:textId="77777777" w:rsidR="0042576C" w:rsidRPr="003D1A4A" w:rsidRDefault="0042576C">
      <w:pPr>
        <w:pBdr>
          <w:bottom w:val="single" w:sz="6" w:space="4" w:color="CCCCCC"/>
        </w:pBdr>
        <w:spacing w:before="300" w:after="300"/>
        <w:rPr>
          <w:lang w:val="fr-CA"/>
        </w:rPr>
      </w:pPr>
    </w:p>
    <w:p w14:paraId="560793ED" w14:textId="77777777" w:rsidR="0042576C" w:rsidRDefault="00000000">
      <w:pPr>
        <w:pStyle w:val="Titre1"/>
        <w:spacing w:before="400" w:after="200"/>
      </w:pPr>
      <w:r>
        <w:rPr>
          <w:b/>
          <w:bCs/>
          <w:color w:val="1F2A44"/>
          <w:sz w:val="30"/>
          <w:szCs w:val="30"/>
        </w:rPr>
        <w:t>8. Sector display order on /sectors</w:t>
      </w:r>
    </w:p>
    <w:p w14:paraId="7BC2D139" w14:textId="77777777" w:rsidR="0042576C" w:rsidRDefault="00000000">
      <w:pPr>
        <w:spacing w:after="160"/>
      </w:pPr>
      <w:r>
        <w:rPr>
          <w:sz w:val="22"/>
          <w:szCs w:val="22"/>
        </w:rPr>
        <w:t xml:space="preserve">Please order the sector list (and the /sectors overview links elsewhere on the site, e.g. the homepage "Pour qui je le </w:t>
      </w:r>
      <w:proofErr w:type="spellStart"/>
      <w:r>
        <w:rPr>
          <w:sz w:val="22"/>
          <w:szCs w:val="22"/>
        </w:rPr>
        <w:t>fais</w:t>
      </w:r>
      <w:proofErr w:type="spellEnd"/>
      <w:r>
        <w:rPr>
          <w:sz w:val="22"/>
          <w:szCs w:val="22"/>
        </w:rPr>
        <w:t>" list) in this sequence:</w:t>
      </w:r>
    </w:p>
    <w:p w14:paraId="7BE167A6" w14:textId="77777777" w:rsidR="0042576C" w:rsidRPr="003D1A4A" w:rsidRDefault="00000000">
      <w:pPr>
        <w:spacing w:after="80"/>
        <w:rPr>
          <w:lang w:val="fr-CA"/>
        </w:rPr>
      </w:pPr>
      <w:r w:rsidRPr="003D1A4A">
        <w:rPr>
          <w:sz w:val="21"/>
          <w:szCs w:val="21"/>
          <w:lang w:val="fr-CA"/>
        </w:rPr>
        <w:t>•  1. Petites entreprises</w:t>
      </w:r>
    </w:p>
    <w:p w14:paraId="11523388" w14:textId="77777777" w:rsidR="0042576C" w:rsidRPr="003D1A4A" w:rsidRDefault="00000000">
      <w:pPr>
        <w:spacing w:after="80"/>
        <w:rPr>
          <w:lang w:val="fr-CA"/>
        </w:rPr>
      </w:pPr>
      <w:r w:rsidRPr="003D1A4A">
        <w:rPr>
          <w:sz w:val="21"/>
          <w:szCs w:val="21"/>
          <w:lang w:val="fr-CA"/>
        </w:rPr>
        <w:t>•  2. OBNL</w:t>
      </w:r>
    </w:p>
    <w:p w14:paraId="198FB55C" w14:textId="77777777" w:rsidR="0042576C" w:rsidRPr="003D1A4A" w:rsidRDefault="00000000">
      <w:pPr>
        <w:spacing w:after="80"/>
        <w:rPr>
          <w:lang w:val="fr-CA"/>
        </w:rPr>
      </w:pPr>
      <w:r w:rsidRPr="003D1A4A">
        <w:rPr>
          <w:sz w:val="21"/>
          <w:szCs w:val="21"/>
          <w:lang w:val="fr-CA"/>
        </w:rPr>
        <w:t>•  3. Notaires</w:t>
      </w:r>
    </w:p>
    <w:p w14:paraId="392D52CE" w14:textId="77777777" w:rsidR="0042576C" w:rsidRPr="003D1A4A" w:rsidRDefault="00000000">
      <w:pPr>
        <w:spacing w:after="80"/>
        <w:rPr>
          <w:lang w:val="fr-CA"/>
        </w:rPr>
      </w:pPr>
      <w:r w:rsidRPr="003D1A4A">
        <w:rPr>
          <w:sz w:val="21"/>
          <w:szCs w:val="21"/>
          <w:lang w:val="fr-CA"/>
        </w:rPr>
        <w:t>•  4. Cabinets d'avocats</w:t>
      </w:r>
    </w:p>
    <w:p w14:paraId="1ACE6E26" w14:textId="77777777" w:rsidR="0042576C" w:rsidRPr="003D1A4A" w:rsidRDefault="00000000">
      <w:pPr>
        <w:spacing w:after="80"/>
        <w:rPr>
          <w:lang w:val="fr-CA"/>
        </w:rPr>
      </w:pPr>
      <w:r w:rsidRPr="003D1A4A">
        <w:rPr>
          <w:sz w:val="21"/>
          <w:szCs w:val="21"/>
          <w:lang w:val="fr-CA"/>
        </w:rPr>
        <w:t>•  5. CRHA et conseillers RH</w:t>
      </w:r>
    </w:p>
    <w:p w14:paraId="7C645BF4" w14:textId="77777777" w:rsidR="0042576C" w:rsidRPr="003D1A4A" w:rsidRDefault="00000000">
      <w:pPr>
        <w:spacing w:after="80"/>
        <w:rPr>
          <w:lang w:val="fr-CA"/>
        </w:rPr>
      </w:pPr>
      <w:r w:rsidRPr="003D1A4A">
        <w:rPr>
          <w:sz w:val="21"/>
          <w:szCs w:val="21"/>
          <w:lang w:val="fr-CA"/>
        </w:rPr>
        <w:t>•  6. Firmes de placement</w:t>
      </w:r>
    </w:p>
    <w:p w14:paraId="312889AA" w14:textId="77777777" w:rsidR="0042576C" w:rsidRDefault="00000000">
      <w:pPr>
        <w:spacing w:after="160"/>
      </w:pPr>
      <w:r>
        <w:rPr>
          <w:sz w:val="22"/>
          <w:szCs w:val="22"/>
        </w:rPr>
        <w:t>Logic: lead with the broadest, lowest-risk entry point (small businesses match the site's own tagline), then the one sector with a real client (nonprofits), then the four regulated-profession pages grouped together at the end, since those are still framed as "here's how the method would apply" rather than delivered case studies.</w:t>
      </w:r>
    </w:p>
    <w:sectPr w:rsidR="004257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D5909"/>
    <w:multiLevelType w:val="hybridMultilevel"/>
    <w:tmpl w:val="DD966672"/>
    <w:lvl w:ilvl="0" w:tplc="B4E2E2DA">
      <w:start w:val="1"/>
      <w:numFmt w:val="bullet"/>
      <w:lvlText w:val="●"/>
      <w:lvlJc w:val="left"/>
      <w:pPr>
        <w:ind w:left="720" w:hanging="360"/>
      </w:pPr>
    </w:lvl>
    <w:lvl w:ilvl="1" w:tplc="7D989F72">
      <w:start w:val="1"/>
      <w:numFmt w:val="bullet"/>
      <w:lvlText w:val="○"/>
      <w:lvlJc w:val="left"/>
      <w:pPr>
        <w:ind w:left="1440" w:hanging="360"/>
      </w:pPr>
    </w:lvl>
    <w:lvl w:ilvl="2" w:tplc="55B8E608">
      <w:start w:val="1"/>
      <w:numFmt w:val="bullet"/>
      <w:lvlText w:val="■"/>
      <w:lvlJc w:val="left"/>
      <w:pPr>
        <w:ind w:left="2160" w:hanging="360"/>
      </w:pPr>
    </w:lvl>
    <w:lvl w:ilvl="3" w:tplc="638C517A">
      <w:start w:val="1"/>
      <w:numFmt w:val="bullet"/>
      <w:lvlText w:val="●"/>
      <w:lvlJc w:val="left"/>
      <w:pPr>
        <w:ind w:left="2880" w:hanging="360"/>
      </w:pPr>
    </w:lvl>
    <w:lvl w:ilvl="4" w:tplc="3C18B65A">
      <w:start w:val="1"/>
      <w:numFmt w:val="bullet"/>
      <w:lvlText w:val="○"/>
      <w:lvlJc w:val="left"/>
      <w:pPr>
        <w:ind w:left="3600" w:hanging="360"/>
      </w:pPr>
    </w:lvl>
    <w:lvl w:ilvl="5" w:tplc="432A1C12">
      <w:start w:val="1"/>
      <w:numFmt w:val="bullet"/>
      <w:lvlText w:val="■"/>
      <w:lvlJc w:val="left"/>
      <w:pPr>
        <w:ind w:left="4320" w:hanging="360"/>
      </w:pPr>
    </w:lvl>
    <w:lvl w:ilvl="6" w:tplc="1DCA1442">
      <w:start w:val="1"/>
      <w:numFmt w:val="bullet"/>
      <w:lvlText w:val="●"/>
      <w:lvlJc w:val="left"/>
      <w:pPr>
        <w:ind w:left="5040" w:hanging="360"/>
      </w:pPr>
    </w:lvl>
    <w:lvl w:ilvl="7" w:tplc="9708A782">
      <w:start w:val="1"/>
      <w:numFmt w:val="bullet"/>
      <w:lvlText w:val="●"/>
      <w:lvlJc w:val="left"/>
      <w:pPr>
        <w:ind w:left="5760" w:hanging="360"/>
      </w:pPr>
    </w:lvl>
    <w:lvl w:ilvl="8" w:tplc="BBBA865A">
      <w:start w:val="1"/>
      <w:numFmt w:val="bullet"/>
      <w:lvlText w:val="●"/>
      <w:lvlJc w:val="left"/>
      <w:pPr>
        <w:ind w:left="6480" w:hanging="360"/>
      </w:pPr>
    </w:lvl>
  </w:abstractNum>
  <w:num w:numId="1" w16cid:durableId="1981033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76C"/>
    <w:rsid w:val="003D1A4A"/>
    <w:rsid w:val="0042576C"/>
    <w:rsid w:val="00C64A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C0C4"/>
  <w15:docId w15:val="{32E32194-F729-43AB-8E9B-9821ABA4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2966</Words>
  <Characters>16910</Characters>
  <Application>Microsoft Office Word</Application>
  <DocSecurity>0</DocSecurity>
  <Lines>140</Lines>
  <Paragraphs>39</Paragraphs>
  <ScaleCrop>false</ScaleCrop>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aminata diabate</cp:lastModifiedBy>
  <cp:revision>2</cp:revision>
  <dcterms:created xsi:type="dcterms:W3CDTF">2026-08-11T22:04:00Z</dcterms:created>
  <dcterms:modified xsi:type="dcterms:W3CDTF">2026-08-11T22:04:00Z</dcterms:modified>
</cp:coreProperties>
</file>