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Introduction Page</w:t>
      </w:r>
    </w:p>
    <w:p w:rsidR="00000000" w:rsidDel="00000000" w:rsidP="00000000" w:rsidRDefault="00000000" w:rsidRPr="00000000" w14:paraId="00000002">
      <w:pPr>
        <w:pStyle w:val="Heading2"/>
        <w:keepNext w:val="0"/>
        <w:keepLines w:val="0"/>
        <w:shd w:fill="ffffff" w:val="clear"/>
        <w:spacing w:after="300" w:before="300" w:line="300" w:lineRule="auto"/>
        <w:rPr>
          <w:color w:val="001737"/>
          <w:sz w:val="34"/>
          <w:szCs w:val="34"/>
        </w:rPr>
      </w:pPr>
      <w:bookmarkStart w:colFirst="0" w:colLast="0" w:name="_1upw10na7l33" w:id="0"/>
      <w:bookmarkEnd w:id="0"/>
      <w:r w:rsidDel="00000000" w:rsidR="00000000" w:rsidRPr="00000000">
        <w:rPr>
          <w:color w:val="001737"/>
          <w:sz w:val="34"/>
          <w:szCs w:val="34"/>
          <w:rtl w:val="0"/>
        </w:rPr>
        <w:t xml:space="preserve">Open Banking</w:t>
      </w:r>
    </w:p>
    <w:p w:rsidR="00000000" w:rsidDel="00000000" w:rsidP="00000000" w:rsidRDefault="00000000" w:rsidRPr="00000000" w14:paraId="00000003">
      <w:pPr>
        <w:shd w:fill="ffffff" w:val="clear"/>
        <w:spacing w:after="240" w:lineRule="auto"/>
        <w:rPr>
          <w:color w:val="001737"/>
          <w:sz w:val="21"/>
          <w:szCs w:val="21"/>
        </w:rPr>
      </w:pPr>
      <w:r w:rsidDel="00000000" w:rsidR="00000000" w:rsidRPr="00000000">
        <w:rPr>
          <w:color w:val="001737"/>
          <w:sz w:val="21"/>
          <w:szCs w:val="21"/>
          <w:rtl w:val="0"/>
        </w:rPr>
        <w:t xml:space="preserve">The Rova Open Banking API is based on the Open Banking Standard which allows regulated Third Party Providers (TPPs) to access Account Information Services (AIS), Payment Initiation Services (PIS) and funds confirmation requests for member accounts. Access to these services on behalf of members is controlled by strong customer authentication within Rova apps as part of OpenID Connect authorisation flows.</w:t>
      </w:r>
    </w:p>
    <w:p w:rsidR="00000000" w:rsidDel="00000000" w:rsidP="00000000" w:rsidRDefault="00000000" w:rsidRPr="00000000" w14:paraId="00000004">
      <w:pPr>
        <w:shd w:fill="ffffff" w:val="clear"/>
        <w:spacing w:after="240" w:lineRule="auto"/>
        <w:rPr>
          <w:color w:val="001737"/>
          <w:sz w:val="21"/>
          <w:szCs w:val="21"/>
        </w:rPr>
      </w:pPr>
      <w:r w:rsidDel="00000000" w:rsidR="00000000" w:rsidRPr="00000000">
        <w:rPr>
          <w:color w:val="001737"/>
          <w:sz w:val="21"/>
          <w:szCs w:val="21"/>
          <w:rtl w:val="0"/>
        </w:rPr>
        <w:t xml:space="preserve">We currently support app-&gt;app authentication flows.</w:t>
      </w:r>
    </w:p>
    <w:p w:rsidR="00000000" w:rsidDel="00000000" w:rsidP="00000000" w:rsidRDefault="00000000" w:rsidRPr="00000000" w14:paraId="00000005">
      <w:pPr>
        <w:shd w:fill="ffffff" w:val="clear"/>
        <w:spacing w:after="240" w:lineRule="auto"/>
        <w:rPr>
          <w:color w:val="001737"/>
          <w:sz w:val="21"/>
          <w:szCs w:val="21"/>
        </w:rPr>
      </w:pPr>
      <w:r w:rsidDel="00000000" w:rsidR="00000000" w:rsidRPr="00000000">
        <w:rPr>
          <w:color w:val="001737"/>
          <w:sz w:val="21"/>
          <w:szCs w:val="21"/>
          <w:rtl w:val="0"/>
        </w:rPr>
        <w:t xml:space="preserve">Rova is an FCA registered Account Servicing Payment Service Provider (ASPSP) who provides access to these services via the Open Banking standard.</w:t>
      </w:r>
    </w:p>
    <w:p w:rsidR="00000000" w:rsidDel="00000000" w:rsidP="00000000" w:rsidRDefault="00000000" w:rsidRPr="00000000" w14:paraId="00000006">
      <w:pPr>
        <w:shd w:fill="ffffff" w:val="clear"/>
        <w:spacing w:after="240" w:lineRule="auto"/>
        <w:rPr>
          <w:color w:val="2c3786"/>
          <w:sz w:val="21"/>
          <w:szCs w:val="21"/>
        </w:rPr>
      </w:pPr>
      <w:r w:rsidDel="00000000" w:rsidR="00000000" w:rsidRPr="00000000">
        <w:rPr>
          <w:color w:val="001737"/>
          <w:sz w:val="21"/>
          <w:szCs w:val="21"/>
          <w:rtl w:val="0"/>
        </w:rPr>
        <w:t xml:space="preserve">You can find out more about Open Banking here: </w:t>
      </w:r>
      <w:hyperlink r:id="rId6">
        <w:r w:rsidDel="00000000" w:rsidR="00000000" w:rsidRPr="00000000">
          <w:rPr>
            <w:color w:val="2c3786"/>
            <w:sz w:val="21"/>
            <w:szCs w:val="21"/>
            <w:rtl w:val="0"/>
          </w:rPr>
          <w:t xml:space="preserve">What is Open Banking</w:t>
        </w:r>
      </w:hyperlink>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300" w:before="300" w:line="300" w:lineRule="auto"/>
        <w:rPr>
          <w:color w:val="001737"/>
          <w:sz w:val="34"/>
          <w:szCs w:val="34"/>
        </w:rPr>
      </w:pPr>
      <w:bookmarkStart w:colFirst="0" w:colLast="0" w:name="_pjhuoguh9zhf" w:id="1"/>
      <w:bookmarkEnd w:id="1"/>
      <w:r w:rsidDel="00000000" w:rsidR="00000000" w:rsidRPr="00000000">
        <w:rPr>
          <w:color w:val="001737"/>
          <w:sz w:val="34"/>
          <w:szCs w:val="34"/>
          <w:rtl w:val="0"/>
        </w:rPr>
        <w:t xml:space="preserve">API Documentation</w:t>
      </w:r>
    </w:p>
    <w:p w:rsidR="00000000" w:rsidDel="00000000" w:rsidP="00000000" w:rsidRDefault="00000000" w:rsidRPr="00000000" w14:paraId="00000008">
      <w:pPr>
        <w:shd w:fill="ffffff" w:val="clear"/>
        <w:spacing w:after="240" w:lineRule="auto"/>
        <w:rPr>
          <w:color w:val="001737"/>
          <w:sz w:val="21"/>
          <w:szCs w:val="21"/>
        </w:rPr>
      </w:pPr>
      <w:r w:rsidDel="00000000" w:rsidR="00000000" w:rsidRPr="00000000">
        <w:rPr>
          <w:color w:val="001737"/>
          <w:sz w:val="21"/>
          <w:szCs w:val="21"/>
          <w:rtl w:val="0"/>
        </w:rPr>
        <w:t xml:space="preserve">Please see the following specifications we have aligned with:</w:t>
      </w:r>
    </w:p>
    <w:p w:rsidR="00000000" w:rsidDel="00000000" w:rsidP="00000000" w:rsidRDefault="00000000" w:rsidRPr="00000000" w14:paraId="00000009">
      <w:pPr>
        <w:numPr>
          <w:ilvl w:val="0"/>
          <w:numId w:val="5"/>
        </w:numPr>
        <w:shd w:fill="ffffff" w:val="clear"/>
        <w:spacing w:after="0" w:afterAutospacing="0" w:lineRule="auto"/>
        <w:ind w:left="720" w:hanging="360"/>
      </w:pPr>
      <w:hyperlink r:id="rId7">
        <w:r w:rsidDel="00000000" w:rsidR="00000000" w:rsidRPr="00000000">
          <w:rPr>
            <w:color w:val="2c3786"/>
            <w:sz w:val="21"/>
            <w:szCs w:val="21"/>
            <w:rtl w:val="0"/>
          </w:rPr>
          <w:t xml:space="preserve">Dynamic Client Registration (DCR) Specification</w:t>
        </w:r>
      </w:hyperlink>
      <w:r w:rsidDel="00000000" w:rsidR="00000000" w:rsidRPr="00000000">
        <w:rPr>
          <w:color w:val="001737"/>
          <w:sz w:val="21"/>
          <w:szCs w:val="21"/>
          <w:rtl w:val="0"/>
        </w:rPr>
        <w:t xml:space="preserve">: Use this specification to register your TPP client to use our APIs</w:t>
      </w:r>
    </w:p>
    <w:p w:rsidR="00000000" w:rsidDel="00000000" w:rsidP="00000000" w:rsidRDefault="00000000" w:rsidRPr="00000000" w14:paraId="0000000A">
      <w:pPr>
        <w:numPr>
          <w:ilvl w:val="0"/>
          <w:numId w:val="5"/>
        </w:numPr>
        <w:shd w:fill="ffffff" w:val="clear"/>
        <w:spacing w:after="0" w:afterAutospacing="0" w:lineRule="auto"/>
        <w:ind w:left="720" w:hanging="360"/>
      </w:pPr>
      <w:hyperlink r:id="rId8">
        <w:r w:rsidDel="00000000" w:rsidR="00000000" w:rsidRPr="00000000">
          <w:rPr>
            <w:color w:val="2c3786"/>
            <w:sz w:val="21"/>
            <w:szCs w:val="21"/>
            <w:rtl w:val="0"/>
          </w:rPr>
          <w:t xml:space="preserve">Open ID Foundation's Financial Grade API (FAPI) Profile</w:t>
        </w:r>
      </w:hyperlink>
      <w:r w:rsidDel="00000000" w:rsidR="00000000" w:rsidRPr="00000000">
        <w:rPr>
          <w:color w:val="001737"/>
          <w:sz w:val="21"/>
          <w:szCs w:val="21"/>
          <w:rtl w:val="0"/>
        </w:rPr>
        <w:t xml:space="preserve">: This specification enables user authentication of consents for open banking</w:t>
      </w:r>
    </w:p>
    <w:p w:rsidR="00000000" w:rsidDel="00000000" w:rsidP="00000000" w:rsidRDefault="00000000" w:rsidRPr="00000000" w14:paraId="0000000B">
      <w:pPr>
        <w:numPr>
          <w:ilvl w:val="0"/>
          <w:numId w:val="5"/>
        </w:numPr>
        <w:shd w:fill="ffffff" w:val="clear"/>
        <w:spacing w:after="0" w:afterAutospacing="0" w:lineRule="auto"/>
        <w:ind w:left="720" w:hanging="360"/>
      </w:pPr>
      <w:r w:rsidDel="00000000" w:rsidR="00000000" w:rsidRPr="00000000">
        <w:rPr>
          <w:color w:val="001737"/>
          <w:sz w:val="21"/>
          <w:szCs w:val="21"/>
          <w:rtl w:val="0"/>
        </w:rPr>
        <w:t xml:space="preserve">Open Banking API Specification: Based on Open Banking Read/Write API Specification v3.1.2, this specification describes the resources that are available on our service:</w:t>
      </w:r>
    </w:p>
    <w:p w:rsidR="00000000" w:rsidDel="00000000" w:rsidP="00000000" w:rsidRDefault="00000000" w:rsidRPr="00000000" w14:paraId="0000000C">
      <w:pPr>
        <w:numPr>
          <w:ilvl w:val="1"/>
          <w:numId w:val="5"/>
        </w:numPr>
        <w:spacing w:after="0" w:afterAutospacing="0" w:lineRule="auto"/>
        <w:ind w:left="1440" w:hanging="360"/>
      </w:pPr>
      <w:hyperlink r:id="rId9">
        <w:r w:rsidDel="00000000" w:rsidR="00000000" w:rsidRPr="00000000">
          <w:rPr>
            <w:color w:val="2c3786"/>
            <w:sz w:val="21"/>
            <w:szCs w:val="21"/>
            <w:rtl w:val="0"/>
          </w:rPr>
          <w:t xml:space="preserve">Accounts &amp; Transaction Information API</w:t>
        </w:r>
      </w:hyperlink>
      <w:r w:rsidDel="00000000" w:rsidR="00000000" w:rsidRPr="00000000">
        <w:rPr>
          <w:rtl w:val="0"/>
        </w:rPr>
      </w:r>
    </w:p>
    <w:p w:rsidR="00000000" w:rsidDel="00000000" w:rsidP="00000000" w:rsidRDefault="00000000" w:rsidRPr="00000000" w14:paraId="0000000D">
      <w:pPr>
        <w:numPr>
          <w:ilvl w:val="1"/>
          <w:numId w:val="5"/>
        </w:numPr>
        <w:spacing w:after="240" w:lineRule="auto"/>
        <w:ind w:left="1440" w:hanging="360"/>
      </w:pPr>
      <w:hyperlink r:id="rId10">
        <w:r w:rsidDel="00000000" w:rsidR="00000000" w:rsidRPr="00000000">
          <w:rPr>
            <w:color w:val="2c3786"/>
            <w:sz w:val="21"/>
            <w:szCs w:val="21"/>
            <w:rtl w:val="0"/>
          </w:rPr>
          <w:t xml:space="preserve">Payments Initiation Services API</w:t>
        </w:r>
      </w:hyperlink>
      <w:r w:rsidDel="00000000" w:rsidR="00000000" w:rsidRPr="00000000">
        <w:rPr>
          <w:rtl w:val="0"/>
        </w:rPr>
      </w:r>
    </w:p>
    <w:p w:rsidR="00000000" w:rsidDel="00000000" w:rsidP="00000000" w:rsidRDefault="00000000" w:rsidRPr="00000000" w14:paraId="0000000E">
      <w:pPr>
        <w:pStyle w:val="Heading2"/>
        <w:keepNext w:val="0"/>
        <w:keepLines w:val="0"/>
        <w:shd w:fill="ffffff" w:val="clear"/>
        <w:spacing w:after="300" w:before="300" w:line="300" w:lineRule="auto"/>
        <w:rPr>
          <w:color w:val="001737"/>
          <w:sz w:val="34"/>
          <w:szCs w:val="34"/>
        </w:rPr>
      </w:pPr>
      <w:bookmarkStart w:colFirst="0" w:colLast="0" w:name="_jydzy4evxtlu" w:id="2"/>
      <w:bookmarkEnd w:id="2"/>
      <w:r w:rsidDel="00000000" w:rsidR="00000000" w:rsidRPr="00000000">
        <w:rPr>
          <w:color w:val="001737"/>
          <w:sz w:val="34"/>
          <w:szCs w:val="34"/>
          <w:rtl w:val="0"/>
        </w:rPr>
        <w:t xml:space="preserve">Getting started</w:t>
      </w:r>
    </w:p>
    <w:p w:rsidR="00000000" w:rsidDel="00000000" w:rsidP="00000000" w:rsidRDefault="00000000" w:rsidRPr="00000000" w14:paraId="0000000F">
      <w:pPr>
        <w:shd w:fill="ffffff" w:val="clear"/>
        <w:spacing w:after="240" w:lineRule="auto"/>
        <w:rPr>
          <w:color w:val="001737"/>
          <w:sz w:val="21"/>
          <w:szCs w:val="21"/>
        </w:rPr>
      </w:pPr>
      <w:r w:rsidDel="00000000" w:rsidR="00000000" w:rsidRPr="00000000">
        <w:rPr>
          <w:color w:val="001737"/>
          <w:sz w:val="21"/>
          <w:szCs w:val="21"/>
          <w:rtl w:val="0"/>
        </w:rPr>
        <w:t xml:space="preserve">We recommend that you start off by accessing our </w:t>
      </w:r>
      <w:hyperlink r:id="rId11">
        <w:r w:rsidDel="00000000" w:rsidR="00000000" w:rsidRPr="00000000">
          <w:rPr>
            <w:color w:val="2c3786"/>
            <w:sz w:val="21"/>
            <w:szCs w:val="21"/>
            <w:rtl w:val="0"/>
          </w:rPr>
          <w:t xml:space="preserve">Sandbox</w:t>
        </w:r>
      </w:hyperlink>
      <w:r w:rsidDel="00000000" w:rsidR="00000000" w:rsidRPr="00000000">
        <w:rPr>
          <w:color w:val="001737"/>
          <w:sz w:val="21"/>
          <w:szCs w:val="21"/>
          <w:rtl w:val="0"/>
        </w:rPr>
        <w:t xml:space="preserve">.</w:t>
      </w:r>
    </w:p>
    <w:p w:rsidR="00000000" w:rsidDel="00000000" w:rsidP="00000000" w:rsidRDefault="00000000" w:rsidRPr="00000000" w14:paraId="00000010">
      <w:pPr>
        <w:shd w:fill="ffffff" w:val="clear"/>
        <w:spacing w:after="240" w:lineRule="auto"/>
        <w:rPr>
          <w:color w:val="001737"/>
          <w:sz w:val="21"/>
          <w:szCs w:val="21"/>
        </w:rPr>
      </w:pPr>
      <w:r w:rsidDel="00000000" w:rsidR="00000000" w:rsidRPr="00000000">
        <w:rPr>
          <w:color w:val="001737"/>
          <w:sz w:val="21"/>
          <w:szCs w:val="21"/>
          <w:rtl w:val="0"/>
        </w:rPr>
        <w:t xml:space="preserve">Our Sandbox fully reflects our production environment and provides an easy route to testing out your proposition.</w:t>
      </w:r>
    </w:p>
    <w:p w:rsidR="00000000" w:rsidDel="00000000" w:rsidP="00000000" w:rsidRDefault="00000000" w:rsidRPr="00000000" w14:paraId="00000011">
      <w:pPr>
        <w:shd w:fill="ffffff" w:val="clear"/>
        <w:spacing w:after="240" w:lineRule="auto"/>
        <w:rPr>
          <w:color w:val="001737"/>
          <w:sz w:val="21"/>
          <w:szCs w:val="21"/>
        </w:rPr>
      </w:pPr>
      <w:r w:rsidDel="00000000" w:rsidR="00000000" w:rsidRPr="00000000">
        <w:rPr>
          <w:color w:val="001737"/>
          <w:sz w:val="21"/>
          <w:szCs w:val="21"/>
          <w:rtl w:val="0"/>
        </w:rPr>
        <w:t xml:space="preserve">See our </w:t>
      </w:r>
      <w:hyperlink r:id="rId12">
        <w:r w:rsidDel="00000000" w:rsidR="00000000" w:rsidRPr="00000000">
          <w:rPr>
            <w:color w:val="2c3786"/>
            <w:sz w:val="21"/>
            <w:szCs w:val="21"/>
            <w:rtl w:val="0"/>
          </w:rPr>
          <w:t xml:space="preserve">Getting Started</w:t>
        </w:r>
      </w:hyperlink>
      <w:r w:rsidDel="00000000" w:rsidR="00000000" w:rsidRPr="00000000">
        <w:rPr>
          <w:color w:val="001737"/>
          <w:sz w:val="21"/>
          <w:szCs w:val="21"/>
          <w:rtl w:val="0"/>
        </w:rPr>
        <w:t xml:space="preserve"> page for instructions on accessing our sandbox APIs</w:t>
      </w:r>
    </w:p>
    <w:p w:rsidR="00000000" w:rsidDel="00000000" w:rsidP="00000000" w:rsidRDefault="00000000" w:rsidRPr="00000000" w14:paraId="00000012">
      <w:pPr>
        <w:shd w:fill="ffffff" w:val="clear"/>
        <w:spacing w:after="240" w:lineRule="auto"/>
        <w:rPr>
          <w:color w:val="2c3786"/>
          <w:sz w:val="21"/>
          <w:szCs w:val="21"/>
        </w:rPr>
      </w:pPr>
      <w:r w:rsidDel="00000000" w:rsidR="00000000" w:rsidRPr="00000000">
        <w:rPr>
          <w:color w:val="001737"/>
          <w:sz w:val="21"/>
          <w:szCs w:val="21"/>
          <w:rtl w:val="0"/>
        </w:rPr>
        <w:t xml:space="preserve">If you require test accounts please contact </w:t>
      </w:r>
      <w:hyperlink r:id="rId13">
        <w:r w:rsidDel="00000000" w:rsidR="00000000" w:rsidRPr="00000000">
          <w:rPr>
            <w:color w:val="1155cc"/>
            <w:sz w:val="21"/>
            <w:szCs w:val="21"/>
            <w:u w:val="single"/>
            <w:rtl w:val="0"/>
          </w:rPr>
          <w:t xml:space="preserve">help@getrova.com</w:t>
        </w:r>
      </w:hyperlink>
      <w:r w:rsidDel="00000000" w:rsidR="00000000" w:rsidRPr="00000000">
        <w:rPr>
          <w:color w:val="001737"/>
          <w:sz w:val="21"/>
          <w:szCs w:val="21"/>
          <w:rtl w:val="0"/>
        </w:rPr>
        <w:t xml:space="preserv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Getting Started Page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300" w:before="300" w:line="300" w:lineRule="auto"/>
        <w:rPr>
          <w:color w:val="001737"/>
          <w:sz w:val="34"/>
          <w:szCs w:val="34"/>
        </w:rPr>
      </w:pPr>
      <w:bookmarkStart w:colFirst="0" w:colLast="0" w:name="_nbsdxp92v8ed" w:id="3"/>
      <w:bookmarkEnd w:id="3"/>
      <w:r w:rsidDel="00000000" w:rsidR="00000000" w:rsidRPr="00000000">
        <w:rPr>
          <w:color w:val="001737"/>
          <w:sz w:val="34"/>
          <w:szCs w:val="34"/>
          <w:rtl w:val="0"/>
        </w:rPr>
        <w:t xml:space="preserve">Dynamic Client Registration</w:t>
      </w:r>
    </w:p>
    <w:p w:rsidR="00000000" w:rsidDel="00000000" w:rsidP="00000000" w:rsidRDefault="00000000" w:rsidRPr="00000000" w14:paraId="00000017">
      <w:pPr>
        <w:shd w:fill="ffffff" w:val="clear"/>
        <w:spacing w:after="240" w:lineRule="auto"/>
        <w:rPr>
          <w:color w:val="001737"/>
          <w:sz w:val="21"/>
          <w:szCs w:val="21"/>
        </w:rPr>
      </w:pPr>
      <w:r w:rsidDel="00000000" w:rsidR="00000000" w:rsidRPr="00000000">
        <w:rPr>
          <w:color w:val="001737"/>
          <w:sz w:val="21"/>
          <w:szCs w:val="21"/>
          <w:rtl w:val="0"/>
        </w:rPr>
        <w:t xml:space="preserve">Our API allows dynamic client registration in order to create a valid client that is able to use our Authorisation Server. We only trust Software Statement Assertions (SSAs) issued by the Open Banking Directory provided by OBIE. eIDAS certificates are supported via onboarding to the Open Banking Directory (as discussed in more detail below).</w:t>
      </w:r>
    </w:p>
    <w:p w:rsidR="00000000" w:rsidDel="00000000" w:rsidP="00000000" w:rsidRDefault="00000000" w:rsidRPr="00000000" w14:paraId="00000018">
      <w:pPr>
        <w:shd w:fill="ffffff" w:val="clear"/>
        <w:spacing w:after="240" w:lineRule="auto"/>
        <w:rPr>
          <w:color w:val="001737"/>
          <w:sz w:val="21"/>
          <w:szCs w:val="21"/>
        </w:rPr>
      </w:pPr>
      <w:r w:rsidDel="00000000" w:rsidR="00000000" w:rsidRPr="00000000">
        <w:rPr>
          <w:color w:val="001737"/>
          <w:sz w:val="21"/>
          <w:szCs w:val="21"/>
          <w:rtl w:val="0"/>
        </w:rPr>
        <w:t xml:space="preserve">The url of the registration endpoint is advertised on our OIDC Discovery Endpoints (see below) using the registration_endpoint claim. The </w:t>
      </w:r>
      <w:r w:rsidDel="00000000" w:rsidR="00000000" w:rsidRPr="00000000">
        <w:rPr>
          <w:rFonts w:ascii="Courier New" w:cs="Courier New" w:eastAsia="Courier New" w:hAnsi="Courier New"/>
          <w:color w:val="f10075"/>
          <w:sz w:val="18"/>
          <w:szCs w:val="18"/>
          <w:rtl w:val="0"/>
        </w:rPr>
        <w:t xml:space="preserve">aud</w:t>
      </w:r>
      <w:r w:rsidDel="00000000" w:rsidR="00000000" w:rsidRPr="00000000">
        <w:rPr>
          <w:color w:val="001737"/>
          <w:sz w:val="21"/>
          <w:szCs w:val="21"/>
          <w:rtl w:val="0"/>
        </w:rPr>
        <w:t xml:space="preserve"> claim used in the outer JWT of a Dynamic Client Registration request is the OBIE issued </w:t>
      </w:r>
      <w:r w:rsidDel="00000000" w:rsidR="00000000" w:rsidRPr="00000000">
        <w:rPr>
          <w:rFonts w:ascii="Courier New" w:cs="Courier New" w:eastAsia="Courier New" w:hAnsi="Courier New"/>
          <w:color w:val="f10075"/>
          <w:sz w:val="18"/>
          <w:szCs w:val="18"/>
          <w:rtl w:val="0"/>
        </w:rPr>
        <w:t xml:space="preserve">org_id</w:t>
      </w:r>
      <w:r w:rsidDel="00000000" w:rsidR="00000000" w:rsidRPr="00000000">
        <w:rPr>
          <w:color w:val="001737"/>
          <w:sz w:val="21"/>
          <w:szCs w:val="21"/>
          <w:rtl w:val="0"/>
        </w:rPr>
        <w:t xml:space="preserve"> (as documented in the OBIE DCR v3.1 standard)</w:t>
      </w:r>
    </w:p>
    <w:p w:rsidR="00000000" w:rsidDel="00000000" w:rsidP="00000000" w:rsidRDefault="00000000" w:rsidRPr="00000000" w14:paraId="00000019">
      <w:pPr>
        <w:pStyle w:val="Heading2"/>
        <w:keepNext w:val="0"/>
        <w:keepLines w:val="0"/>
        <w:shd w:fill="ffffff" w:val="clear"/>
        <w:spacing w:after="300" w:before="300" w:line="300" w:lineRule="auto"/>
        <w:rPr>
          <w:color w:val="001737"/>
          <w:sz w:val="34"/>
          <w:szCs w:val="34"/>
        </w:rPr>
      </w:pPr>
      <w:bookmarkStart w:colFirst="0" w:colLast="0" w:name="_e24yt4kxesfd" w:id="4"/>
      <w:bookmarkEnd w:id="4"/>
      <w:r w:rsidDel="00000000" w:rsidR="00000000" w:rsidRPr="00000000">
        <w:rPr>
          <w:color w:val="001737"/>
          <w:sz w:val="34"/>
          <w:szCs w:val="34"/>
          <w:rtl w:val="0"/>
        </w:rPr>
        <w:t xml:space="preserve">Production security profile</w:t>
      </w:r>
    </w:p>
    <w:p w:rsidR="00000000" w:rsidDel="00000000" w:rsidP="00000000" w:rsidRDefault="00000000" w:rsidRPr="00000000" w14:paraId="0000001A">
      <w:pPr>
        <w:shd w:fill="ffffff" w:val="clear"/>
        <w:spacing w:after="240" w:lineRule="auto"/>
        <w:rPr>
          <w:color w:val="001737"/>
          <w:sz w:val="21"/>
          <w:szCs w:val="21"/>
        </w:rPr>
      </w:pPr>
      <w:r w:rsidDel="00000000" w:rsidR="00000000" w:rsidRPr="00000000">
        <w:rPr>
          <w:color w:val="001737"/>
          <w:sz w:val="21"/>
          <w:szCs w:val="21"/>
          <w:rtl w:val="0"/>
        </w:rPr>
        <w:t xml:space="preserve">As defined further in the Ozone Model Bank Open Banking API Specification</w:t>
      </w:r>
    </w:p>
    <w:p w:rsidR="00000000" w:rsidDel="00000000" w:rsidP="00000000" w:rsidRDefault="00000000" w:rsidRPr="00000000" w14:paraId="0000001B">
      <w:pPr>
        <w:numPr>
          <w:ilvl w:val="0"/>
          <w:numId w:val="3"/>
        </w:numPr>
        <w:shd w:fill="ffffff" w:val="clear"/>
        <w:spacing w:after="0" w:afterAutospacing="0" w:lineRule="auto"/>
        <w:ind w:left="720" w:hanging="360"/>
      </w:pPr>
      <w:r w:rsidDel="00000000" w:rsidR="00000000" w:rsidRPr="00000000">
        <w:rPr>
          <w:color w:val="001737"/>
          <w:sz w:val="21"/>
          <w:szCs w:val="21"/>
          <w:rtl w:val="0"/>
        </w:rPr>
        <w:t xml:space="preserve">ID Token Signing Algorithm: </w:t>
      </w:r>
      <w:r w:rsidDel="00000000" w:rsidR="00000000" w:rsidRPr="00000000">
        <w:rPr>
          <w:rFonts w:ascii="Courier New" w:cs="Courier New" w:eastAsia="Courier New" w:hAnsi="Courier New"/>
          <w:color w:val="f10075"/>
          <w:sz w:val="18"/>
          <w:szCs w:val="18"/>
          <w:rtl w:val="0"/>
        </w:rPr>
        <w:t xml:space="preserve">PS256</w:t>
      </w:r>
    </w:p>
    <w:p w:rsidR="00000000" w:rsidDel="00000000" w:rsidP="00000000" w:rsidRDefault="00000000" w:rsidRPr="00000000" w14:paraId="0000001C">
      <w:pPr>
        <w:numPr>
          <w:ilvl w:val="0"/>
          <w:numId w:val="3"/>
        </w:numPr>
        <w:shd w:fill="ffffff" w:val="clear"/>
        <w:spacing w:after="0" w:afterAutospacing="0" w:lineRule="auto"/>
        <w:ind w:left="720" w:hanging="360"/>
      </w:pPr>
      <w:r w:rsidDel="00000000" w:rsidR="00000000" w:rsidRPr="00000000">
        <w:rPr>
          <w:color w:val="001737"/>
          <w:sz w:val="21"/>
          <w:szCs w:val="21"/>
          <w:rtl w:val="0"/>
        </w:rPr>
        <w:t xml:space="preserve">Response Types: </w:t>
      </w:r>
      <w:r w:rsidDel="00000000" w:rsidR="00000000" w:rsidRPr="00000000">
        <w:rPr>
          <w:rFonts w:ascii="Courier New" w:cs="Courier New" w:eastAsia="Courier New" w:hAnsi="Courier New"/>
          <w:color w:val="f10075"/>
          <w:sz w:val="18"/>
          <w:szCs w:val="18"/>
          <w:rtl w:val="0"/>
        </w:rPr>
        <w:t xml:space="preserve">code id_token</w:t>
      </w:r>
    </w:p>
    <w:p w:rsidR="00000000" w:rsidDel="00000000" w:rsidP="00000000" w:rsidRDefault="00000000" w:rsidRPr="00000000" w14:paraId="0000001D">
      <w:pPr>
        <w:numPr>
          <w:ilvl w:val="0"/>
          <w:numId w:val="3"/>
        </w:numPr>
        <w:shd w:fill="ffffff" w:val="clear"/>
        <w:spacing w:after="0" w:afterAutospacing="0" w:lineRule="auto"/>
        <w:ind w:left="720" w:hanging="360"/>
      </w:pPr>
      <w:r w:rsidDel="00000000" w:rsidR="00000000" w:rsidRPr="00000000">
        <w:rPr>
          <w:color w:val="001737"/>
          <w:sz w:val="21"/>
          <w:szCs w:val="21"/>
          <w:rtl w:val="0"/>
        </w:rPr>
        <w:t xml:space="preserve">Request Object Signing Algorithms: </w:t>
      </w:r>
      <w:r w:rsidDel="00000000" w:rsidR="00000000" w:rsidRPr="00000000">
        <w:rPr>
          <w:rFonts w:ascii="Courier New" w:cs="Courier New" w:eastAsia="Courier New" w:hAnsi="Courier New"/>
          <w:color w:val="f10075"/>
          <w:sz w:val="18"/>
          <w:szCs w:val="18"/>
          <w:rtl w:val="0"/>
        </w:rPr>
        <w:t xml:space="preserve">PS256</w:t>
      </w:r>
    </w:p>
    <w:p w:rsidR="00000000" w:rsidDel="00000000" w:rsidP="00000000" w:rsidRDefault="00000000" w:rsidRPr="00000000" w14:paraId="0000001E">
      <w:pPr>
        <w:numPr>
          <w:ilvl w:val="0"/>
          <w:numId w:val="3"/>
        </w:numPr>
        <w:shd w:fill="ffffff" w:val="clear"/>
        <w:spacing w:after="0" w:afterAutospacing="0" w:lineRule="auto"/>
        <w:ind w:left="720" w:hanging="360"/>
      </w:pPr>
      <w:r w:rsidDel="00000000" w:rsidR="00000000" w:rsidRPr="00000000">
        <w:rPr>
          <w:color w:val="001737"/>
          <w:sz w:val="21"/>
          <w:szCs w:val="21"/>
          <w:rtl w:val="0"/>
        </w:rPr>
        <w:t xml:space="preserve">Token Endpoint Auth Singing Algorithms: </w:t>
      </w:r>
      <w:r w:rsidDel="00000000" w:rsidR="00000000" w:rsidRPr="00000000">
        <w:rPr>
          <w:rFonts w:ascii="Courier New" w:cs="Courier New" w:eastAsia="Courier New" w:hAnsi="Courier New"/>
          <w:color w:val="f10075"/>
          <w:sz w:val="18"/>
          <w:szCs w:val="18"/>
          <w:rtl w:val="0"/>
        </w:rPr>
        <w:t xml:space="preserve">PS256</w:t>
      </w:r>
    </w:p>
    <w:p w:rsidR="00000000" w:rsidDel="00000000" w:rsidP="00000000" w:rsidRDefault="00000000" w:rsidRPr="00000000" w14:paraId="0000001F">
      <w:pPr>
        <w:numPr>
          <w:ilvl w:val="0"/>
          <w:numId w:val="3"/>
        </w:numPr>
        <w:shd w:fill="ffffff" w:val="clear"/>
        <w:spacing w:after="240" w:lineRule="auto"/>
        <w:ind w:left="720" w:hanging="360"/>
      </w:pPr>
      <w:r w:rsidDel="00000000" w:rsidR="00000000" w:rsidRPr="00000000">
        <w:rPr>
          <w:color w:val="001737"/>
          <w:sz w:val="21"/>
          <w:szCs w:val="21"/>
          <w:rtl w:val="0"/>
        </w:rPr>
        <w:t xml:space="preserve">Token Endpoint Auth Methods: </w:t>
      </w:r>
      <w:r w:rsidDel="00000000" w:rsidR="00000000" w:rsidRPr="00000000">
        <w:rPr>
          <w:rFonts w:ascii="Courier New" w:cs="Courier New" w:eastAsia="Courier New" w:hAnsi="Courier New"/>
          <w:color w:val="f10075"/>
          <w:sz w:val="18"/>
          <w:szCs w:val="18"/>
          <w:rtl w:val="0"/>
        </w:rPr>
        <w:t xml:space="preserve">private_key_jwt</w:t>
      </w:r>
      <w:r w:rsidDel="00000000" w:rsidR="00000000" w:rsidRPr="00000000">
        <w:rPr>
          <w:color w:val="001737"/>
          <w:sz w:val="21"/>
          <w:szCs w:val="21"/>
          <w:rtl w:val="0"/>
        </w:rPr>
        <w:t xml:space="preserve">, </w:t>
      </w:r>
      <w:r w:rsidDel="00000000" w:rsidR="00000000" w:rsidRPr="00000000">
        <w:rPr>
          <w:rFonts w:ascii="Courier New" w:cs="Courier New" w:eastAsia="Courier New" w:hAnsi="Courier New"/>
          <w:color w:val="f10075"/>
          <w:sz w:val="18"/>
          <w:szCs w:val="18"/>
          <w:rtl w:val="0"/>
        </w:rPr>
        <w:t xml:space="preserve">tls_client_auth</w:t>
      </w:r>
    </w:p>
    <w:p w:rsidR="00000000" w:rsidDel="00000000" w:rsidP="00000000" w:rsidRDefault="00000000" w:rsidRPr="00000000" w14:paraId="00000020">
      <w:pPr>
        <w:spacing w:after="240" w:lineRule="auto"/>
        <w:rPr>
          <w:color w:val="001737"/>
          <w:sz w:val="21"/>
          <w:szCs w:val="21"/>
          <w:highlight w:val="white"/>
        </w:rPr>
      </w:pPr>
      <w:r w:rsidDel="00000000" w:rsidR="00000000" w:rsidRPr="00000000">
        <w:rPr>
          <w:color w:val="001737"/>
          <w:sz w:val="21"/>
          <w:szCs w:val="21"/>
          <w:highlight w:val="white"/>
          <w:rtl w:val="0"/>
        </w:rPr>
        <w:t xml:space="preserve">For private_key_jwt - the </w:t>
      </w:r>
      <w:r w:rsidDel="00000000" w:rsidR="00000000" w:rsidRPr="00000000">
        <w:rPr>
          <w:rFonts w:ascii="Courier New" w:cs="Courier New" w:eastAsia="Courier New" w:hAnsi="Courier New"/>
          <w:color w:val="f10075"/>
          <w:sz w:val="18"/>
          <w:szCs w:val="18"/>
          <w:highlight w:val="white"/>
          <w:rtl w:val="0"/>
        </w:rPr>
        <w:t xml:space="preserve">aud</w:t>
      </w:r>
      <w:r w:rsidDel="00000000" w:rsidR="00000000" w:rsidRPr="00000000">
        <w:rPr>
          <w:color w:val="001737"/>
          <w:sz w:val="21"/>
          <w:szCs w:val="21"/>
          <w:highlight w:val="white"/>
          <w:rtl w:val="0"/>
        </w:rPr>
        <w:t xml:space="preserve"> claim is the url of the token endpoint as specified in OIDC client authentication The request object used in OIDC flows the aud claim is the issuer url from the Ozone Model Bank ASPSP .wellknown endpoint (linked below).</w:t>
      </w:r>
    </w:p>
    <w:p w:rsidR="00000000" w:rsidDel="00000000" w:rsidP="00000000" w:rsidRDefault="00000000" w:rsidRPr="00000000" w14:paraId="00000021">
      <w:pPr>
        <w:spacing w:after="240" w:lineRule="auto"/>
        <w:rPr>
          <w:color w:val="001737"/>
          <w:sz w:val="21"/>
          <w:szCs w:val="21"/>
          <w:highlight w:val="white"/>
        </w:rPr>
      </w:pPr>
      <w:r w:rsidDel="00000000" w:rsidR="00000000" w:rsidRPr="00000000">
        <w:rPr>
          <w:color w:val="001737"/>
          <w:sz w:val="21"/>
          <w:szCs w:val="21"/>
          <w:highlight w:val="white"/>
          <w:rtl w:val="0"/>
        </w:rPr>
        <w:t xml:space="preserve">Note: Our Sandbox API also offers less strict profiles to assist with integration testing. See below for more details.</w:t>
      </w:r>
    </w:p>
    <w:p w:rsidR="00000000" w:rsidDel="00000000" w:rsidP="00000000" w:rsidRDefault="00000000" w:rsidRPr="00000000" w14:paraId="00000022">
      <w:pPr>
        <w:pStyle w:val="Heading2"/>
        <w:keepNext w:val="0"/>
        <w:keepLines w:val="0"/>
        <w:shd w:fill="ffffff" w:val="clear"/>
        <w:spacing w:after="300" w:before="300" w:line="300" w:lineRule="auto"/>
        <w:rPr>
          <w:color w:val="001737"/>
          <w:sz w:val="34"/>
          <w:szCs w:val="34"/>
        </w:rPr>
      </w:pPr>
      <w:bookmarkStart w:colFirst="0" w:colLast="0" w:name="_psp8zk3xyxso" w:id="5"/>
      <w:bookmarkEnd w:id="5"/>
      <w:r w:rsidDel="00000000" w:rsidR="00000000" w:rsidRPr="00000000">
        <w:rPr>
          <w:color w:val="001737"/>
          <w:sz w:val="34"/>
          <w:szCs w:val="34"/>
          <w:rtl w:val="0"/>
        </w:rPr>
        <w:t xml:space="preserve">Certificate Support</w:t>
      </w:r>
    </w:p>
    <w:p w:rsidR="00000000" w:rsidDel="00000000" w:rsidP="00000000" w:rsidRDefault="00000000" w:rsidRPr="00000000" w14:paraId="00000023">
      <w:pPr>
        <w:pStyle w:val="Heading3"/>
        <w:keepNext w:val="0"/>
        <w:keepLines w:val="0"/>
        <w:shd w:fill="ffffff" w:val="clear"/>
        <w:spacing w:before="0" w:line="300" w:lineRule="auto"/>
        <w:rPr>
          <w:color w:val="001737"/>
          <w:sz w:val="26"/>
          <w:szCs w:val="26"/>
        </w:rPr>
      </w:pPr>
      <w:bookmarkStart w:colFirst="0" w:colLast="0" w:name="_gwiau6puu1rl" w:id="6"/>
      <w:bookmarkEnd w:id="6"/>
      <w:r w:rsidDel="00000000" w:rsidR="00000000" w:rsidRPr="00000000">
        <w:rPr>
          <w:color w:val="001737"/>
          <w:sz w:val="26"/>
          <w:szCs w:val="26"/>
          <w:rtl w:val="0"/>
        </w:rPr>
        <w:t xml:space="preserve">OB Transport &amp; OB Signing Certificates</w:t>
      </w:r>
    </w:p>
    <w:p w:rsidR="00000000" w:rsidDel="00000000" w:rsidP="00000000" w:rsidRDefault="00000000" w:rsidRPr="00000000" w14:paraId="00000024">
      <w:pPr>
        <w:shd w:fill="ffffff" w:val="clear"/>
        <w:spacing w:after="240" w:lineRule="auto"/>
        <w:rPr>
          <w:color w:val="001737"/>
          <w:sz w:val="21"/>
          <w:szCs w:val="21"/>
        </w:rPr>
      </w:pPr>
      <w:r w:rsidDel="00000000" w:rsidR="00000000" w:rsidRPr="00000000">
        <w:rPr>
          <w:color w:val="001737"/>
          <w:sz w:val="21"/>
          <w:szCs w:val="21"/>
          <w:rtl w:val="0"/>
        </w:rPr>
        <w:t xml:space="preserve">We recommend that TPPs use OB Transport and OB Signing certificates where possible. TPPs can use their QWACs and QSeals to onboard to the OBIE directory and generate these certificates.</w:t>
      </w:r>
    </w:p>
    <w:p w:rsidR="00000000" w:rsidDel="00000000" w:rsidP="00000000" w:rsidRDefault="00000000" w:rsidRPr="00000000" w14:paraId="00000025">
      <w:pPr>
        <w:pStyle w:val="Heading3"/>
        <w:keepNext w:val="0"/>
        <w:keepLines w:val="0"/>
        <w:shd w:fill="ffffff" w:val="clear"/>
        <w:spacing w:before="0" w:line="300" w:lineRule="auto"/>
        <w:rPr>
          <w:color w:val="001737"/>
          <w:sz w:val="26"/>
          <w:szCs w:val="26"/>
        </w:rPr>
      </w:pPr>
      <w:bookmarkStart w:colFirst="0" w:colLast="0" w:name="_o7mcxbvmk9y1" w:id="7"/>
      <w:bookmarkEnd w:id="7"/>
      <w:r w:rsidDel="00000000" w:rsidR="00000000" w:rsidRPr="00000000">
        <w:rPr>
          <w:color w:val="001737"/>
          <w:sz w:val="26"/>
          <w:szCs w:val="26"/>
          <w:rtl w:val="0"/>
        </w:rPr>
        <w:t xml:space="preserve">OB WAC &amp; OB Seal</w:t>
      </w:r>
    </w:p>
    <w:p w:rsidR="00000000" w:rsidDel="00000000" w:rsidP="00000000" w:rsidRDefault="00000000" w:rsidRPr="00000000" w14:paraId="00000026">
      <w:pPr>
        <w:shd w:fill="ffffff" w:val="clear"/>
        <w:spacing w:after="240" w:lineRule="auto"/>
        <w:rPr>
          <w:color w:val="001737"/>
          <w:sz w:val="21"/>
          <w:szCs w:val="21"/>
        </w:rPr>
      </w:pPr>
      <w:r w:rsidDel="00000000" w:rsidR="00000000" w:rsidRPr="00000000">
        <w:rPr>
          <w:color w:val="001737"/>
          <w:sz w:val="21"/>
          <w:szCs w:val="21"/>
          <w:rtl w:val="0"/>
        </w:rPr>
        <w:t xml:space="preserve">We support the use of OBWAC and OBSeal on our production and sandbox environments. TPPs can use their QWACs and QSeals to onboard to the OBIE directory and generate these certificates.</w:t>
      </w:r>
    </w:p>
    <w:p w:rsidR="00000000" w:rsidDel="00000000" w:rsidP="00000000" w:rsidRDefault="00000000" w:rsidRPr="00000000" w14:paraId="00000027">
      <w:pPr>
        <w:pStyle w:val="Heading3"/>
        <w:keepNext w:val="0"/>
        <w:keepLines w:val="0"/>
        <w:shd w:fill="ffffff" w:val="clear"/>
        <w:spacing w:before="0" w:line="300" w:lineRule="auto"/>
        <w:rPr>
          <w:color w:val="001737"/>
          <w:sz w:val="26"/>
          <w:szCs w:val="26"/>
        </w:rPr>
      </w:pPr>
      <w:bookmarkStart w:colFirst="0" w:colLast="0" w:name="_k5nqlalmjznq" w:id="8"/>
      <w:bookmarkEnd w:id="8"/>
      <w:r w:rsidDel="00000000" w:rsidR="00000000" w:rsidRPr="00000000">
        <w:rPr>
          <w:color w:val="001737"/>
          <w:sz w:val="26"/>
          <w:szCs w:val="26"/>
          <w:rtl w:val="0"/>
        </w:rPr>
        <w:t xml:space="preserve">QWACs</w:t>
      </w:r>
    </w:p>
    <w:p w:rsidR="00000000" w:rsidDel="00000000" w:rsidP="00000000" w:rsidRDefault="00000000" w:rsidRPr="00000000" w14:paraId="00000028">
      <w:pPr>
        <w:shd w:fill="ffffff" w:val="clear"/>
        <w:spacing w:after="240" w:lineRule="auto"/>
        <w:rPr>
          <w:color w:val="001737"/>
          <w:sz w:val="21"/>
          <w:szCs w:val="21"/>
        </w:rPr>
      </w:pPr>
      <w:r w:rsidDel="00000000" w:rsidR="00000000" w:rsidRPr="00000000">
        <w:rPr>
          <w:color w:val="001737"/>
          <w:sz w:val="21"/>
          <w:szCs w:val="21"/>
          <w:rtl w:val="0"/>
        </w:rPr>
        <w:t xml:space="preserve">We support the use of QWACs, but this is not our recommended approach. TPPs facing issues onboarding with QWACs should contact our support desk. Please attach a pem file of the certificate to your support ticket.</w:t>
      </w:r>
    </w:p>
    <w:p w:rsidR="00000000" w:rsidDel="00000000" w:rsidP="00000000" w:rsidRDefault="00000000" w:rsidRPr="00000000" w14:paraId="00000029">
      <w:pPr>
        <w:pStyle w:val="Heading3"/>
        <w:keepNext w:val="0"/>
        <w:keepLines w:val="0"/>
        <w:shd w:fill="ffffff" w:val="clear"/>
        <w:spacing w:before="0" w:line="300" w:lineRule="auto"/>
        <w:rPr>
          <w:color w:val="001737"/>
          <w:sz w:val="26"/>
          <w:szCs w:val="26"/>
        </w:rPr>
      </w:pPr>
      <w:bookmarkStart w:colFirst="0" w:colLast="0" w:name="_sk25ol4qcvyc" w:id="9"/>
      <w:bookmarkEnd w:id="9"/>
      <w:r w:rsidDel="00000000" w:rsidR="00000000" w:rsidRPr="00000000">
        <w:rPr>
          <w:color w:val="001737"/>
          <w:sz w:val="26"/>
          <w:szCs w:val="26"/>
          <w:rtl w:val="0"/>
        </w:rPr>
        <w:t xml:space="preserve">QSeal</w:t>
      </w:r>
    </w:p>
    <w:p w:rsidR="00000000" w:rsidDel="00000000" w:rsidP="00000000" w:rsidRDefault="00000000" w:rsidRPr="00000000" w14:paraId="0000002A">
      <w:pPr>
        <w:shd w:fill="ffffff" w:val="clear"/>
        <w:spacing w:after="240" w:lineRule="auto"/>
        <w:rPr/>
      </w:pPr>
      <w:r w:rsidDel="00000000" w:rsidR="00000000" w:rsidRPr="00000000">
        <w:rPr>
          <w:color w:val="001737"/>
          <w:sz w:val="21"/>
          <w:szCs w:val="21"/>
          <w:rtl w:val="0"/>
        </w:rPr>
        <w:t xml:space="preserve">We support the use of QSeals that have been attached to your software statement in the OB Directory.</w:t>
      </w: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b w:val="1"/>
          <w:sz w:val="36"/>
          <w:szCs w:val="36"/>
        </w:rPr>
      </w:pPr>
      <w:r w:rsidDel="00000000" w:rsidR="00000000" w:rsidRPr="00000000">
        <w:rPr>
          <w:b w:val="1"/>
          <w:sz w:val="36"/>
          <w:szCs w:val="36"/>
          <w:rtl w:val="0"/>
        </w:rPr>
        <w:t xml:space="preserve">Help Overview Page</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before="0" w:line="300" w:lineRule="auto"/>
        <w:rPr>
          <w:color w:val="001737"/>
          <w:sz w:val="26"/>
          <w:szCs w:val="26"/>
        </w:rPr>
      </w:pPr>
      <w:bookmarkStart w:colFirst="0" w:colLast="0" w:name="_9s06b0upc6yh" w:id="10"/>
      <w:bookmarkEnd w:id="10"/>
      <w:r w:rsidDel="00000000" w:rsidR="00000000" w:rsidRPr="00000000">
        <w:rPr>
          <w:color w:val="001737"/>
          <w:sz w:val="26"/>
          <w:szCs w:val="26"/>
          <w:rtl w:val="0"/>
        </w:rPr>
        <w:t xml:space="preserve">Glossary</w:t>
      </w:r>
    </w:p>
    <w:p w:rsidR="00000000" w:rsidDel="00000000" w:rsidP="00000000" w:rsidRDefault="00000000" w:rsidRPr="00000000" w14:paraId="0000002F">
      <w:pPr>
        <w:pStyle w:val="Heading3"/>
        <w:keepNext w:val="0"/>
        <w:keepLines w:val="0"/>
        <w:shd w:fill="ffffff" w:val="clear"/>
        <w:spacing w:before="0" w:line="300" w:lineRule="auto"/>
        <w:rPr>
          <w:color w:val="001737"/>
          <w:sz w:val="26"/>
          <w:szCs w:val="26"/>
        </w:rPr>
      </w:pPr>
      <w:bookmarkStart w:colFirst="0" w:colLast="0" w:name="_j8jxcjkysu1o" w:id="11"/>
      <w:bookmarkEnd w:id="11"/>
      <w:r w:rsidDel="00000000" w:rsidR="00000000" w:rsidRPr="00000000">
        <w:rPr>
          <w:color w:val="001737"/>
          <w:sz w:val="26"/>
          <w:szCs w:val="26"/>
          <w:rtl w:val="0"/>
        </w:rPr>
        <w:t xml:space="preserve">Account Information</w:t>
      </w:r>
    </w:p>
    <w:p w:rsidR="00000000" w:rsidDel="00000000" w:rsidP="00000000" w:rsidRDefault="00000000" w:rsidRPr="00000000" w14:paraId="00000030">
      <w:pPr>
        <w:shd w:fill="ffffff" w:val="clear"/>
        <w:spacing w:after="240" w:line="360" w:lineRule="auto"/>
        <w:rPr>
          <w:color w:val="001737"/>
          <w:sz w:val="21"/>
          <w:szCs w:val="21"/>
        </w:rPr>
      </w:pPr>
      <w:r w:rsidDel="00000000" w:rsidR="00000000" w:rsidRPr="00000000">
        <w:rPr>
          <w:color w:val="001737"/>
          <w:sz w:val="21"/>
          <w:szCs w:val="21"/>
          <w:rtl w:val="0"/>
        </w:rPr>
        <w:t xml:space="preserve">When used in Open Banking, ​Account information​ refers to an API that gives access to account and transaction information. To gain that access there needs to be two types of authorisation. On one side, the entity accessing the API must be an authorised institution (known as an AISP). On the other side, the person or business that owns that account (called the PCU) must give the AISP permission to access that specific account.</w:t>
      </w:r>
    </w:p>
    <w:p w:rsidR="00000000" w:rsidDel="00000000" w:rsidP="00000000" w:rsidRDefault="00000000" w:rsidRPr="00000000" w14:paraId="00000031">
      <w:pPr>
        <w:pStyle w:val="Heading3"/>
        <w:keepNext w:val="0"/>
        <w:keepLines w:val="0"/>
        <w:shd w:fill="ffffff" w:val="clear"/>
        <w:spacing w:before="0" w:line="300" w:lineRule="auto"/>
        <w:rPr>
          <w:color w:val="001737"/>
          <w:sz w:val="26"/>
          <w:szCs w:val="26"/>
        </w:rPr>
      </w:pPr>
      <w:bookmarkStart w:colFirst="0" w:colLast="0" w:name="_wfknsm659fgs" w:id="12"/>
      <w:bookmarkEnd w:id="12"/>
      <w:r w:rsidDel="00000000" w:rsidR="00000000" w:rsidRPr="00000000">
        <w:rPr>
          <w:color w:val="001737"/>
          <w:sz w:val="26"/>
          <w:szCs w:val="26"/>
          <w:rtl w:val="0"/>
        </w:rPr>
        <w:t xml:space="preserve">AISP</w:t>
      </w:r>
    </w:p>
    <w:p w:rsidR="00000000" w:rsidDel="00000000" w:rsidP="00000000" w:rsidRDefault="00000000" w:rsidRPr="00000000" w14:paraId="00000032">
      <w:pPr>
        <w:shd w:fill="ffffff" w:val="clear"/>
        <w:spacing w:after="240" w:line="360" w:lineRule="auto"/>
        <w:rPr>
          <w:color w:val="001737"/>
          <w:sz w:val="21"/>
          <w:szCs w:val="21"/>
        </w:rPr>
      </w:pPr>
      <w:r w:rsidDel="00000000" w:rsidR="00000000" w:rsidRPr="00000000">
        <w:rPr>
          <w:color w:val="001737"/>
          <w:sz w:val="21"/>
          <w:szCs w:val="21"/>
          <w:rtl w:val="0"/>
        </w:rPr>
        <w:t xml:space="preserve">An AISP (Account Information Service Provider) is authorised by a competent authority to access the account and transaction information of individuals and businesses who have given it permission do so. An AISP might use this access to provide a aggregation service, for example, allowing people to see several of their bank accounts in one place.</w:t>
      </w:r>
    </w:p>
    <w:p w:rsidR="00000000" w:rsidDel="00000000" w:rsidP="00000000" w:rsidRDefault="00000000" w:rsidRPr="00000000" w14:paraId="00000033">
      <w:pPr>
        <w:pStyle w:val="Heading3"/>
        <w:keepNext w:val="0"/>
        <w:keepLines w:val="0"/>
        <w:shd w:fill="ffffff" w:val="clear"/>
        <w:spacing w:before="0" w:line="300" w:lineRule="auto"/>
        <w:rPr>
          <w:color w:val="001737"/>
          <w:sz w:val="26"/>
          <w:szCs w:val="26"/>
        </w:rPr>
      </w:pPr>
      <w:bookmarkStart w:colFirst="0" w:colLast="0" w:name="_6iw86g2sq1v" w:id="13"/>
      <w:bookmarkEnd w:id="13"/>
      <w:r w:rsidDel="00000000" w:rsidR="00000000" w:rsidRPr="00000000">
        <w:rPr>
          <w:color w:val="001737"/>
          <w:sz w:val="26"/>
          <w:szCs w:val="26"/>
          <w:rtl w:val="0"/>
        </w:rPr>
        <w:t xml:space="preserve">AML</w:t>
      </w:r>
    </w:p>
    <w:p w:rsidR="00000000" w:rsidDel="00000000" w:rsidP="00000000" w:rsidRDefault="00000000" w:rsidRPr="00000000" w14:paraId="00000034">
      <w:pPr>
        <w:shd w:fill="ffffff" w:val="clear"/>
        <w:spacing w:after="240" w:line="360" w:lineRule="auto"/>
        <w:rPr>
          <w:color w:val="001737"/>
          <w:sz w:val="21"/>
          <w:szCs w:val="21"/>
        </w:rPr>
      </w:pPr>
      <w:r w:rsidDel="00000000" w:rsidR="00000000" w:rsidRPr="00000000">
        <w:rPr>
          <w:color w:val="001737"/>
          <w:sz w:val="21"/>
          <w:szCs w:val="21"/>
          <w:rtl w:val="0"/>
        </w:rPr>
        <w:t xml:space="preserve">Anti-money laundering processes, regulations and laws.</w:t>
      </w:r>
    </w:p>
    <w:p w:rsidR="00000000" w:rsidDel="00000000" w:rsidP="00000000" w:rsidRDefault="00000000" w:rsidRPr="00000000" w14:paraId="00000035">
      <w:pPr>
        <w:pStyle w:val="Heading3"/>
        <w:keepNext w:val="0"/>
        <w:keepLines w:val="0"/>
        <w:shd w:fill="ffffff" w:val="clear"/>
        <w:spacing w:before="0" w:line="300" w:lineRule="auto"/>
        <w:rPr>
          <w:color w:val="001737"/>
          <w:sz w:val="26"/>
          <w:szCs w:val="26"/>
        </w:rPr>
      </w:pPr>
      <w:bookmarkStart w:colFirst="0" w:colLast="0" w:name="_eh0hqd6zgji3" w:id="14"/>
      <w:bookmarkEnd w:id="14"/>
      <w:r w:rsidDel="00000000" w:rsidR="00000000" w:rsidRPr="00000000">
        <w:rPr>
          <w:color w:val="001737"/>
          <w:sz w:val="26"/>
          <w:szCs w:val="26"/>
          <w:rtl w:val="0"/>
        </w:rPr>
        <w:t xml:space="preserve">ASPSP</w:t>
      </w:r>
    </w:p>
    <w:p w:rsidR="00000000" w:rsidDel="00000000" w:rsidP="00000000" w:rsidRDefault="00000000" w:rsidRPr="00000000" w14:paraId="00000036">
      <w:pPr>
        <w:shd w:fill="ffffff" w:val="clear"/>
        <w:spacing w:after="240" w:line="360" w:lineRule="auto"/>
        <w:rPr>
          <w:color w:val="001737"/>
          <w:sz w:val="21"/>
          <w:szCs w:val="21"/>
        </w:rPr>
      </w:pPr>
      <w:r w:rsidDel="00000000" w:rsidR="00000000" w:rsidRPr="00000000">
        <w:rPr>
          <w:color w:val="001737"/>
          <w:sz w:val="21"/>
          <w:szCs w:val="21"/>
          <w:rtl w:val="0"/>
        </w:rPr>
        <w:t xml:space="preserve">The ASPSPs (Account Servicing Payment Service Providers) are the account providers. These APIs provide access to customer account information (for example, to AISPs) and also allow third-party providers (TPPs) to initiate payments from the account provider’s customers’ accounts.</w:t>
      </w:r>
    </w:p>
    <w:p w:rsidR="00000000" w:rsidDel="00000000" w:rsidP="00000000" w:rsidRDefault="00000000" w:rsidRPr="00000000" w14:paraId="00000037">
      <w:pPr>
        <w:shd w:fill="ffffff" w:val="clear"/>
        <w:spacing w:after="240" w:line="360" w:lineRule="auto"/>
        <w:rPr>
          <w:color w:val="001737"/>
          <w:sz w:val="21"/>
          <w:szCs w:val="21"/>
        </w:rPr>
      </w:pPr>
      <w:r w:rsidDel="00000000" w:rsidR="00000000" w:rsidRPr="00000000">
        <w:rPr>
          <w:color w:val="001737"/>
          <w:sz w:val="21"/>
          <w:szCs w:val="21"/>
          <w:rtl w:val="0"/>
        </w:rPr>
        <w:t xml:space="preserve">The customer must give specific permission to the entity that wants to access their account information and initiate payments on their behalf.</w:t>
      </w:r>
    </w:p>
    <w:p w:rsidR="00000000" w:rsidDel="00000000" w:rsidP="00000000" w:rsidRDefault="00000000" w:rsidRPr="00000000" w14:paraId="00000038">
      <w:pPr>
        <w:shd w:fill="ffffff" w:val="clear"/>
        <w:spacing w:after="240" w:line="360" w:lineRule="auto"/>
        <w:rPr>
          <w:color w:val="001737"/>
          <w:sz w:val="21"/>
          <w:szCs w:val="21"/>
        </w:rPr>
      </w:pPr>
      <w:r w:rsidDel="00000000" w:rsidR="00000000" w:rsidRPr="00000000">
        <w:rPr>
          <w:color w:val="001737"/>
          <w:sz w:val="21"/>
          <w:szCs w:val="21"/>
          <w:rtl w:val="0"/>
        </w:rPr>
        <w:t xml:space="preserve">There are two types of ASPSP:</w:t>
      </w:r>
    </w:p>
    <w:p w:rsidR="00000000" w:rsidDel="00000000" w:rsidP="00000000" w:rsidRDefault="00000000" w:rsidRPr="00000000" w14:paraId="00000039">
      <w:pPr>
        <w:shd w:fill="ffffff" w:val="clear"/>
        <w:spacing w:after="240" w:line="360" w:lineRule="auto"/>
        <w:rPr>
          <w:color w:val="001737"/>
          <w:sz w:val="21"/>
          <w:szCs w:val="21"/>
        </w:rPr>
      </w:pPr>
      <w:r w:rsidDel="00000000" w:rsidR="00000000" w:rsidRPr="00000000">
        <w:rPr>
          <w:color w:val="001737"/>
          <w:sz w:val="21"/>
          <w:szCs w:val="21"/>
          <w:rtl w:val="0"/>
        </w:rPr>
        <w:t xml:space="preserve">Mandatory: in the UK, these are the initial nine banks that are taking part in Open Banking. Voluntary: these are institutions that have chosen to take part in Open Banking.</w:t>
      </w:r>
    </w:p>
    <w:p w:rsidR="00000000" w:rsidDel="00000000" w:rsidP="00000000" w:rsidRDefault="00000000" w:rsidRPr="00000000" w14:paraId="0000003A">
      <w:pPr>
        <w:pStyle w:val="Heading3"/>
        <w:keepNext w:val="0"/>
        <w:keepLines w:val="0"/>
        <w:shd w:fill="ffffff" w:val="clear"/>
        <w:spacing w:before="0" w:line="300" w:lineRule="auto"/>
        <w:rPr>
          <w:color w:val="001737"/>
          <w:sz w:val="26"/>
          <w:szCs w:val="26"/>
        </w:rPr>
      </w:pPr>
      <w:bookmarkStart w:colFirst="0" w:colLast="0" w:name="_65jfvj723nrq" w:id="15"/>
      <w:bookmarkEnd w:id="15"/>
      <w:r w:rsidDel="00000000" w:rsidR="00000000" w:rsidRPr="00000000">
        <w:rPr>
          <w:color w:val="001737"/>
          <w:sz w:val="26"/>
          <w:szCs w:val="26"/>
          <w:rtl w:val="0"/>
        </w:rPr>
        <w:t xml:space="preserve">CMA</w:t>
      </w:r>
    </w:p>
    <w:p w:rsidR="00000000" w:rsidDel="00000000" w:rsidP="00000000" w:rsidRDefault="00000000" w:rsidRPr="00000000" w14:paraId="0000003B">
      <w:pPr>
        <w:shd w:fill="ffffff" w:val="clear"/>
        <w:spacing w:after="240" w:line="360" w:lineRule="auto"/>
        <w:rPr>
          <w:color w:val="001737"/>
          <w:sz w:val="21"/>
          <w:szCs w:val="21"/>
        </w:rPr>
      </w:pPr>
      <w:r w:rsidDel="00000000" w:rsidR="00000000" w:rsidRPr="00000000">
        <w:rPr>
          <w:color w:val="001737"/>
          <w:sz w:val="21"/>
          <w:szCs w:val="21"/>
          <w:rtl w:val="0"/>
        </w:rPr>
        <w:t xml:space="preserve">The Competition and Markets Authority is the UK regulator responsible for the roll-out of Open Banking, which is the UK’s implementation of the European Union’s PSD2 regulation.</w:t>
      </w:r>
    </w:p>
    <w:p w:rsidR="00000000" w:rsidDel="00000000" w:rsidP="00000000" w:rsidRDefault="00000000" w:rsidRPr="00000000" w14:paraId="0000003C">
      <w:pPr>
        <w:pStyle w:val="Heading3"/>
        <w:keepNext w:val="0"/>
        <w:keepLines w:val="0"/>
        <w:shd w:fill="ffffff" w:val="clear"/>
        <w:spacing w:before="0" w:line="300" w:lineRule="auto"/>
        <w:rPr>
          <w:color w:val="001737"/>
          <w:sz w:val="26"/>
          <w:szCs w:val="26"/>
        </w:rPr>
      </w:pPr>
      <w:bookmarkStart w:colFirst="0" w:colLast="0" w:name="_673hdcapbc1j" w:id="16"/>
      <w:bookmarkEnd w:id="16"/>
      <w:r w:rsidDel="00000000" w:rsidR="00000000" w:rsidRPr="00000000">
        <w:rPr>
          <w:color w:val="001737"/>
          <w:sz w:val="26"/>
          <w:szCs w:val="26"/>
          <w:rtl w:val="0"/>
        </w:rPr>
        <w:t xml:space="preserve">Competent Authority</w:t>
      </w:r>
    </w:p>
    <w:p w:rsidR="00000000" w:rsidDel="00000000" w:rsidP="00000000" w:rsidRDefault="00000000" w:rsidRPr="00000000" w14:paraId="0000003D">
      <w:pPr>
        <w:shd w:fill="ffffff" w:val="clear"/>
        <w:spacing w:after="240" w:line="360" w:lineRule="auto"/>
        <w:rPr>
          <w:color w:val="001737"/>
          <w:sz w:val="21"/>
          <w:szCs w:val="21"/>
        </w:rPr>
      </w:pPr>
      <w:r w:rsidDel="00000000" w:rsidR="00000000" w:rsidRPr="00000000">
        <w:rPr>
          <w:color w:val="001737"/>
          <w:sz w:val="21"/>
          <w:szCs w:val="21"/>
          <w:rtl w:val="0"/>
        </w:rPr>
        <w:t xml:space="preserve">In Open Banking, a Competent Authority is a regulator who can authorise entities to be ASPSPs, AISPs, TPPs and so on. The UK Competent Authority is the FCA but it’s important to note that a provider could be authorised by a Competent Authority based in another EU state.</w:t>
      </w:r>
    </w:p>
    <w:p w:rsidR="00000000" w:rsidDel="00000000" w:rsidP="00000000" w:rsidRDefault="00000000" w:rsidRPr="00000000" w14:paraId="0000003E">
      <w:pPr>
        <w:pStyle w:val="Heading3"/>
        <w:keepNext w:val="0"/>
        <w:keepLines w:val="0"/>
        <w:shd w:fill="ffffff" w:val="clear"/>
        <w:spacing w:before="0" w:line="300" w:lineRule="auto"/>
        <w:rPr>
          <w:color w:val="001737"/>
          <w:sz w:val="26"/>
          <w:szCs w:val="26"/>
        </w:rPr>
      </w:pPr>
      <w:bookmarkStart w:colFirst="0" w:colLast="0" w:name="_lolpxbnhr2cd" w:id="17"/>
      <w:bookmarkEnd w:id="17"/>
      <w:r w:rsidDel="00000000" w:rsidR="00000000" w:rsidRPr="00000000">
        <w:rPr>
          <w:color w:val="001737"/>
          <w:sz w:val="26"/>
          <w:szCs w:val="26"/>
          <w:rtl w:val="0"/>
        </w:rPr>
        <w:t xml:space="preserve">Directory</w:t>
      </w:r>
    </w:p>
    <w:p w:rsidR="00000000" w:rsidDel="00000000" w:rsidP="00000000" w:rsidRDefault="00000000" w:rsidRPr="00000000" w14:paraId="0000003F">
      <w:pPr>
        <w:shd w:fill="ffffff" w:val="clear"/>
        <w:spacing w:after="240" w:line="360" w:lineRule="auto"/>
        <w:rPr>
          <w:color w:val="001737"/>
          <w:sz w:val="21"/>
          <w:szCs w:val="21"/>
        </w:rPr>
      </w:pPr>
      <w:r w:rsidDel="00000000" w:rsidR="00000000" w:rsidRPr="00000000">
        <w:rPr>
          <w:color w:val="001737"/>
          <w:sz w:val="21"/>
          <w:szCs w:val="21"/>
          <w:rtl w:val="0"/>
        </w:rPr>
        <w:t xml:space="preserve">The Open Banking Directory is the canonical list of providers who are authorised to take part in the Open Banking ecosystem. The directory handles authentication between registered providers.</w:t>
      </w:r>
    </w:p>
    <w:p w:rsidR="00000000" w:rsidDel="00000000" w:rsidP="00000000" w:rsidRDefault="00000000" w:rsidRPr="00000000" w14:paraId="00000040">
      <w:pPr>
        <w:shd w:fill="ffffff" w:val="clear"/>
        <w:spacing w:after="240" w:line="360" w:lineRule="auto"/>
        <w:rPr>
          <w:color w:val="001737"/>
          <w:sz w:val="21"/>
          <w:szCs w:val="21"/>
        </w:rPr>
      </w:pPr>
      <w:r w:rsidDel="00000000" w:rsidR="00000000" w:rsidRPr="00000000">
        <w:rPr>
          <w:color w:val="001737"/>
          <w:sz w:val="21"/>
          <w:szCs w:val="21"/>
          <w:rtl w:val="0"/>
        </w:rPr>
        <w:t xml:space="preserve">Directory Sandbox The Open Banking Directory Sandbox provides a test instance of the real directory so that providers can test their implementations before going live. You’ll need to registered with the Open Banking Directory Sandbox in order to use the Ozone Model Bank API sandbox.</w:t>
      </w:r>
    </w:p>
    <w:p w:rsidR="00000000" w:rsidDel="00000000" w:rsidP="00000000" w:rsidRDefault="00000000" w:rsidRPr="00000000" w14:paraId="00000041">
      <w:pPr>
        <w:pStyle w:val="Heading3"/>
        <w:keepNext w:val="0"/>
        <w:keepLines w:val="0"/>
        <w:shd w:fill="ffffff" w:val="clear"/>
        <w:spacing w:before="0" w:line="300" w:lineRule="auto"/>
        <w:rPr>
          <w:color w:val="001737"/>
          <w:sz w:val="26"/>
          <w:szCs w:val="26"/>
        </w:rPr>
      </w:pPr>
      <w:bookmarkStart w:colFirst="0" w:colLast="0" w:name="_jqmhx5nkbt1" w:id="18"/>
      <w:bookmarkEnd w:id="18"/>
      <w:r w:rsidDel="00000000" w:rsidR="00000000" w:rsidRPr="00000000">
        <w:rPr>
          <w:color w:val="001737"/>
          <w:sz w:val="26"/>
          <w:szCs w:val="26"/>
          <w:rtl w:val="0"/>
        </w:rPr>
        <w:t xml:space="preserve">EBA</w:t>
      </w:r>
    </w:p>
    <w:p w:rsidR="00000000" w:rsidDel="00000000" w:rsidP="00000000" w:rsidRDefault="00000000" w:rsidRPr="00000000" w14:paraId="00000042">
      <w:pPr>
        <w:shd w:fill="ffffff" w:val="clear"/>
        <w:spacing w:after="240" w:line="360" w:lineRule="auto"/>
        <w:rPr>
          <w:color w:val="001737"/>
          <w:sz w:val="21"/>
          <w:szCs w:val="21"/>
        </w:rPr>
      </w:pPr>
      <w:r w:rsidDel="00000000" w:rsidR="00000000" w:rsidRPr="00000000">
        <w:rPr>
          <w:color w:val="001737"/>
          <w:sz w:val="21"/>
          <w:szCs w:val="21"/>
          <w:rtl w:val="0"/>
        </w:rPr>
        <w:t xml:space="preserve">The European Banking Authority sets the technical standards for Open Banking.</w:t>
      </w:r>
    </w:p>
    <w:p w:rsidR="00000000" w:rsidDel="00000000" w:rsidP="00000000" w:rsidRDefault="00000000" w:rsidRPr="00000000" w14:paraId="00000043">
      <w:pPr>
        <w:pStyle w:val="Heading3"/>
        <w:keepNext w:val="0"/>
        <w:keepLines w:val="0"/>
        <w:shd w:fill="ffffff" w:val="clear"/>
        <w:spacing w:before="0" w:line="300" w:lineRule="auto"/>
        <w:rPr>
          <w:color w:val="001737"/>
          <w:sz w:val="26"/>
          <w:szCs w:val="26"/>
        </w:rPr>
      </w:pPr>
      <w:bookmarkStart w:colFirst="0" w:colLast="0" w:name="_a3e7nkzh5g7o" w:id="19"/>
      <w:bookmarkEnd w:id="19"/>
      <w:r w:rsidDel="00000000" w:rsidR="00000000" w:rsidRPr="00000000">
        <w:rPr>
          <w:color w:val="001737"/>
          <w:sz w:val="26"/>
          <w:szCs w:val="26"/>
          <w:rtl w:val="0"/>
        </w:rPr>
        <w:t xml:space="preserve">EBA RTS</w:t>
      </w:r>
    </w:p>
    <w:p w:rsidR="00000000" w:rsidDel="00000000" w:rsidP="00000000" w:rsidRDefault="00000000" w:rsidRPr="00000000" w14:paraId="00000044">
      <w:pPr>
        <w:shd w:fill="ffffff" w:val="clear"/>
        <w:spacing w:after="240" w:line="360" w:lineRule="auto"/>
        <w:rPr>
          <w:color w:val="001737"/>
          <w:sz w:val="21"/>
          <w:szCs w:val="21"/>
        </w:rPr>
      </w:pPr>
      <w:r w:rsidDel="00000000" w:rsidR="00000000" w:rsidRPr="00000000">
        <w:rPr>
          <w:color w:val="001737"/>
          <w:sz w:val="21"/>
          <w:szCs w:val="21"/>
          <w:rtl w:val="0"/>
        </w:rPr>
        <w:t xml:space="preserve">The technical standards set for Open Banking (and PSD2 in general) by the European Banking Authority are called the Regulatory Technical Standards.</w:t>
      </w:r>
    </w:p>
    <w:p w:rsidR="00000000" w:rsidDel="00000000" w:rsidP="00000000" w:rsidRDefault="00000000" w:rsidRPr="00000000" w14:paraId="00000045">
      <w:pPr>
        <w:pStyle w:val="Heading3"/>
        <w:keepNext w:val="0"/>
        <w:keepLines w:val="0"/>
        <w:shd w:fill="ffffff" w:val="clear"/>
        <w:spacing w:before="0" w:line="300" w:lineRule="auto"/>
        <w:rPr>
          <w:color w:val="001737"/>
          <w:sz w:val="26"/>
          <w:szCs w:val="26"/>
        </w:rPr>
      </w:pPr>
      <w:bookmarkStart w:colFirst="0" w:colLast="0" w:name="_1sxph4a74llo" w:id="20"/>
      <w:bookmarkEnd w:id="20"/>
      <w:r w:rsidDel="00000000" w:rsidR="00000000" w:rsidRPr="00000000">
        <w:rPr>
          <w:color w:val="001737"/>
          <w:sz w:val="26"/>
          <w:szCs w:val="26"/>
          <w:rtl w:val="0"/>
        </w:rPr>
        <w:t xml:space="preserve">FCA</w:t>
      </w:r>
    </w:p>
    <w:p w:rsidR="00000000" w:rsidDel="00000000" w:rsidP="00000000" w:rsidRDefault="00000000" w:rsidRPr="00000000" w14:paraId="00000046">
      <w:pPr>
        <w:shd w:fill="ffffff" w:val="clear"/>
        <w:spacing w:after="240" w:line="360" w:lineRule="auto"/>
        <w:rPr>
          <w:color w:val="001737"/>
          <w:sz w:val="21"/>
          <w:szCs w:val="21"/>
        </w:rPr>
      </w:pPr>
      <w:r w:rsidDel="00000000" w:rsidR="00000000" w:rsidRPr="00000000">
        <w:rPr>
          <w:color w:val="001737"/>
          <w:sz w:val="21"/>
          <w:szCs w:val="21"/>
          <w:rtl w:val="0"/>
        </w:rPr>
        <w:t xml:space="preserve">The Financial Conduct Authority is the UK regulatory responsible for authorising participants in Open Banking. It is the UK’s Competent Authority.</w:t>
      </w:r>
    </w:p>
    <w:p w:rsidR="00000000" w:rsidDel="00000000" w:rsidP="00000000" w:rsidRDefault="00000000" w:rsidRPr="00000000" w14:paraId="00000047">
      <w:pPr>
        <w:pStyle w:val="Heading3"/>
        <w:keepNext w:val="0"/>
        <w:keepLines w:val="0"/>
        <w:shd w:fill="ffffff" w:val="clear"/>
        <w:spacing w:before="0" w:line="300" w:lineRule="auto"/>
        <w:rPr>
          <w:color w:val="001737"/>
          <w:sz w:val="26"/>
          <w:szCs w:val="26"/>
        </w:rPr>
      </w:pPr>
      <w:bookmarkStart w:colFirst="0" w:colLast="0" w:name="_d33mvsj9oo6u" w:id="21"/>
      <w:bookmarkEnd w:id="21"/>
      <w:r w:rsidDel="00000000" w:rsidR="00000000" w:rsidRPr="00000000">
        <w:rPr>
          <w:color w:val="001737"/>
          <w:sz w:val="26"/>
          <w:szCs w:val="26"/>
          <w:rtl w:val="0"/>
        </w:rPr>
        <w:t xml:space="preserve">FCA Service Metrics</w:t>
      </w:r>
    </w:p>
    <w:p w:rsidR="00000000" w:rsidDel="00000000" w:rsidP="00000000" w:rsidRDefault="00000000" w:rsidRPr="00000000" w14:paraId="00000048">
      <w:pPr>
        <w:shd w:fill="ffffff" w:val="clear"/>
        <w:spacing w:after="240" w:line="360" w:lineRule="auto"/>
        <w:rPr>
          <w:color w:val="001737"/>
          <w:sz w:val="21"/>
          <w:szCs w:val="21"/>
        </w:rPr>
      </w:pPr>
      <w:r w:rsidDel="00000000" w:rsidR="00000000" w:rsidRPr="00000000">
        <w:rPr>
          <w:color w:val="001737"/>
          <w:sz w:val="21"/>
          <w:szCs w:val="21"/>
          <w:rtl w:val="0"/>
        </w:rPr>
        <w:t xml:space="preserve">FCA Service Metrics is an Open Banking API, offered by {bank name} and other Open Banking institutions, that provides bank account product information to make it easier for people to compare the offerings of different banks.</w:t>
      </w:r>
    </w:p>
    <w:p w:rsidR="00000000" w:rsidDel="00000000" w:rsidP="00000000" w:rsidRDefault="00000000" w:rsidRPr="00000000" w14:paraId="00000049">
      <w:pPr>
        <w:pStyle w:val="Heading3"/>
        <w:keepNext w:val="0"/>
        <w:keepLines w:val="0"/>
        <w:shd w:fill="ffffff" w:val="clear"/>
        <w:spacing w:before="0" w:line="300" w:lineRule="auto"/>
        <w:rPr>
          <w:color w:val="001737"/>
          <w:sz w:val="26"/>
          <w:szCs w:val="26"/>
        </w:rPr>
      </w:pPr>
      <w:bookmarkStart w:colFirst="0" w:colLast="0" w:name="_cex15b5ocf13" w:id="22"/>
      <w:bookmarkEnd w:id="22"/>
      <w:r w:rsidDel="00000000" w:rsidR="00000000" w:rsidRPr="00000000">
        <w:rPr>
          <w:color w:val="001737"/>
          <w:sz w:val="26"/>
          <w:szCs w:val="26"/>
          <w:rtl w:val="0"/>
        </w:rPr>
        <w:t xml:space="preserve">KYC</w:t>
      </w:r>
    </w:p>
    <w:p w:rsidR="00000000" w:rsidDel="00000000" w:rsidP="00000000" w:rsidRDefault="00000000" w:rsidRPr="00000000" w14:paraId="0000004A">
      <w:pPr>
        <w:shd w:fill="ffffff" w:val="clear"/>
        <w:spacing w:after="240" w:line="360" w:lineRule="auto"/>
        <w:rPr>
          <w:color w:val="001737"/>
          <w:sz w:val="21"/>
          <w:szCs w:val="21"/>
        </w:rPr>
      </w:pPr>
      <w:r w:rsidDel="00000000" w:rsidR="00000000" w:rsidRPr="00000000">
        <w:rPr>
          <w:color w:val="001737"/>
          <w:sz w:val="21"/>
          <w:szCs w:val="21"/>
          <w:rtl w:val="0"/>
        </w:rPr>
        <w:t xml:space="preserve">Regulations designed to prevent money laundering require that financial institutions can prove the identity of their customers. Know Your Customer is the process of verifying the customer’s identity and evaluating potential risk for illegal activity.</w:t>
      </w:r>
    </w:p>
    <w:p w:rsidR="00000000" w:rsidDel="00000000" w:rsidP="00000000" w:rsidRDefault="00000000" w:rsidRPr="00000000" w14:paraId="0000004B">
      <w:pPr>
        <w:pStyle w:val="Heading3"/>
        <w:keepNext w:val="0"/>
        <w:keepLines w:val="0"/>
        <w:shd w:fill="ffffff" w:val="clear"/>
        <w:spacing w:before="0" w:line="300" w:lineRule="auto"/>
        <w:rPr>
          <w:color w:val="001737"/>
          <w:sz w:val="26"/>
          <w:szCs w:val="26"/>
        </w:rPr>
      </w:pPr>
      <w:bookmarkStart w:colFirst="0" w:colLast="0" w:name="_25ub5o50t6ge" w:id="23"/>
      <w:bookmarkEnd w:id="23"/>
      <w:r w:rsidDel="00000000" w:rsidR="00000000" w:rsidRPr="00000000">
        <w:rPr>
          <w:color w:val="001737"/>
          <w:sz w:val="26"/>
          <w:szCs w:val="26"/>
          <w:rtl w:val="0"/>
        </w:rPr>
        <w:t xml:space="preserve">OBIE</w:t>
      </w:r>
    </w:p>
    <w:p w:rsidR="00000000" w:rsidDel="00000000" w:rsidP="00000000" w:rsidRDefault="00000000" w:rsidRPr="00000000" w14:paraId="0000004C">
      <w:pPr>
        <w:shd w:fill="ffffff" w:val="clear"/>
        <w:spacing w:after="240" w:line="360" w:lineRule="auto"/>
        <w:rPr>
          <w:color w:val="001737"/>
          <w:sz w:val="21"/>
          <w:szCs w:val="21"/>
        </w:rPr>
      </w:pPr>
      <w:r w:rsidDel="00000000" w:rsidR="00000000" w:rsidRPr="00000000">
        <w:rPr>
          <w:color w:val="001737"/>
          <w:sz w:val="21"/>
          <w:szCs w:val="21"/>
          <w:rtl w:val="0"/>
        </w:rPr>
        <w:t xml:space="preserve">Open Banking Limited is the Open Banking Implementation Entity and it has been tasked with overseeing the delivery of Open Banking in the UK.</w:t>
      </w:r>
    </w:p>
    <w:p w:rsidR="00000000" w:rsidDel="00000000" w:rsidP="00000000" w:rsidRDefault="00000000" w:rsidRPr="00000000" w14:paraId="0000004D">
      <w:pPr>
        <w:pStyle w:val="Heading3"/>
        <w:keepNext w:val="0"/>
        <w:keepLines w:val="0"/>
        <w:shd w:fill="ffffff" w:val="clear"/>
        <w:spacing w:before="0" w:line="300" w:lineRule="auto"/>
        <w:rPr>
          <w:color w:val="001737"/>
          <w:sz w:val="26"/>
          <w:szCs w:val="26"/>
        </w:rPr>
      </w:pPr>
      <w:bookmarkStart w:colFirst="0" w:colLast="0" w:name="_6fnlvrv4ho1w" w:id="24"/>
      <w:bookmarkEnd w:id="24"/>
      <w:r w:rsidDel="00000000" w:rsidR="00000000" w:rsidRPr="00000000">
        <w:rPr>
          <w:color w:val="001737"/>
          <w:sz w:val="26"/>
          <w:szCs w:val="26"/>
          <w:rtl w:val="0"/>
        </w:rPr>
        <w:t xml:space="preserve">Open Banking</w:t>
      </w:r>
    </w:p>
    <w:p w:rsidR="00000000" w:rsidDel="00000000" w:rsidP="00000000" w:rsidRDefault="00000000" w:rsidRPr="00000000" w14:paraId="0000004E">
      <w:pPr>
        <w:shd w:fill="ffffff" w:val="clear"/>
        <w:spacing w:after="240" w:line="360" w:lineRule="auto"/>
        <w:rPr>
          <w:color w:val="001737"/>
          <w:sz w:val="21"/>
          <w:szCs w:val="21"/>
        </w:rPr>
      </w:pPr>
      <w:r w:rsidDel="00000000" w:rsidR="00000000" w:rsidRPr="00000000">
        <w:rPr>
          <w:color w:val="001737"/>
          <w:sz w:val="21"/>
          <w:szCs w:val="21"/>
          <w:rtl w:val="0"/>
        </w:rPr>
        <w:t xml:space="preserve">Open Banking is the consumer-friendly name for the UK’s implementation of the second edition of European Union’s Payment Services Directive. Open Banking oversees the regulatory and technical framework, based on the requirements of the directive, of PSD2 in the UK.</w:t>
      </w:r>
    </w:p>
    <w:p w:rsidR="00000000" w:rsidDel="00000000" w:rsidP="00000000" w:rsidRDefault="00000000" w:rsidRPr="00000000" w14:paraId="0000004F">
      <w:pPr>
        <w:pStyle w:val="Heading3"/>
        <w:keepNext w:val="0"/>
        <w:keepLines w:val="0"/>
        <w:shd w:fill="ffffff" w:val="clear"/>
        <w:spacing w:before="0" w:line="300" w:lineRule="auto"/>
        <w:rPr>
          <w:color w:val="001737"/>
          <w:sz w:val="26"/>
          <w:szCs w:val="26"/>
        </w:rPr>
      </w:pPr>
      <w:bookmarkStart w:colFirst="0" w:colLast="0" w:name="_52bmg8ualr75" w:id="25"/>
      <w:bookmarkEnd w:id="25"/>
      <w:r w:rsidDel="00000000" w:rsidR="00000000" w:rsidRPr="00000000">
        <w:rPr>
          <w:color w:val="001737"/>
          <w:sz w:val="26"/>
          <w:szCs w:val="26"/>
          <w:rtl w:val="0"/>
        </w:rPr>
        <w:t xml:space="preserve">Open Data</w:t>
      </w:r>
    </w:p>
    <w:p w:rsidR="00000000" w:rsidDel="00000000" w:rsidP="00000000" w:rsidRDefault="00000000" w:rsidRPr="00000000" w14:paraId="00000050">
      <w:pPr>
        <w:shd w:fill="ffffff" w:val="clear"/>
        <w:spacing w:after="240" w:line="360" w:lineRule="auto"/>
        <w:rPr>
          <w:color w:val="001737"/>
          <w:sz w:val="21"/>
          <w:szCs w:val="21"/>
        </w:rPr>
      </w:pPr>
      <w:r w:rsidDel="00000000" w:rsidR="00000000" w:rsidRPr="00000000">
        <w:rPr>
          <w:color w:val="001737"/>
          <w:sz w:val="21"/>
          <w:szCs w:val="21"/>
          <w:rtl w:val="0"/>
        </w:rPr>
        <w:t xml:space="preserve">Under Open Banking, the Mandatory ASPs, such as {bank name}, must provide certain data through APIs that are available for anyone to access. These Open Data APIs include data such ATM and branch locations, as well as production details.</w:t>
      </w:r>
    </w:p>
    <w:p w:rsidR="00000000" w:rsidDel="00000000" w:rsidP="00000000" w:rsidRDefault="00000000" w:rsidRPr="00000000" w14:paraId="00000051">
      <w:pPr>
        <w:pStyle w:val="Heading3"/>
        <w:keepNext w:val="0"/>
        <w:keepLines w:val="0"/>
        <w:shd w:fill="ffffff" w:val="clear"/>
        <w:spacing w:before="0" w:line="300" w:lineRule="auto"/>
        <w:rPr>
          <w:color w:val="001737"/>
          <w:sz w:val="26"/>
          <w:szCs w:val="26"/>
        </w:rPr>
      </w:pPr>
      <w:bookmarkStart w:colFirst="0" w:colLast="0" w:name="_e10zrtakjhmr" w:id="26"/>
      <w:bookmarkEnd w:id="26"/>
      <w:r w:rsidDel="00000000" w:rsidR="00000000" w:rsidRPr="00000000">
        <w:rPr>
          <w:color w:val="001737"/>
          <w:sz w:val="26"/>
          <w:szCs w:val="26"/>
          <w:rtl w:val="0"/>
        </w:rPr>
        <w:t xml:space="preserve">Payment gateway</w:t>
      </w:r>
    </w:p>
    <w:p w:rsidR="00000000" w:rsidDel="00000000" w:rsidP="00000000" w:rsidRDefault="00000000" w:rsidRPr="00000000" w14:paraId="00000052">
      <w:pPr>
        <w:shd w:fill="ffffff" w:val="clear"/>
        <w:spacing w:after="240" w:line="360" w:lineRule="auto"/>
        <w:rPr>
          <w:color w:val="001737"/>
          <w:sz w:val="21"/>
          <w:szCs w:val="21"/>
        </w:rPr>
      </w:pPr>
      <w:r w:rsidDel="00000000" w:rsidR="00000000" w:rsidRPr="00000000">
        <w:rPr>
          <w:color w:val="001737"/>
          <w:sz w:val="21"/>
          <w:szCs w:val="21"/>
          <w:rtl w:val="0"/>
        </w:rPr>
        <w:t xml:space="preserve">A payment gateway is an intermediary between a merchant services provider –– that facilitates the processing of payment cards –– and ecommerce software.</w:t>
      </w:r>
    </w:p>
    <w:p w:rsidR="00000000" w:rsidDel="00000000" w:rsidP="00000000" w:rsidRDefault="00000000" w:rsidRPr="00000000" w14:paraId="00000053">
      <w:pPr>
        <w:pStyle w:val="Heading3"/>
        <w:keepNext w:val="0"/>
        <w:keepLines w:val="0"/>
        <w:shd w:fill="ffffff" w:val="clear"/>
        <w:spacing w:before="0" w:line="300" w:lineRule="auto"/>
        <w:rPr>
          <w:color w:val="001737"/>
          <w:sz w:val="26"/>
          <w:szCs w:val="26"/>
        </w:rPr>
      </w:pPr>
      <w:bookmarkStart w:colFirst="0" w:colLast="0" w:name="_vixow88day5d" w:id="27"/>
      <w:bookmarkEnd w:id="27"/>
      <w:r w:rsidDel="00000000" w:rsidR="00000000" w:rsidRPr="00000000">
        <w:rPr>
          <w:color w:val="001737"/>
          <w:sz w:val="26"/>
          <w:szCs w:val="26"/>
          <w:rtl w:val="0"/>
        </w:rPr>
        <w:t xml:space="preserve">PSD2</w:t>
      </w:r>
    </w:p>
    <w:p w:rsidR="00000000" w:rsidDel="00000000" w:rsidP="00000000" w:rsidRDefault="00000000" w:rsidRPr="00000000" w14:paraId="00000054">
      <w:pPr>
        <w:shd w:fill="ffffff" w:val="clear"/>
        <w:spacing w:after="240" w:line="360" w:lineRule="auto"/>
        <w:rPr>
          <w:color w:val="001737"/>
          <w:sz w:val="21"/>
          <w:szCs w:val="21"/>
        </w:rPr>
      </w:pPr>
      <w:r w:rsidDel="00000000" w:rsidR="00000000" w:rsidRPr="00000000">
        <w:rPr>
          <w:color w:val="001737"/>
          <w:sz w:val="21"/>
          <w:szCs w:val="21"/>
          <w:rtl w:val="0"/>
        </w:rPr>
        <w:t xml:space="preserve">The second edition of the European Union’s Payment Services Directive sets the framework for Open Banking and similar implementations across the EU.</w:t>
      </w:r>
    </w:p>
    <w:p w:rsidR="00000000" w:rsidDel="00000000" w:rsidP="00000000" w:rsidRDefault="00000000" w:rsidRPr="00000000" w14:paraId="00000055">
      <w:pPr>
        <w:pStyle w:val="Heading3"/>
        <w:keepNext w:val="0"/>
        <w:keepLines w:val="0"/>
        <w:shd w:fill="ffffff" w:val="clear"/>
        <w:spacing w:before="0" w:line="300" w:lineRule="auto"/>
        <w:rPr>
          <w:color w:val="001737"/>
          <w:sz w:val="26"/>
          <w:szCs w:val="26"/>
        </w:rPr>
      </w:pPr>
      <w:bookmarkStart w:colFirst="0" w:colLast="0" w:name="_7zgeuzderoau" w:id="28"/>
      <w:bookmarkEnd w:id="28"/>
      <w:r w:rsidDel="00000000" w:rsidR="00000000" w:rsidRPr="00000000">
        <w:rPr>
          <w:color w:val="001737"/>
          <w:sz w:val="26"/>
          <w:szCs w:val="26"/>
          <w:rtl w:val="0"/>
        </w:rPr>
        <w:t xml:space="preserve">PISP</w:t>
      </w:r>
    </w:p>
    <w:p w:rsidR="00000000" w:rsidDel="00000000" w:rsidP="00000000" w:rsidRDefault="00000000" w:rsidRPr="00000000" w14:paraId="00000056">
      <w:pPr>
        <w:shd w:fill="ffffff" w:val="clear"/>
        <w:spacing w:after="240" w:line="360" w:lineRule="auto"/>
        <w:rPr>
          <w:color w:val="001737"/>
          <w:sz w:val="21"/>
          <w:szCs w:val="21"/>
        </w:rPr>
      </w:pPr>
      <w:r w:rsidDel="00000000" w:rsidR="00000000" w:rsidRPr="00000000">
        <w:rPr>
          <w:color w:val="001737"/>
          <w:sz w:val="21"/>
          <w:szCs w:val="21"/>
          <w:rtl w:val="0"/>
        </w:rPr>
        <w:t xml:space="preserve">A Payment Initiation Services Provider is a service that uses Open Banking APIs to make a payment from a person’s bank account held at another institution, at their request.</w:t>
      </w:r>
    </w:p>
    <w:p w:rsidR="00000000" w:rsidDel="00000000" w:rsidP="00000000" w:rsidRDefault="00000000" w:rsidRPr="00000000" w14:paraId="00000057">
      <w:pPr>
        <w:pStyle w:val="Heading3"/>
        <w:keepNext w:val="0"/>
        <w:keepLines w:val="0"/>
        <w:shd w:fill="ffffff" w:val="clear"/>
        <w:spacing w:before="0" w:line="300" w:lineRule="auto"/>
        <w:rPr>
          <w:color w:val="001737"/>
          <w:sz w:val="26"/>
          <w:szCs w:val="26"/>
        </w:rPr>
      </w:pPr>
      <w:bookmarkStart w:colFirst="0" w:colLast="0" w:name="_4tg0l567xs4a" w:id="29"/>
      <w:bookmarkEnd w:id="29"/>
      <w:r w:rsidDel="00000000" w:rsidR="00000000" w:rsidRPr="00000000">
        <w:rPr>
          <w:color w:val="001737"/>
          <w:sz w:val="26"/>
          <w:szCs w:val="26"/>
          <w:rtl w:val="0"/>
        </w:rPr>
        <w:t xml:space="preserve">PSP</w:t>
      </w:r>
    </w:p>
    <w:p w:rsidR="00000000" w:rsidDel="00000000" w:rsidP="00000000" w:rsidRDefault="00000000" w:rsidRPr="00000000" w14:paraId="00000058">
      <w:pPr>
        <w:shd w:fill="ffffff" w:val="clear"/>
        <w:spacing w:after="240" w:line="360" w:lineRule="auto"/>
        <w:rPr>
          <w:color w:val="001737"/>
          <w:sz w:val="21"/>
          <w:szCs w:val="21"/>
        </w:rPr>
      </w:pPr>
      <w:r w:rsidDel="00000000" w:rsidR="00000000" w:rsidRPr="00000000">
        <w:rPr>
          <w:color w:val="001737"/>
          <w:sz w:val="21"/>
          <w:szCs w:val="21"/>
          <w:rtl w:val="0"/>
        </w:rPr>
        <w:t xml:space="preserve">A Payment Service Provider is any of the regulated Open Banking providers, including ASPSPs (such as {bank name}), PISPs, AISPs and CBPIIs.</w:t>
      </w:r>
    </w:p>
    <w:p w:rsidR="00000000" w:rsidDel="00000000" w:rsidP="00000000" w:rsidRDefault="00000000" w:rsidRPr="00000000" w14:paraId="00000059">
      <w:pPr>
        <w:pStyle w:val="Heading3"/>
        <w:keepNext w:val="0"/>
        <w:keepLines w:val="0"/>
        <w:shd w:fill="ffffff" w:val="clear"/>
        <w:spacing w:before="0" w:line="300" w:lineRule="auto"/>
        <w:rPr>
          <w:color w:val="001737"/>
          <w:sz w:val="26"/>
          <w:szCs w:val="26"/>
        </w:rPr>
      </w:pPr>
      <w:bookmarkStart w:colFirst="0" w:colLast="0" w:name="_nyl99ce96tqr" w:id="30"/>
      <w:bookmarkEnd w:id="30"/>
      <w:r w:rsidDel="00000000" w:rsidR="00000000" w:rsidRPr="00000000">
        <w:rPr>
          <w:color w:val="001737"/>
          <w:sz w:val="26"/>
          <w:szCs w:val="26"/>
          <w:rtl w:val="0"/>
        </w:rPr>
        <w:t xml:space="preserve">PSR</w:t>
      </w:r>
    </w:p>
    <w:p w:rsidR="00000000" w:rsidDel="00000000" w:rsidP="00000000" w:rsidRDefault="00000000" w:rsidRPr="00000000" w14:paraId="0000005A">
      <w:pPr>
        <w:shd w:fill="ffffff" w:val="clear"/>
        <w:spacing w:after="240" w:line="360" w:lineRule="auto"/>
        <w:rPr>
          <w:color w:val="001737"/>
          <w:sz w:val="21"/>
          <w:szCs w:val="21"/>
        </w:rPr>
      </w:pPr>
      <w:r w:rsidDel="00000000" w:rsidR="00000000" w:rsidRPr="00000000">
        <w:rPr>
          <w:color w:val="001737"/>
          <w:sz w:val="21"/>
          <w:szCs w:val="21"/>
          <w:rtl w:val="0"/>
        </w:rPr>
        <w:t xml:space="preserve">The Payment Service Regulations are the UK’s implementation of the second edition of the European Union’s Payment Service Directive (PSD2).</w:t>
      </w:r>
    </w:p>
    <w:p w:rsidR="00000000" w:rsidDel="00000000" w:rsidP="00000000" w:rsidRDefault="00000000" w:rsidRPr="00000000" w14:paraId="0000005B">
      <w:pPr>
        <w:pStyle w:val="Heading3"/>
        <w:keepNext w:val="0"/>
        <w:keepLines w:val="0"/>
        <w:shd w:fill="ffffff" w:val="clear"/>
        <w:spacing w:before="0" w:line="300" w:lineRule="auto"/>
        <w:rPr>
          <w:color w:val="001737"/>
          <w:sz w:val="26"/>
          <w:szCs w:val="26"/>
        </w:rPr>
      </w:pPr>
      <w:bookmarkStart w:colFirst="0" w:colLast="0" w:name="_apj6ytdiswqk" w:id="31"/>
      <w:bookmarkEnd w:id="31"/>
      <w:r w:rsidDel="00000000" w:rsidR="00000000" w:rsidRPr="00000000">
        <w:rPr>
          <w:color w:val="001737"/>
          <w:sz w:val="26"/>
          <w:szCs w:val="26"/>
          <w:rtl w:val="0"/>
        </w:rPr>
        <w:t xml:space="preserve">PSU</w:t>
      </w:r>
    </w:p>
    <w:p w:rsidR="00000000" w:rsidDel="00000000" w:rsidP="00000000" w:rsidRDefault="00000000" w:rsidRPr="00000000" w14:paraId="0000005C">
      <w:pPr>
        <w:shd w:fill="ffffff" w:val="clear"/>
        <w:spacing w:after="240" w:line="360" w:lineRule="auto"/>
        <w:rPr>
          <w:color w:val="001737"/>
          <w:sz w:val="21"/>
          <w:szCs w:val="21"/>
        </w:rPr>
      </w:pPr>
      <w:r w:rsidDel="00000000" w:rsidR="00000000" w:rsidRPr="00000000">
        <w:rPr>
          <w:color w:val="001737"/>
          <w:sz w:val="21"/>
          <w:szCs w:val="21"/>
          <w:rtl w:val="0"/>
        </w:rPr>
        <w:t xml:space="preserve">A Payment Services User is an individual or business using an Open Banking payment service.</w:t>
      </w:r>
    </w:p>
    <w:p w:rsidR="00000000" w:rsidDel="00000000" w:rsidP="00000000" w:rsidRDefault="00000000" w:rsidRPr="00000000" w14:paraId="0000005D">
      <w:pPr>
        <w:pStyle w:val="Heading3"/>
        <w:keepNext w:val="0"/>
        <w:keepLines w:val="0"/>
        <w:shd w:fill="ffffff" w:val="clear"/>
        <w:spacing w:before="0" w:line="300" w:lineRule="auto"/>
        <w:rPr>
          <w:color w:val="001737"/>
          <w:sz w:val="26"/>
          <w:szCs w:val="26"/>
        </w:rPr>
      </w:pPr>
      <w:bookmarkStart w:colFirst="0" w:colLast="0" w:name="_g6pdy2idu6p3" w:id="32"/>
      <w:bookmarkEnd w:id="32"/>
      <w:r w:rsidDel="00000000" w:rsidR="00000000" w:rsidRPr="00000000">
        <w:rPr>
          <w:color w:val="001737"/>
          <w:sz w:val="26"/>
          <w:szCs w:val="26"/>
          <w:rtl w:val="0"/>
        </w:rPr>
        <w:t xml:space="preserve">PTC</w:t>
      </w:r>
    </w:p>
    <w:p w:rsidR="00000000" w:rsidDel="00000000" w:rsidP="00000000" w:rsidRDefault="00000000" w:rsidRPr="00000000" w14:paraId="0000005E">
      <w:pPr>
        <w:shd w:fill="ffffff" w:val="clear"/>
        <w:spacing w:after="240" w:line="360" w:lineRule="auto"/>
        <w:rPr>
          <w:color w:val="001737"/>
          <w:sz w:val="21"/>
          <w:szCs w:val="21"/>
        </w:rPr>
      </w:pPr>
      <w:r w:rsidDel="00000000" w:rsidR="00000000" w:rsidRPr="00000000">
        <w:rPr>
          <w:color w:val="001737"/>
          <w:sz w:val="21"/>
          <w:szCs w:val="21"/>
          <w:rtl w:val="0"/>
        </w:rPr>
        <w:t xml:space="preserve">The Primary Technical Contact is the person responsible for the management of the technical aspect of an entity’s implementation of Open Banking.</w:t>
      </w:r>
    </w:p>
    <w:p w:rsidR="00000000" w:rsidDel="00000000" w:rsidP="00000000" w:rsidRDefault="00000000" w:rsidRPr="00000000" w14:paraId="0000005F">
      <w:pPr>
        <w:pStyle w:val="Heading3"/>
        <w:keepNext w:val="0"/>
        <w:keepLines w:val="0"/>
        <w:shd w:fill="ffffff" w:val="clear"/>
        <w:spacing w:before="0" w:line="300" w:lineRule="auto"/>
        <w:rPr>
          <w:color w:val="001737"/>
          <w:sz w:val="26"/>
          <w:szCs w:val="26"/>
        </w:rPr>
      </w:pPr>
      <w:bookmarkStart w:colFirst="0" w:colLast="0" w:name="_de4wlu6y4dgu" w:id="33"/>
      <w:bookmarkEnd w:id="33"/>
      <w:r w:rsidDel="00000000" w:rsidR="00000000" w:rsidRPr="00000000">
        <w:rPr>
          <w:color w:val="001737"/>
          <w:sz w:val="26"/>
          <w:szCs w:val="26"/>
          <w:rtl w:val="0"/>
        </w:rPr>
        <w:t xml:space="preserve">SCA</w:t>
      </w:r>
    </w:p>
    <w:p w:rsidR="00000000" w:rsidDel="00000000" w:rsidP="00000000" w:rsidRDefault="00000000" w:rsidRPr="00000000" w14:paraId="00000060">
      <w:pPr>
        <w:shd w:fill="ffffff" w:val="clear"/>
        <w:spacing w:after="240" w:line="360" w:lineRule="auto"/>
        <w:rPr>
          <w:color w:val="001737"/>
          <w:sz w:val="21"/>
          <w:szCs w:val="21"/>
        </w:rPr>
      </w:pPr>
      <w:r w:rsidDel="00000000" w:rsidR="00000000" w:rsidRPr="00000000">
        <w:rPr>
          <w:color w:val="001737"/>
          <w:sz w:val="21"/>
          <w:szCs w:val="21"/>
          <w:rtl w:val="0"/>
        </w:rPr>
        <w:t xml:space="preserve">Strong Customer Authentication is the technical standard required by the EBA for PSD2 services.</w:t>
      </w:r>
    </w:p>
    <w:p w:rsidR="00000000" w:rsidDel="00000000" w:rsidP="00000000" w:rsidRDefault="00000000" w:rsidRPr="00000000" w14:paraId="00000061">
      <w:pPr>
        <w:pStyle w:val="Heading3"/>
        <w:keepNext w:val="0"/>
        <w:keepLines w:val="0"/>
        <w:shd w:fill="ffffff" w:val="clear"/>
        <w:spacing w:before="0" w:line="300" w:lineRule="auto"/>
        <w:rPr>
          <w:color w:val="001737"/>
          <w:sz w:val="26"/>
          <w:szCs w:val="26"/>
        </w:rPr>
      </w:pPr>
      <w:bookmarkStart w:colFirst="0" w:colLast="0" w:name="_m6rgb3ah9hr3" w:id="34"/>
      <w:bookmarkEnd w:id="34"/>
      <w:r w:rsidDel="00000000" w:rsidR="00000000" w:rsidRPr="00000000">
        <w:rPr>
          <w:color w:val="001737"/>
          <w:sz w:val="26"/>
          <w:szCs w:val="26"/>
          <w:rtl w:val="0"/>
        </w:rPr>
        <w:t xml:space="preserve">TPP</w:t>
      </w:r>
    </w:p>
    <w:p w:rsidR="00000000" w:rsidDel="00000000" w:rsidP="00000000" w:rsidRDefault="00000000" w:rsidRPr="00000000" w14:paraId="00000062">
      <w:pPr>
        <w:shd w:fill="ffffff" w:val="clear"/>
        <w:spacing w:after="240" w:line="360" w:lineRule="auto"/>
        <w:rPr>
          <w:color w:val="001737"/>
          <w:sz w:val="21"/>
          <w:szCs w:val="21"/>
        </w:rPr>
      </w:pPr>
      <w:r w:rsidDel="00000000" w:rsidR="00000000" w:rsidRPr="00000000">
        <w:rPr>
          <w:color w:val="001737"/>
          <w:sz w:val="21"/>
          <w:szCs w:val="21"/>
          <w:rtl w:val="0"/>
        </w:rPr>
        <w:t xml:space="preserve">Third-party providers are the people or institutions that are authorised by a Competent Authority to access customer account information (AISPs) or to initiate payments (PISPs).</w:t>
      </w:r>
    </w:p>
    <w:p w:rsidR="00000000" w:rsidDel="00000000" w:rsidP="00000000" w:rsidRDefault="00000000" w:rsidRPr="00000000" w14:paraId="00000063">
      <w:pPr>
        <w:pStyle w:val="Heading3"/>
        <w:keepNext w:val="0"/>
        <w:keepLines w:val="0"/>
        <w:shd w:fill="ffffff" w:val="clear"/>
        <w:spacing w:before="0" w:line="300" w:lineRule="auto"/>
        <w:rPr>
          <w:color w:val="001737"/>
          <w:sz w:val="26"/>
          <w:szCs w:val="26"/>
        </w:rPr>
      </w:pPr>
      <w:bookmarkStart w:colFirst="0" w:colLast="0" w:name="_f3sawqi1h0f3" w:id="35"/>
      <w:bookmarkEnd w:id="35"/>
      <w:r w:rsidDel="00000000" w:rsidR="00000000" w:rsidRPr="00000000">
        <w:rPr>
          <w:color w:val="001737"/>
          <w:sz w:val="26"/>
          <w:szCs w:val="26"/>
          <w:rtl w:val="0"/>
        </w:rPr>
        <w:t xml:space="preserve">Sandbox</w:t>
      </w:r>
    </w:p>
    <w:p w:rsidR="00000000" w:rsidDel="00000000" w:rsidP="00000000" w:rsidRDefault="00000000" w:rsidRPr="00000000" w14:paraId="00000064">
      <w:pPr>
        <w:shd w:fill="ffffff" w:val="clear"/>
        <w:spacing w:after="240" w:line="360" w:lineRule="auto"/>
        <w:rPr>
          <w:color w:val="001737"/>
          <w:sz w:val="21"/>
          <w:szCs w:val="21"/>
        </w:rPr>
      </w:pPr>
      <w:r w:rsidDel="00000000" w:rsidR="00000000" w:rsidRPr="00000000">
        <w:rPr>
          <w:color w:val="001737"/>
          <w:sz w:val="21"/>
          <w:szCs w:val="21"/>
          <w:rtl w:val="0"/>
        </w:rPr>
        <w:t xml:space="preserve">An Open Banking sandbox provides an environment and data for testing an implementation without having to use real data or be authorised by a Competent Authority.</w:t>
      </w:r>
    </w:p>
    <w:p w:rsidR="00000000" w:rsidDel="00000000" w:rsidP="00000000" w:rsidRDefault="00000000" w:rsidRPr="00000000" w14:paraId="00000065">
      <w:pPr>
        <w:pStyle w:val="Heading3"/>
        <w:keepNext w:val="0"/>
        <w:keepLines w:val="0"/>
        <w:shd w:fill="ffffff" w:val="clear"/>
        <w:spacing w:before="0" w:line="300" w:lineRule="auto"/>
        <w:rPr>
          <w:color w:val="001737"/>
          <w:sz w:val="26"/>
          <w:szCs w:val="26"/>
        </w:rPr>
      </w:pPr>
      <w:bookmarkStart w:colFirst="0" w:colLast="0" w:name="_80jh3ppmqb5k" w:id="36"/>
      <w:bookmarkEnd w:id="36"/>
      <w:r w:rsidDel="00000000" w:rsidR="00000000" w:rsidRPr="00000000">
        <w:rPr>
          <w:color w:val="001737"/>
          <w:sz w:val="26"/>
          <w:szCs w:val="26"/>
          <w:rtl w:val="0"/>
        </w:rPr>
        <w:t xml:space="preserve">XS2A</w:t>
      </w:r>
    </w:p>
    <w:p w:rsidR="00000000" w:rsidDel="00000000" w:rsidP="00000000" w:rsidRDefault="00000000" w:rsidRPr="00000000" w14:paraId="00000066">
      <w:pPr>
        <w:shd w:fill="ffffff" w:val="clear"/>
        <w:spacing w:after="240" w:line="360" w:lineRule="auto"/>
        <w:rPr>
          <w:color w:val="001737"/>
          <w:sz w:val="21"/>
          <w:szCs w:val="21"/>
        </w:rPr>
      </w:pPr>
      <w:r w:rsidDel="00000000" w:rsidR="00000000" w:rsidRPr="00000000">
        <w:rPr>
          <w:color w:val="001737"/>
          <w:sz w:val="21"/>
          <w:szCs w:val="21"/>
          <w:rtl w:val="0"/>
        </w:rPr>
        <w:t xml:space="preserve">Access to account –– a key principle in PSD2 –– is a provision that enables third-party access to the bank accounts of ind</w:t>
      </w:r>
    </w:p>
    <w:p w:rsidR="00000000" w:rsidDel="00000000" w:rsidP="00000000" w:rsidRDefault="00000000" w:rsidRPr="00000000" w14:paraId="00000067">
      <w:pPr>
        <w:spacing w:line="360" w:lineRule="auto"/>
        <w:rPr>
          <w:b w:val="1"/>
          <w:sz w:val="36"/>
          <w:szCs w:val="36"/>
        </w:rPr>
      </w:pPr>
      <w:r w:rsidDel="00000000" w:rsidR="00000000" w:rsidRPr="00000000">
        <w:rPr>
          <w:b w:val="1"/>
          <w:sz w:val="36"/>
          <w:szCs w:val="36"/>
          <w:rtl w:val="0"/>
        </w:rPr>
        <w:t xml:space="preserve">Help FAQ Page</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pStyle w:val="Heading2"/>
        <w:keepNext w:val="0"/>
        <w:keepLines w:val="0"/>
        <w:shd w:fill="ffffff" w:val="clear"/>
        <w:spacing w:after="300" w:before="300" w:line="300" w:lineRule="auto"/>
        <w:rPr>
          <w:color w:val="001737"/>
          <w:sz w:val="34"/>
          <w:szCs w:val="34"/>
        </w:rPr>
      </w:pPr>
      <w:bookmarkStart w:colFirst="0" w:colLast="0" w:name="_47o4wxa4piwm" w:id="37"/>
      <w:bookmarkEnd w:id="37"/>
      <w:r w:rsidDel="00000000" w:rsidR="00000000" w:rsidRPr="00000000">
        <w:rPr>
          <w:color w:val="001737"/>
          <w:sz w:val="34"/>
          <w:szCs w:val="34"/>
          <w:rtl w:val="0"/>
        </w:rPr>
        <w:t xml:space="preserve">General</w:t>
      </w:r>
    </w:p>
    <w:p w:rsidR="00000000" w:rsidDel="00000000" w:rsidP="00000000" w:rsidRDefault="00000000" w:rsidRPr="00000000" w14:paraId="0000006A">
      <w:pPr>
        <w:pStyle w:val="Heading3"/>
        <w:keepNext w:val="0"/>
        <w:keepLines w:val="0"/>
        <w:shd w:fill="ffffff" w:val="clear"/>
        <w:spacing w:before="0" w:line="300" w:lineRule="auto"/>
        <w:rPr>
          <w:color w:val="001737"/>
          <w:sz w:val="26"/>
          <w:szCs w:val="26"/>
        </w:rPr>
      </w:pPr>
      <w:bookmarkStart w:colFirst="0" w:colLast="0" w:name="_uupbeyk4yubz" w:id="38"/>
      <w:bookmarkEnd w:id="38"/>
      <w:r w:rsidDel="00000000" w:rsidR="00000000" w:rsidRPr="00000000">
        <w:rPr>
          <w:color w:val="001737"/>
          <w:sz w:val="26"/>
          <w:szCs w:val="26"/>
          <w:rtl w:val="0"/>
        </w:rPr>
        <w:t xml:space="preserve">What is Open Banking?</w:t>
      </w:r>
    </w:p>
    <w:p w:rsidR="00000000" w:rsidDel="00000000" w:rsidP="00000000" w:rsidRDefault="00000000" w:rsidRPr="00000000" w14:paraId="0000006B">
      <w:pPr>
        <w:shd w:fill="ffffff" w:val="clear"/>
        <w:spacing w:after="240" w:line="360" w:lineRule="auto"/>
        <w:rPr>
          <w:color w:val="001737"/>
          <w:sz w:val="21"/>
          <w:szCs w:val="21"/>
        </w:rPr>
      </w:pPr>
      <w:r w:rsidDel="00000000" w:rsidR="00000000" w:rsidRPr="00000000">
        <w:rPr>
          <w:color w:val="001737"/>
          <w:sz w:val="21"/>
          <w:szCs w:val="21"/>
          <w:rtl w:val="0"/>
        </w:rPr>
        <w:t xml:space="preserve">Open Banking is a reform, called for by the Competitions &amp; Market Authority (CMA), which mandates Ozone Model Bank and the eight other largest current account providers (CMA9) to securely share customer account data and initiate payments with registered third party providers (TPPs) provided the customer has given their consent.</w:t>
      </w:r>
    </w:p>
    <w:p w:rsidR="00000000" w:rsidDel="00000000" w:rsidP="00000000" w:rsidRDefault="00000000" w:rsidRPr="00000000" w14:paraId="0000006C">
      <w:pPr>
        <w:shd w:fill="ffffff" w:val="clear"/>
        <w:spacing w:after="240" w:line="360" w:lineRule="auto"/>
        <w:rPr>
          <w:color w:val="2c3786"/>
          <w:sz w:val="21"/>
          <w:szCs w:val="21"/>
        </w:rPr>
      </w:pPr>
      <w:r w:rsidDel="00000000" w:rsidR="00000000" w:rsidRPr="00000000">
        <w:rPr>
          <w:color w:val="001737"/>
          <w:sz w:val="21"/>
          <w:szCs w:val="21"/>
          <w:rtl w:val="0"/>
        </w:rPr>
        <w:t xml:space="preserve">Please find more information at </w:t>
      </w:r>
      <w:hyperlink r:id="rId14">
        <w:r w:rsidDel="00000000" w:rsidR="00000000" w:rsidRPr="00000000">
          <w:rPr>
            <w:color w:val="2c3786"/>
            <w:sz w:val="21"/>
            <w:szCs w:val="21"/>
            <w:rtl w:val="0"/>
          </w:rPr>
          <w:t xml:space="preserve">Open Banking</w:t>
        </w:r>
      </w:hyperlink>
      <w:r w:rsidDel="00000000" w:rsidR="00000000" w:rsidRPr="00000000">
        <w:rPr>
          <w:rtl w:val="0"/>
        </w:rPr>
      </w:r>
    </w:p>
    <w:p w:rsidR="00000000" w:rsidDel="00000000" w:rsidP="00000000" w:rsidRDefault="00000000" w:rsidRPr="00000000" w14:paraId="0000006D">
      <w:pPr>
        <w:pStyle w:val="Heading3"/>
        <w:keepNext w:val="0"/>
        <w:keepLines w:val="0"/>
        <w:shd w:fill="ffffff" w:val="clear"/>
        <w:spacing w:before="0" w:line="300" w:lineRule="auto"/>
        <w:rPr>
          <w:color w:val="001737"/>
          <w:sz w:val="26"/>
          <w:szCs w:val="26"/>
        </w:rPr>
      </w:pPr>
      <w:bookmarkStart w:colFirst="0" w:colLast="0" w:name="_dvuoiwmqemal" w:id="39"/>
      <w:bookmarkEnd w:id="39"/>
      <w:r w:rsidDel="00000000" w:rsidR="00000000" w:rsidRPr="00000000">
        <w:rPr>
          <w:color w:val="001737"/>
          <w:sz w:val="26"/>
          <w:szCs w:val="26"/>
          <w:rtl w:val="0"/>
        </w:rPr>
        <w:t xml:space="preserve">What are our Open Banking APIs?</w:t>
      </w:r>
    </w:p>
    <w:p w:rsidR="00000000" w:rsidDel="00000000" w:rsidP="00000000" w:rsidRDefault="00000000" w:rsidRPr="00000000" w14:paraId="0000006E">
      <w:pPr>
        <w:pStyle w:val="Heading4"/>
        <w:keepNext w:val="0"/>
        <w:keepLines w:val="0"/>
        <w:shd w:fill="ffffff" w:val="clear"/>
        <w:spacing w:after="40" w:before="0" w:line="300" w:lineRule="auto"/>
        <w:rPr>
          <w:color w:val="001737"/>
          <w:sz w:val="22"/>
          <w:szCs w:val="22"/>
        </w:rPr>
      </w:pPr>
      <w:bookmarkStart w:colFirst="0" w:colLast="0" w:name="_hnecsbap6qot" w:id="40"/>
      <w:bookmarkEnd w:id="40"/>
      <w:r w:rsidDel="00000000" w:rsidR="00000000" w:rsidRPr="00000000">
        <w:rPr>
          <w:color w:val="001737"/>
          <w:sz w:val="22"/>
          <w:szCs w:val="22"/>
          <w:rtl w:val="0"/>
        </w:rPr>
        <w:t xml:space="preserve">Open Data</w:t>
      </w:r>
    </w:p>
    <w:p w:rsidR="00000000" w:rsidDel="00000000" w:rsidP="00000000" w:rsidRDefault="00000000" w:rsidRPr="00000000" w14:paraId="0000006F">
      <w:pPr>
        <w:shd w:fill="ffffff" w:val="clear"/>
        <w:spacing w:after="240" w:line="360" w:lineRule="auto"/>
        <w:rPr>
          <w:color w:val="001737"/>
          <w:sz w:val="21"/>
          <w:szCs w:val="21"/>
        </w:rPr>
      </w:pPr>
      <w:r w:rsidDel="00000000" w:rsidR="00000000" w:rsidRPr="00000000">
        <w:rPr>
          <w:color w:val="001737"/>
          <w:sz w:val="21"/>
          <w:szCs w:val="21"/>
          <w:rtl w:val="0"/>
        </w:rPr>
        <w:t xml:space="preserve">These Open Data APIs allow API providers (e.g. banks, building societies and ATM providers) to develop API endpoints for products, branches and ATMs data which can then be accessed by anyone.</w:t>
      </w:r>
    </w:p>
    <w:p w:rsidR="00000000" w:rsidDel="00000000" w:rsidP="00000000" w:rsidRDefault="00000000" w:rsidRPr="00000000" w14:paraId="00000070">
      <w:pPr>
        <w:pStyle w:val="Heading4"/>
        <w:keepNext w:val="0"/>
        <w:keepLines w:val="0"/>
        <w:shd w:fill="ffffff" w:val="clear"/>
        <w:spacing w:after="40" w:before="0" w:line="300" w:lineRule="auto"/>
        <w:rPr>
          <w:color w:val="001737"/>
          <w:sz w:val="22"/>
          <w:szCs w:val="22"/>
        </w:rPr>
      </w:pPr>
      <w:bookmarkStart w:colFirst="0" w:colLast="0" w:name="_s8264aico6xb" w:id="41"/>
      <w:bookmarkEnd w:id="41"/>
      <w:r w:rsidDel="00000000" w:rsidR="00000000" w:rsidRPr="00000000">
        <w:rPr>
          <w:color w:val="001737"/>
          <w:sz w:val="22"/>
          <w:szCs w:val="22"/>
          <w:rtl w:val="0"/>
        </w:rPr>
        <w:t xml:space="preserve">Account &amp; Transactions</w:t>
      </w:r>
    </w:p>
    <w:p w:rsidR="00000000" w:rsidDel="00000000" w:rsidP="00000000" w:rsidRDefault="00000000" w:rsidRPr="00000000" w14:paraId="00000071">
      <w:pPr>
        <w:shd w:fill="ffffff" w:val="clear"/>
        <w:spacing w:after="240" w:line="360" w:lineRule="auto"/>
        <w:rPr>
          <w:color w:val="2c3786"/>
          <w:sz w:val="21"/>
          <w:szCs w:val="21"/>
        </w:rPr>
      </w:pPr>
      <w:r w:rsidDel="00000000" w:rsidR="00000000" w:rsidRPr="00000000">
        <w:rPr>
          <w:color w:val="001737"/>
          <w:sz w:val="21"/>
          <w:szCs w:val="21"/>
          <w:rtl w:val="0"/>
        </w:rPr>
        <w:t xml:space="preserve">These read/write APIs provide the ability for approved/authorised account information service providers (AISPs) to access a customer’s (payment service user, PSU) account and transaction information for domestic business current accounts (BCAs) and personal current accounts (PCAs), only when the PSU grants consent. This API is developed according to the Open Banking Read/Write API Specifications, see </w:t>
      </w:r>
      <w:hyperlink r:id="rId15">
        <w:r w:rsidDel="00000000" w:rsidR="00000000" w:rsidRPr="00000000">
          <w:rPr>
            <w:color w:val="2c3786"/>
            <w:sz w:val="21"/>
            <w:szCs w:val="21"/>
            <w:rtl w:val="0"/>
          </w:rPr>
          <w:t xml:space="preserve">https://www.openbanking.org.uk/</w:t>
        </w:r>
      </w:hyperlink>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before="0" w:line="300" w:lineRule="auto"/>
        <w:rPr>
          <w:color w:val="001737"/>
          <w:sz w:val="26"/>
          <w:szCs w:val="26"/>
        </w:rPr>
      </w:pPr>
      <w:bookmarkStart w:colFirst="0" w:colLast="0" w:name="_ueh82fv63yk2" w:id="42"/>
      <w:bookmarkEnd w:id="42"/>
      <w:r w:rsidDel="00000000" w:rsidR="00000000" w:rsidRPr="00000000">
        <w:rPr>
          <w:color w:val="001737"/>
          <w:sz w:val="26"/>
          <w:szCs w:val="26"/>
          <w:rtl w:val="0"/>
        </w:rPr>
        <w:t xml:space="preserve">Payment Initiation</w:t>
      </w:r>
    </w:p>
    <w:p w:rsidR="00000000" w:rsidDel="00000000" w:rsidP="00000000" w:rsidRDefault="00000000" w:rsidRPr="00000000" w14:paraId="00000073">
      <w:pPr>
        <w:shd w:fill="ffffff" w:val="clear"/>
        <w:spacing w:after="240" w:line="360" w:lineRule="auto"/>
        <w:rPr>
          <w:color w:val="2c3786"/>
          <w:sz w:val="21"/>
          <w:szCs w:val="21"/>
        </w:rPr>
      </w:pPr>
      <w:r w:rsidDel="00000000" w:rsidR="00000000" w:rsidRPr="00000000">
        <w:rPr>
          <w:color w:val="001737"/>
          <w:sz w:val="21"/>
          <w:szCs w:val="21"/>
          <w:rtl w:val="0"/>
        </w:rPr>
        <w:t xml:space="preserve">These read/write APIs provide the ability for authorised payment initiation service providers (PISPs) to initiate domestic payments, setup new domestic scheduled payments &amp; domestic standing orders, only when the PSU grants consent. This API is developed according to the Open Banking Read/Write API Specifications, see </w:t>
      </w:r>
      <w:hyperlink r:id="rId16">
        <w:r w:rsidDel="00000000" w:rsidR="00000000" w:rsidRPr="00000000">
          <w:rPr>
            <w:color w:val="2c3786"/>
            <w:sz w:val="21"/>
            <w:szCs w:val="21"/>
            <w:rtl w:val="0"/>
          </w:rPr>
          <w:t xml:space="preserve">https://www.openbanking.org.uk/</w:t>
        </w:r>
      </w:hyperlink>
      <w:r w:rsidDel="00000000" w:rsidR="00000000" w:rsidRPr="00000000">
        <w:rPr>
          <w:rtl w:val="0"/>
        </w:rPr>
      </w:r>
    </w:p>
    <w:p w:rsidR="00000000" w:rsidDel="00000000" w:rsidP="00000000" w:rsidRDefault="00000000" w:rsidRPr="00000000" w14:paraId="00000074">
      <w:pPr>
        <w:pStyle w:val="Heading4"/>
        <w:keepNext w:val="0"/>
        <w:keepLines w:val="0"/>
        <w:shd w:fill="ffffff" w:val="clear"/>
        <w:spacing w:after="40" w:before="0" w:line="300" w:lineRule="auto"/>
        <w:rPr>
          <w:color w:val="001737"/>
          <w:sz w:val="22"/>
          <w:szCs w:val="22"/>
        </w:rPr>
      </w:pPr>
      <w:bookmarkStart w:colFirst="0" w:colLast="0" w:name="_guee2p3h4rda" w:id="43"/>
      <w:bookmarkEnd w:id="43"/>
      <w:r w:rsidDel="00000000" w:rsidR="00000000" w:rsidRPr="00000000">
        <w:rPr>
          <w:color w:val="001737"/>
          <w:sz w:val="22"/>
          <w:szCs w:val="22"/>
          <w:rtl w:val="0"/>
        </w:rPr>
        <w:t xml:space="preserve">Confirmation of Funds</w:t>
      </w:r>
    </w:p>
    <w:p w:rsidR="00000000" w:rsidDel="00000000" w:rsidP="00000000" w:rsidRDefault="00000000" w:rsidRPr="00000000" w14:paraId="00000075">
      <w:pPr>
        <w:shd w:fill="ffffff" w:val="clear"/>
        <w:spacing w:after="240" w:line="360" w:lineRule="auto"/>
        <w:rPr>
          <w:color w:val="2c3786"/>
          <w:sz w:val="21"/>
          <w:szCs w:val="21"/>
        </w:rPr>
      </w:pPr>
      <w:r w:rsidDel="00000000" w:rsidR="00000000" w:rsidRPr="00000000">
        <w:rPr>
          <w:color w:val="001737"/>
          <w:sz w:val="21"/>
          <w:szCs w:val="21"/>
          <w:rtl w:val="0"/>
        </w:rPr>
        <w:t xml:space="preserve">Ths read/write API allow a Card Based Payment Instrument Issuer ('CBPII') to make a request to confirm funds are available. This API is developed according to the Open Banking Read/Write API Specifications, see </w:t>
      </w:r>
      <w:hyperlink r:id="rId17">
        <w:r w:rsidDel="00000000" w:rsidR="00000000" w:rsidRPr="00000000">
          <w:rPr>
            <w:color w:val="2c3786"/>
            <w:sz w:val="21"/>
            <w:szCs w:val="21"/>
            <w:rtl w:val="0"/>
          </w:rPr>
          <w:t xml:space="preserve">https://www.openbanking.org.uk/</w:t>
        </w:r>
      </w:hyperlink>
      <w:r w:rsidDel="00000000" w:rsidR="00000000" w:rsidRPr="00000000">
        <w:rPr>
          <w:rtl w:val="0"/>
        </w:rPr>
      </w:r>
    </w:p>
    <w:p w:rsidR="00000000" w:rsidDel="00000000" w:rsidP="00000000" w:rsidRDefault="00000000" w:rsidRPr="00000000" w14:paraId="00000076">
      <w:pPr>
        <w:pStyle w:val="Heading3"/>
        <w:keepNext w:val="0"/>
        <w:keepLines w:val="0"/>
        <w:shd w:fill="ffffff" w:val="clear"/>
        <w:spacing w:before="0" w:line="300" w:lineRule="auto"/>
        <w:rPr>
          <w:color w:val="001737"/>
          <w:sz w:val="26"/>
          <w:szCs w:val="26"/>
        </w:rPr>
      </w:pPr>
      <w:bookmarkStart w:colFirst="0" w:colLast="0" w:name="_ypi0ihl0nsys" w:id="44"/>
      <w:bookmarkEnd w:id="44"/>
      <w:r w:rsidDel="00000000" w:rsidR="00000000" w:rsidRPr="00000000">
        <w:rPr>
          <w:color w:val="001737"/>
          <w:sz w:val="26"/>
          <w:szCs w:val="26"/>
          <w:rtl w:val="0"/>
        </w:rPr>
        <w:t xml:space="preserve">What are the roles a TPP can perform?</w:t>
      </w:r>
    </w:p>
    <w:p w:rsidR="00000000" w:rsidDel="00000000" w:rsidP="00000000" w:rsidRDefault="00000000" w:rsidRPr="00000000" w14:paraId="00000077">
      <w:pPr>
        <w:shd w:fill="ffffff" w:val="clear"/>
        <w:spacing w:after="240" w:line="360" w:lineRule="auto"/>
        <w:rPr>
          <w:color w:val="001737"/>
          <w:sz w:val="21"/>
          <w:szCs w:val="21"/>
        </w:rPr>
      </w:pPr>
      <w:r w:rsidDel="00000000" w:rsidR="00000000" w:rsidRPr="00000000">
        <w:rPr>
          <w:color w:val="001737"/>
          <w:sz w:val="21"/>
          <w:szCs w:val="21"/>
          <w:rtl w:val="0"/>
        </w:rPr>
        <w:t xml:space="preserve">A TPP, Third Party Provider, can perform the following roles once they are registered with their National Competent Authority (NCA):</w:t>
      </w:r>
    </w:p>
    <w:p w:rsidR="00000000" w:rsidDel="00000000" w:rsidP="00000000" w:rsidRDefault="00000000" w:rsidRPr="00000000" w14:paraId="00000078">
      <w:pPr>
        <w:shd w:fill="ffffff" w:val="clear"/>
        <w:spacing w:after="240" w:line="360" w:lineRule="auto"/>
        <w:rPr>
          <w:color w:val="001737"/>
          <w:sz w:val="21"/>
          <w:szCs w:val="21"/>
        </w:rPr>
      </w:pPr>
      <w:r w:rsidDel="00000000" w:rsidR="00000000" w:rsidRPr="00000000">
        <w:rPr>
          <w:color w:val="001737"/>
          <w:sz w:val="21"/>
          <w:szCs w:val="21"/>
          <w:rtl w:val="0"/>
        </w:rPr>
        <w:t xml:space="preserve">Account Information Service Provider (AISP)</w:t>
      </w:r>
    </w:p>
    <w:p w:rsidR="00000000" w:rsidDel="00000000" w:rsidP="00000000" w:rsidRDefault="00000000" w:rsidRPr="00000000" w14:paraId="00000079">
      <w:pPr>
        <w:shd w:fill="ffffff" w:val="clear"/>
        <w:spacing w:after="240" w:line="360" w:lineRule="auto"/>
        <w:rPr>
          <w:color w:val="001737"/>
          <w:sz w:val="21"/>
          <w:szCs w:val="21"/>
        </w:rPr>
      </w:pPr>
      <w:r w:rsidDel="00000000" w:rsidR="00000000" w:rsidRPr="00000000">
        <w:rPr>
          <w:color w:val="001737"/>
          <w:sz w:val="21"/>
          <w:szCs w:val="21"/>
          <w:rtl w:val="0"/>
        </w:rPr>
        <w:t xml:space="preserve">Payment Initiation Service Provider (PISP)</w:t>
      </w:r>
    </w:p>
    <w:p w:rsidR="00000000" w:rsidDel="00000000" w:rsidP="00000000" w:rsidRDefault="00000000" w:rsidRPr="00000000" w14:paraId="0000007A">
      <w:pPr>
        <w:shd w:fill="ffffff" w:val="clear"/>
        <w:spacing w:after="240" w:line="360" w:lineRule="auto"/>
        <w:rPr>
          <w:color w:val="001737"/>
          <w:sz w:val="21"/>
          <w:szCs w:val="21"/>
        </w:rPr>
      </w:pPr>
      <w:r w:rsidDel="00000000" w:rsidR="00000000" w:rsidRPr="00000000">
        <w:rPr>
          <w:color w:val="001737"/>
          <w:sz w:val="21"/>
          <w:szCs w:val="21"/>
          <w:rtl w:val="0"/>
        </w:rPr>
        <w:t xml:space="preserve">Technical Service Provider (TSP)</w:t>
      </w:r>
    </w:p>
    <w:p w:rsidR="00000000" w:rsidDel="00000000" w:rsidP="00000000" w:rsidRDefault="00000000" w:rsidRPr="00000000" w14:paraId="0000007B">
      <w:pPr>
        <w:shd w:fill="ffffff" w:val="clear"/>
        <w:spacing w:after="240" w:line="360" w:lineRule="auto"/>
        <w:rPr>
          <w:color w:val="001737"/>
          <w:sz w:val="21"/>
          <w:szCs w:val="21"/>
        </w:rPr>
      </w:pPr>
      <w:r w:rsidDel="00000000" w:rsidR="00000000" w:rsidRPr="00000000">
        <w:rPr>
          <w:color w:val="001737"/>
          <w:sz w:val="21"/>
          <w:szCs w:val="21"/>
          <w:rtl w:val="0"/>
        </w:rPr>
        <w:t xml:space="preserve">Card Based Payment Instrument Issuer (CBPII)</w:t>
      </w:r>
    </w:p>
    <w:p w:rsidR="00000000" w:rsidDel="00000000" w:rsidP="00000000" w:rsidRDefault="00000000" w:rsidRPr="00000000" w14:paraId="0000007C">
      <w:pPr>
        <w:pStyle w:val="Heading2"/>
        <w:keepNext w:val="0"/>
        <w:keepLines w:val="0"/>
        <w:shd w:fill="ffffff" w:val="clear"/>
        <w:spacing w:after="300" w:before="300" w:line="300" w:lineRule="auto"/>
        <w:rPr>
          <w:color w:val="001737"/>
          <w:sz w:val="34"/>
          <w:szCs w:val="34"/>
        </w:rPr>
      </w:pPr>
      <w:bookmarkStart w:colFirst="0" w:colLast="0" w:name="_v4vevix81vnu" w:id="45"/>
      <w:bookmarkEnd w:id="45"/>
      <w:r w:rsidDel="00000000" w:rsidR="00000000" w:rsidRPr="00000000">
        <w:rPr>
          <w:color w:val="001737"/>
          <w:sz w:val="34"/>
          <w:szCs w:val="34"/>
          <w:rtl w:val="0"/>
        </w:rPr>
        <w:t xml:space="preserve">Read/Write APIs</w:t>
      </w:r>
    </w:p>
    <w:p w:rsidR="00000000" w:rsidDel="00000000" w:rsidP="00000000" w:rsidRDefault="00000000" w:rsidRPr="00000000" w14:paraId="0000007D">
      <w:pPr>
        <w:pStyle w:val="Heading3"/>
        <w:keepNext w:val="0"/>
        <w:keepLines w:val="0"/>
        <w:shd w:fill="ffffff" w:val="clear"/>
        <w:spacing w:before="0" w:line="300" w:lineRule="auto"/>
        <w:rPr>
          <w:color w:val="001737"/>
          <w:sz w:val="26"/>
          <w:szCs w:val="26"/>
        </w:rPr>
      </w:pPr>
      <w:bookmarkStart w:colFirst="0" w:colLast="0" w:name="_ixzzlwpbjt1f" w:id="46"/>
      <w:bookmarkEnd w:id="46"/>
      <w:r w:rsidDel="00000000" w:rsidR="00000000" w:rsidRPr="00000000">
        <w:rPr>
          <w:color w:val="001737"/>
          <w:sz w:val="26"/>
          <w:szCs w:val="26"/>
          <w:rtl w:val="0"/>
        </w:rPr>
        <w:t xml:space="preserve">How can I access {bank name} Read/Write APIs?</w:t>
      </w:r>
    </w:p>
    <w:p w:rsidR="00000000" w:rsidDel="00000000" w:rsidP="00000000" w:rsidRDefault="00000000" w:rsidRPr="00000000" w14:paraId="0000007E">
      <w:pPr>
        <w:shd w:fill="ffffff" w:val="clear"/>
        <w:spacing w:after="240" w:line="360" w:lineRule="auto"/>
        <w:rPr>
          <w:color w:val="001737"/>
          <w:sz w:val="21"/>
          <w:szCs w:val="21"/>
        </w:rPr>
      </w:pPr>
      <w:r w:rsidDel="00000000" w:rsidR="00000000" w:rsidRPr="00000000">
        <w:rPr>
          <w:color w:val="001737"/>
          <w:sz w:val="21"/>
          <w:szCs w:val="21"/>
          <w:rtl w:val="0"/>
        </w:rPr>
        <w:t xml:space="preserve">As a TPP, in order to access our Read/Write APIs, you need to be enrolled with Open Banking (Enrolling Onto Open Banking Guide) and registered with the Financial Conduct Authority (FCA) or a National Competent Authority (NCA), as either an AISP and/or PISP, TSP or CBPII.</w:t>
      </w:r>
    </w:p>
    <w:p w:rsidR="00000000" w:rsidDel="00000000" w:rsidP="00000000" w:rsidRDefault="00000000" w:rsidRPr="00000000" w14:paraId="0000007F">
      <w:pPr>
        <w:shd w:fill="ffffff" w:val="clear"/>
        <w:spacing w:after="240" w:line="360" w:lineRule="auto"/>
        <w:rPr>
          <w:color w:val="001737"/>
          <w:sz w:val="21"/>
          <w:szCs w:val="21"/>
        </w:rPr>
      </w:pPr>
      <w:r w:rsidDel="00000000" w:rsidR="00000000" w:rsidRPr="00000000">
        <w:rPr>
          <w:color w:val="001737"/>
          <w:sz w:val="21"/>
          <w:szCs w:val="21"/>
          <w:rtl w:val="0"/>
        </w:rPr>
        <w:t xml:space="preserve">This will then enable you to access our APIs through the {bank name} Developer Portal</w:t>
      </w:r>
    </w:p>
    <w:p w:rsidR="00000000" w:rsidDel="00000000" w:rsidP="00000000" w:rsidRDefault="00000000" w:rsidRPr="00000000" w14:paraId="00000080">
      <w:pPr>
        <w:pStyle w:val="Heading3"/>
        <w:keepNext w:val="0"/>
        <w:keepLines w:val="0"/>
        <w:shd w:fill="ffffff" w:val="clear"/>
        <w:spacing w:before="0" w:line="300" w:lineRule="auto"/>
        <w:rPr>
          <w:color w:val="001737"/>
          <w:sz w:val="26"/>
          <w:szCs w:val="26"/>
        </w:rPr>
      </w:pPr>
      <w:bookmarkStart w:colFirst="0" w:colLast="0" w:name="_t44k18zib7nv" w:id="47"/>
      <w:bookmarkEnd w:id="47"/>
      <w:r w:rsidDel="00000000" w:rsidR="00000000" w:rsidRPr="00000000">
        <w:rPr>
          <w:color w:val="001737"/>
          <w:sz w:val="26"/>
          <w:szCs w:val="26"/>
          <w:rtl w:val="0"/>
        </w:rPr>
        <w:t xml:space="preserve">As a Third Party Provider, is there somewhere I can test prototype Open Banking Solutions?</w:t>
      </w:r>
    </w:p>
    <w:p w:rsidR="00000000" w:rsidDel="00000000" w:rsidP="00000000" w:rsidRDefault="00000000" w:rsidRPr="00000000" w14:paraId="00000081">
      <w:pPr>
        <w:shd w:fill="ffffff" w:val="clear"/>
        <w:spacing w:after="240" w:line="360" w:lineRule="auto"/>
        <w:rPr>
          <w:color w:val="001737"/>
          <w:sz w:val="21"/>
          <w:szCs w:val="21"/>
        </w:rPr>
      </w:pPr>
      <w:r w:rsidDel="00000000" w:rsidR="00000000" w:rsidRPr="00000000">
        <w:rPr>
          <w:color w:val="001737"/>
          <w:sz w:val="21"/>
          <w:szCs w:val="21"/>
          <w:rtl w:val="0"/>
        </w:rPr>
        <w:t xml:space="preserve">Yes, {bank name} has a test facility </w:t>
      </w:r>
      <w:hyperlink r:id="rId18">
        <w:r w:rsidDel="00000000" w:rsidR="00000000" w:rsidRPr="00000000">
          <w:rPr>
            <w:color w:val="2c3786"/>
            <w:sz w:val="21"/>
            <w:szCs w:val="21"/>
            <w:rtl w:val="0"/>
          </w:rPr>
          <w:t xml:space="preserve">../40-sandbox.md</w:t>
        </w:r>
      </w:hyperlink>
      <w:r w:rsidDel="00000000" w:rsidR="00000000" w:rsidRPr="00000000">
        <w:rPr>
          <w:color w:val="001737"/>
          <w:sz w:val="21"/>
          <w:szCs w:val="21"/>
          <w:rtl w:val="0"/>
        </w:rPr>
        <w:t xml:space="preserve"> available through our Developer Portal. This will be made available in March 2019.</w:t>
      </w:r>
    </w:p>
    <w:p w:rsidR="00000000" w:rsidDel="00000000" w:rsidP="00000000" w:rsidRDefault="00000000" w:rsidRPr="00000000" w14:paraId="00000082">
      <w:pPr>
        <w:shd w:fill="ffffff" w:val="clear"/>
        <w:spacing w:after="240" w:line="360" w:lineRule="auto"/>
        <w:rPr>
          <w:color w:val="001737"/>
          <w:sz w:val="21"/>
          <w:szCs w:val="21"/>
        </w:rPr>
      </w:pPr>
      <w:r w:rsidDel="00000000" w:rsidR="00000000" w:rsidRPr="00000000">
        <w:rPr>
          <w:color w:val="001737"/>
          <w:sz w:val="21"/>
          <w:szCs w:val="21"/>
          <w:rtl w:val="0"/>
        </w:rPr>
        <w:t xml:space="preserve">Check out our [../20-getting-started.md](Get Started) guide for a step by step guide on how to start testing with our Sandbox APIs.</w:t>
      </w:r>
    </w:p>
    <w:p w:rsidR="00000000" w:rsidDel="00000000" w:rsidP="00000000" w:rsidRDefault="00000000" w:rsidRPr="00000000" w14:paraId="00000083">
      <w:pPr>
        <w:pStyle w:val="Heading3"/>
        <w:keepNext w:val="0"/>
        <w:keepLines w:val="0"/>
        <w:shd w:fill="ffffff" w:val="clear"/>
        <w:spacing w:before="0" w:line="300" w:lineRule="auto"/>
        <w:rPr>
          <w:color w:val="001737"/>
          <w:sz w:val="26"/>
          <w:szCs w:val="26"/>
        </w:rPr>
      </w:pPr>
      <w:bookmarkStart w:colFirst="0" w:colLast="0" w:name="_nh0ow419whu2" w:id="48"/>
      <w:bookmarkEnd w:id="48"/>
      <w:r w:rsidDel="00000000" w:rsidR="00000000" w:rsidRPr="00000000">
        <w:rPr>
          <w:color w:val="001737"/>
          <w:sz w:val="26"/>
          <w:szCs w:val="26"/>
          <w:rtl w:val="0"/>
        </w:rPr>
        <w:t xml:space="preserve">Where are the specifications you have used to build your current APIs?</w:t>
      </w:r>
    </w:p>
    <w:p w:rsidR="00000000" w:rsidDel="00000000" w:rsidP="00000000" w:rsidRDefault="00000000" w:rsidRPr="00000000" w14:paraId="00000084">
      <w:pPr>
        <w:shd w:fill="ffffff" w:val="clear"/>
        <w:spacing w:after="240" w:line="360" w:lineRule="auto"/>
        <w:rPr>
          <w:color w:val="001737"/>
          <w:sz w:val="21"/>
          <w:szCs w:val="21"/>
        </w:rPr>
      </w:pPr>
      <w:r w:rsidDel="00000000" w:rsidR="00000000" w:rsidRPr="00000000">
        <w:rPr>
          <w:color w:val="001737"/>
          <w:sz w:val="21"/>
          <w:szCs w:val="21"/>
          <w:rtl w:val="0"/>
        </w:rPr>
        <w:t xml:space="preserve">There are full specifications provided by OBIE available on their [</w:t>
      </w:r>
      <w:hyperlink r:id="rId19">
        <w:r w:rsidDel="00000000" w:rsidR="00000000" w:rsidRPr="00000000">
          <w:rPr>
            <w:color w:val="2c3786"/>
            <w:sz w:val="21"/>
            <w:szCs w:val="21"/>
            <w:rtl w:val="0"/>
          </w:rPr>
          <w:t xml:space="preserve">https://openbanking.atlassian.net/wiki/spaces/DZ/overview]</w:t>
        </w:r>
      </w:hyperlink>
      <w:r w:rsidDel="00000000" w:rsidR="00000000" w:rsidRPr="00000000">
        <w:rPr>
          <w:color w:val="001737"/>
          <w:sz w:val="21"/>
          <w:szCs w:val="21"/>
          <w:rtl w:val="0"/>
        </w:rPr>
        <w:t xml:space="preserve">(Developer Zone) from which we’ve built our APIs.</w:t>
      </w:r>
    </w:p>
    <w:p w:rsidR="00000000" w:rsidDel="00000000" w:rsidP="00000000" w:rsidRDefault="00000000" w:rsidRPr="00000000" w14:paraId="00000085">
      <w:pPr>
        <w:pStyle w:val="Heading2"/>
        <w:keepNext w:val="0"/>
        <w:keepLines w:val="0"/>
        <w:shd w:fill="ffffff" w:val="clear"/>
        <w:spacing w:after="300" w:before="300" w:line="300" w:lineRule="auto"/>
        <w:rPr>
          <w:color w:val="001737"/>
          <w:sz w:val="34"/>
          <w:szCs w:val="34"/>
        </w:rPr>
      </w:pPr>
      <w:bookmarkStart w:colFirst="0" w:colLast="0" w:name="_plsm1nda21h5" w:id="49"/>
      <w:bookmarkEnd w:id="49"/>
      <w:r w:rsidDel="00000000" w:rsidR="00000000" w:rsidRPr="00000000">
        <w:rPr>
          <w:color w:val="001737"/>
          <w:sz w:val="34"/>
          <w:szCs w:val="34"/>
          <w:rtl w:val="0"/>
        </w:rPr>
        <w:t xml:space="preserve">Response Codes</w:t>
      </w:r>
    </w:p>
    <w:p w:rsidR="00000000" w:rsidDel="00000000" w:rsidP="00000000" w:rsidRDefault="00000000" w:rsidRPr="00000000" w14:paraId="00000086">
      <w:pPr>
        <w:pStyle w:val="Heading3"/>
        <w:keepNext w:val="0"/>
        <w:keepLines w:val="0"/>
        <w:shd w:fill="ffffff" w:val="clear"/>
        <w:spacing w:before="0" w:line="300" w:lineRule="auto"/>
        <w:rPr>
          <w:color w:val="001737"/>
          <w:sz w:val="26"/>
          <w:szCs w:val="26"/>
        </w:rPr>
      </w:pPr>
      <w:bookmarkStart w:colFirst="0" w:colLast="0" w:name="_zcloyiq1eebx" w:id="50"/>
      <w:bookmarkEnd w:id="50"/>
      <w:r w:rsidDel="00000000" w:rsidR="00000000" w:rsidRPr="00000000">
        <w:rPr>
          <w:color w:val="001737"/>
          <w:sz w:val="26"/>
          <w:szCs w:val="26"/>
          <w:rtl w:val="0"/>
        </w:rPr>
        <w:t xml:space="preserve">I am getting a 401 unauthorized response when invoking /token endpoints</w:t>
      </w:r>
    </w:p>
    <w:p w:rsidR="00000000" w:rsidDel="00000000" w:rsidP="00000000" w:rsidRDefault="00000000" w:rsidRPr="00000000" w14:paraId="00000087">
      <w:pPr>
        <w:shd w:fill="ffffff" w:val="clear"/>
        <w:spacing w:after="240" w:line="360" w:lineRule="auto"/>
        <w:rPr>
          <w:color w:val="001737"/>
          <w:sz w:val="21"/>
          <w:szCs w:val="21"/>
        </w:rPr>
      </w:pPr>
      <w:r w:rsidDel="00000000" w:rsidR="00000000" w:rsidRPr="00000000">
        <w:rPr>
          <w:color w:val="001737"/>
          <w:sz w:val="21"/>
          <w:szCs w:val="21"/>
          <w:rtl w:val="0"/>
        </w:rPr>
        <w:t xml:space="preserve">(1) Make sure you have registered your SSA in Ozone Model Bank Developer Portal and the subscription of the Accounts Service Provider API and/or Payments Service Provider API is approved by Ozone Model Bank</w:t>
      </w:r>
    </w:p>
    <w:p w:rsidR="00000000" w:rsidDel="00000000" w:rsidP="00000000" w:rsidRDefault="00000000" w:rsidRPr="00000000" w14:paraId="00000088">
      <w:pPr>
        <w:shd w:fill="ffffff" w:val="clear"/>
        <w:spacing w:after="240" w:line="360" w:lineRule="auto"/>
        <w:rPr>
          <w:color w:val="001737"/>
          <w:sz w:val="21"/>
          <w:szCs w:val="21"/>
        </w:rPr>
      </w:pPr>
      <w:r w:rsidDel="00000000" w:rsidR="00000000" w:rsidRPr="00000000">
        <w:rPr>
          <w:color w:val="001737"/>
          <w:sz w:val="21"/>
          <w:szCs w:val="21"/>
          <w:rtl w:val="0"/>
        </w:rPr>
        <w:t xml:space="preserve">(2) Make sure you are following client_secret_post for the OIDC calls</w:t>
      </w:r>
    </w:p>
    <w:p w:rsidR="00000000" w:rsidDel="00000000" w:rsidP="00000000" w:rsidRDefault="00000000" w:rsidRPr="00000000" w14:paraId="00000089">
      <w:pPr>
        <w:shd w:fill="ffffff" w:val="clear"/>
        <w:spacing w:after="240" w:line="360" w:lineRule="auto"/>
        <w:rPr>
          <w:color w:val="001737"/>
          <w:sz w:val="21"/>
          <w:szCs w:val="21"/>
        </w:rPr>
      </w:pPr>
      <w:r w:rsidDel="00000000" w:rsidR="00000000" w:rsidRPr="00000000">
        <w:rPr>
          <w:color w:val="001737"/>
          <w:sz w:val="21"/>
          <w:szCs w:val="21"/>
          <w:rtl w:val="0"/>
        </w:rPr>
        <w:t xml:space="preserve">(3) Make sure you are sending client_id &amp; client_secret as part of x-www-form-urlencoded body parameter</w:t>
      </w:r>
    </w:p>
    <w:p w:rsidR="00000000" w:rsidDel="00000000" w:rsidP="00000000" w:rsidRDefault="00000000" w:rsidRPr="00000000" w14:paraId="0000008A">
      <w:pPr>
        <w:pStyle w:val="Heading3"/>
        <w:keepNext w:val="0"/>
        <w:keepLines w:val="0"/>
        <w:shd w:fill="ffffff" w:val="clear"/>
        <w:spacing w:before="0" w:line="300" w:lineRule="auto"/>
        <w:rPr>
          <w:color w:val="001737"/>
          <w:sz w:val="26"/>
          <w:szCs w:val="26"/>
        </w:rPr>
      </w:pPr>
      <w:bookmarkStart w:colFirst="0" w:colLast="0" w:name="_jeyxxpw4xkgf" w:id="51"/>
      <w:bookmarkEnd w:id="51"/>
      <w:r w:rsidDel="00000000" w:rsidR="00000000" w:rsidRPr="00000000">
        <w:rPr>
          <w:color w:val="001737"/>
          <w:sz w:val="26"/>
          <w:szCs w:val="26"/>
          <w:rtl w:val="0"/>
        </w:rPr>
        <w:t xml:space="preserve">I am getting an SSL Handshake Error when trying to invoke /token or resource endpoints.</w:t>
      </w:r>
    </w:p>
    <w:p w:rsidR="00000000" w:rsidDel="00000000" w:rsidP="00000000" w:rsidRDefault="00000000" w:rsidRPr="00000000" w14:paraId="0000008B">
      <w:pPr>
        <w:shd w:fill="ffffff" w:val="clear"/>
        <w:spacing w:after="240" w:line="360" w:lineRule="auto"/>
        <w:rPr>
          <w:color w:val="001737"/>
          <w:sz w:val="21"/>
          <w:szCs w:val="21"/>
        </w:rPr>
      </w:pPr>
      <w:r w:rsidDel="00000000" w:rsidR="00000000" w:rsidRPr="00000000">
        <w:rPr>
          <w:color w:val="001737"/>
          <w:sz w:val="21"/>
          <w:szCs w:val="21"/>
          <w:rtl w:val="0"/>
        </w:rPr>
        <w:t xml:space="preserve">Check that you are using the correct network certificate signed by Open Banking to establish the TLS MA co</w:t>
      </w:r>
    </w:p>
    <w:p w:rsidR="00000000" w:rsidDel="00000000" w:rsidP="00000000" w:rsidRDefault="00000000" w:rsidRPr="00000000" w14:paraId="0000008C">
      <w:pPr>
        <w:spacing w:line="360" w:lineRule="auto"/>
        <w:rPr>
          <w:b w:val="1"/>
          <w:sz w:val="36"/>
          <w:szCs w:val="36"/>
        </w:rPr>
      </w:pPr>
      <w:r w:rsidDel="00000000" w:rsidR="00000000" w:rsidRPr="00000000">
        <w:rPr>
          <w:b w:val="1"/>
          <w:sz w:val="36"/>
          <w:szCs w:val="36"/>
          <w:rtl w:val="0"/>
        </w:rPr>
        <w:t xml:space="preserve">Help Contact Us Page</w:t>
      </w:r>
    </w:p>
    <w:p w:rsidR="00000000" w:rsidDel="00000000" w:rsidP="00000000" w:rsidRDefault="00000000" w:rsidRPr="00000000" w14:paraId="0000008D">
      <w:pPr>
        <w:spacing w:line="360" w:lineRule="auto"/>
        <w:rPr>
          <w:color w:val="001737"/>
          <w:sz w:val="21"/>
          <w:szCs w:val="21"/>
          <w:highlight w:val="white"/>
        </w:rPr>
      </w:pPr>
      <w:r w:rsidDel="00000000" w:rsidR="00000000" w:rsidRPr="00000000">
        <w:rPr>
          <w:color w:val="001737"/>
          <w:sz w:val="21"/>
          <w:szCs w:val="21"/>
          <w:highlight w:val="white"/>
          <w:rtl w:val="0"/>
        </w:rPr>
        <w:t xml:space="preserve">To contact us for help regarding integration, send us an email </w:t>
      </w:r>
      <w:hyperlink r:id="rId20">
        <w:r w:rsidDel="00000000" w:rsidR="00000000" w:rsidRPr="00000000">
          <w:rPr>
            <w:color w:val="1155cc"/>
            <w:sz w:val="21"/>
            <w:szCs w:val="21"/>
            <w:highlight w:val="white"/>
            <w:u w:val="single"/>
            <w:rtl w:val="0"/>
          </w:rPr>
          <w:t xml:space="preserve">help@getrova.com</w:t>
        </w:r>
      </w:hyperlink>
      <w:r w:rsidDel="00000000" w:rsidR="00000000" w:rsidRPr="00000000">
        <w:rPr>
          <w:color w:val="001737"/>
          <w:sz w:val="21"/>
          <w:szCs w:val="21"/>
          <w:highlight w:val="white"/>
          <w:rtl w:val="0"/>
        </w:rPr>
        <w:t xml:space="preserve"> </w:t>
      </w:r>
    </w:p>
    <w:p w:rsidR="00000000" w:rsidDel="00000000" w:rsidP="00000000" w:rsidRDefault="00000000" w:rsidRPr="00000000" w14:paraId="0000008E">
      <w:pPr>
        <w:spacing w:line="360" w:lineRule="auto"/>
        <w:rPr>
          <w:color w:val="001737"/>
          <w:sz w:val="21"/>
          <w:szCs w:val="21"/>
          <w:highlight w:val="white"/>
        </w:rPr>
      </w:pPr>
      <w:r w:rsidDel="00000000" w:rsidR="00000000" w:rsidRPr="00000000">
        <w:rPr>
          <w:rtl w:val="0"/>
        </w:rPr>
      </w:r>
    </w:p>
    <w:p w:rsidR="00000000" w:rsidDel="00000000" w:rsidP="00000000" w:rsidRDefault="00000000" w:rsidRPr="00000000" w14:paraId="0000008F">
      <w:pPr>
        <w:spacing w:line="360" w:lineRule="auto"/>
        <w:rPr>
          <w:color w:val="001737"/>
          <w:sz w:val="21"/>
          <w:szCs w:val="21"/>
          <w:highlight w:val="white"/>
        </w:rPr>
      </w:pPr>
      <w:r w:rsidDel="00000000" w:rsidR="00000000" w:rsidRPr="00000000">
        <w:rPr>
          <w:rtl w:val="0"/>
        </w:rPr>
      </w:r>
    </w:p>
    <w:p w:rsidR="00000000" w:rsidDel="00000000" w:rsidP="00000000" w:rsidRDefault="00000000" w:rsidRPr="00000000" w14:paraId="00000090">
      <w:pPr>
        <w:spacing w:line="360" w:lineRule="auto"/>
        <w:rPr>
          <w:b w:val="1"/>
          <w:u w:val="single"/>
        </w:rPr>
      </w:pPr>
      <w:r w:rsidDel="00000000" w:rsidR="00000000" w:rsidRPr="00000000">
        <w:rPr>
          <w:b w:val="1"/>
          <w:u w:val="single"/>
          <w:rtl w:val="0"/>
        </w:rPr>
        <w:t xml:space="preserve">Note the following (for Ozone API)</w:t>
      </w:r>
    </w:p>
    <w:p w:rsidR="00000000" w:rsidDel="00000000" w:rsidP="00000000" w:rsidRDefault="00000000" w:rsidRPr="00000000" w14:paraId="00000091">
      <w:pPr>
        <w:spacing w:line="360" w:lineRule="auto"/>
        <w:rPr/>
      </w:pPr>
      <w:r w:rsidDel="00000000" w:rsidR="00000000" w:rsidRPr="00000000">
        <w:rPr>
          <w:rtl w:val="0"/>
        </w:rPr>
        <w:t xml:space="preserve">Ozone API to replace the ozone model bank name to Rova in the following pages</w:t>
      </w:r>
    </w:p>
    <w:p w:rsidR="00000000" w:rsidDel="00000000" w:rsidP="00000000" w:rsidRDefault="00000000" w:rsidRPr="00000000" w14:paraId="00000092">
      <w:pPr>
        <w:numPr>
          <w:ilvl w:val="0"/>
          <w:numId w:val="1"/>
        </w:numPr>
        <w:spacing w:line="360" w:lineRule="auto"/>
        <w:ind w:left="720" w:hanging="360"/>
      </w:pPr>
      <w:r w:rsidDel="00000000" w:rsidR="00000000" w:rsidRPr="00000000">
        <w:rPr>
          <w:rtl w:val="0"/>
        </w:rPr>
        <w:t xml:space="preserve">Sandbox page, </w:t>
      </w:r>
    </w:p>
    <w:p w:rsidR="00000000" w:rsidDel="00000000" w:rsidP="00000000" w:rsidRDefault="00000000" w:rsidRPr="00000000" w14:paraId="00000093">
      <w:pPr>
        <w:numPr>
          <w:ilvl w:val="0"/>
          <w:numId w:val="1"/>
        </w:numPr>
        <w:spacing w:line="360" w:lineRule="auto"/>
        <w:ind w:left="720" w:hanging="360"/>
      </w:pPr>
      <w:r w:rsidDel="00000000" w:rsidR="00000000" w:rsidRPr="00000000">
        <w:rPr>
          <w:rtl w:val="0"/>
        </w:rPr>
        <w:t xml:space="preserve">AISP API overview page, </w:t>
      </w:r>
    </w:p>
    <w:p w:rsidR="00000000" w:rsidDel="00000000" w:rsidP="00000000" w:rsidRDefault="00000000" w:rsidRPr="00000000" w14:paraId="00000094">
      <w:pPr>
        <w:numPr>
          <w:ilvl w:val="0"/>
          <w:numId w:val="1"/>
        </w:numPr>
        <w:spacing w:line="360" w:lineRule="auto"/>
        <w:ind w:left="720" w:hanging="360"/>
      </w:pPr>
      <w:r w:rsidDel="00000000" w:rsidR="00000000" w:rsidRPr="00000000">
        <w:rPr>
          <w:rtl w:val="0"/>
        </w:rPr>
        <w:t xml:space="preserve">PISP API overview  page </w:t>
      </w:r>
    </w:p>
    <w:p w:rsidR="00000000" w:rsidDel="00000000" w:rsidP="00000000" w:rsidRDefault="00000000" w:rsidRPr="00000000" w14:paraId="00000095">
      <w:pPr>
        <w:spacing w:line="360" w:lineRule="auto"/>
        <w:rPr/>
      </w:pPr>
      <w:r w:rsidDel="00000000" w:rsidR="00000000" w:rsidRPr="00000000">
        <w:rPr>
          <w:rtl w:val="0"/>
        </w:rPr>
        <w:t xml:space="preserve">Types of accounts that Rova customers will have consent to</w:t>
      </w:r>
    </w:p>
    <w:p w:rsidR="00000000" w:rsidDel="00000000" w:rsidP="00000000" w:rsidRDefault="00000000" w:rsidRPr="00000000" w14:paraId="00000096">
      <w:pPr>
        <w:numPr>
          <w:ilvl w:val="0"/>
          <w:numId w:val="6"/>
        </w:numPr>
        <w:spacing w:line="360" w:lineRule="auto"/>
        <w:ind w:left="720" w:hanging="360"/>
      </w:pPr>
      <w:r w:rsidDel="00000000" w:rsidR="00000000" w:rsidRPr="00000000">
        <w:rPr>
          <w:rtl w:val="0"/>
        </w:rPr>
        <w:t xml:space="preserve">GBP Current Account</w:t>
      </w:r>
    </w:p>
    <w:p w:rsidR="00000000" w:rsidDel="00000000" w:rsidP="00000000" w:rsidRDefault="00000000" w:rsidRPr="00000000" w14:paraId="00000097">
      <w:pPr>
        <w:numPr>
          <w:ilvl w:val="0"/>
          <w:numId w:val="6"/>
        </w:numPr>
        <w:spacing w:line="360" w:lineRule="auto"/>
        <w:ind w:left="720" w:hanging="360"/>
      </w:pPr>
      <w:r w:rsidDel="00000000" w:rsidR="00000000" w:rsidRPr="00000000">
        <w:rPr>
          <w:rtl w:val="0"/>
        </w:rPr>
        <w:t xml:space="preserve">GBP Savings Vault Account</w:t>
      </w:r>
    </w:p>
    <w:p w:rsidR="00000000" w:rsidDel="00000000" w:rsidP="00000000" w:rsidRDefault="00000000" w:rsidRPr="00000000" w14:paraId="00000098">
      <w:pPr>
        <w:spacing w:line="360" w:lineRule="auto"/>
        <w:rPr/>
      </w:pPr>
      <w:r w:rsidDel="00000000" w:rsidR="00000000" w:rsidRPr="00000000">
        <w:rPr>
          <w:rtl w:val="0"/>
        </w:rPr>
        <w:t xml:space="preserve">AIS services that will be available to Rova customers</w:t>
      </w:r>
    </w:p>
    <w:p w:rsidR="00000000" w:rsidDel="00000000" w:rsidP="00000000" w:rsidRDefault="00000000" w:rsidRPr="00000000" w14:paraId="00000099">
      <w:pPr>
        <w:numPr>
          <w:ilvl w:val="0"/>
          <w:numId w:val="2"/>
        </w:numPr>
        <w:spacing w:line="360" w:lineRule="auto"/>
        <w:ind w:left="720" w:hanging="360"/>
      </w:pPr>
      <w:r w:rsidDel="00000000" w:rsidR="00000000" w:rsidRPr="00000000">
        <w:rPr>
          <w:rtl w:val="0"/>
        </w:rPr>
        <w:t xml:space="preserve">Accounts</w:t>
      </w:r>
    </w:p>
    <w:p w:rsidR="00000000" w:rsidDel="00000000" w:rsidP="00000000" w:rsidRDefault="00000000" w:rsidRPr="00000000" w14:paraId="0000009A">
      <w:pPr>
        <w:numPr>
          <w:ilvl w:val="0"/>
          <w:numId w:val="2"/>
        </w:numPr>
        <w:spacing w:line="360" w:lineRule="auto"/>
        <w:ind w:left="720" w:hanging="360"/>
      </w:pPr>
      <w:r w:rsidDel="00000000" w:rsidR="00000000" w:rsidRPr="00000000">
        <w:rPr>
          <w:rtl w:val="0"/>
        </w:rPr>
        <w:t xml:space="preserve">Balances</w:t>
      </w:r>
    </w:p>
    <w:p w:rsidR="00000000" w:rsidDel="00000000" w:rsidP="00000000" w:rsidRDefault="00000000" w:rsidRPr="00000000" w14:paraId="0000009B">
      <w:pPr>
        <w:numPr>
          <w:ilvl w:val="0"/>
          <w:numId w:val="2"/>
        </w:numPr>
        <w:spacing w:line="360" w:lineRule="auto"/>
        <w:ind w:left="720" w:hanging="360"/>
      </w:pPr>
      <w:r w:rsidDel="00000000" w:rsidR="00000000" w:rsidRPr="00000000">
        <w:rPr>
          <w:rtl w:val="0"/>
        </w:rPr>
        <w:t xml:space="preserve">Transactions</w:t>
      </w:r>
    </w:p>
    <w:p w:rsidR="00000000" w:rsidDel="00000000" w:rsidP="00000000" w:rsidRDefault="00000000" w:rsidRPr="00000000" w14:paraId="0000009C">
      <w:pPr>
        <w:numPr>
          <w:ilvl w:val="0"/>
          <w:numId w:val="2"/>
        </w:numPr>
        <w:spacing w:line="360" w:lineRule="auto"/>
        <w:ind w:left="720" w:hanging="360"/>
      </w:pPr>
      <w:r w:rsidDel="00000000" w:rsidR="00000000" w:rsidRPr="00000000">
        <w:rPr>
          <w:rtl w:val="0"/>
        </w:rPr>
        <w:t xml:space="preserve">Beneficiaries</w:t>
      </w:r>
    </w:p>
    <w:p w:rsidR="00000000" w:rsidDel="00000000" w:rsidP="00000000" w:rsidRDefault="00000000" w:rsidRPr="00000000" w14:paraId="0000009D">
      <w:pPr>
        <w:numPr>
          <w:ilvl w:val="0"/>
          <w:numId w:val="2"/>
        </w:numPr>
        <w:spacing w:line="360" w:lineRule="auto"/>
        <w:ind w:left="720" w:hanging="360"/>
      </w:pPr>
      <w:r w:rsidDel="00000000" w:rsidR="00000000" w:rsidRPr="00000000">
        <w:rPr>
          <w:rtl w:val="0"/>
        </w:rPr>
        <w:t xml:space="preserve">Product</w:t>
      </w:r>
    </w:p>
    <w:p w:rsidR="00000000" w:rsidDel="00000000" w:rsidP="00000000" w:rsidRDefault="00000000" w:rsidRPr="00000000" w14:paraId="0000009E">
      <w:pPr>
        <w:spacing w:line="360" w:lineRule="auto"/>
        <w:rPr/>
      </w:pPr>
      <w:r w:rsidDel="00000000" w:rsidR="00000000" w:rsidRPr="00000000">
        <w:rPr>
          <w:rtl w:val="0"/>
        </w:rPr>
        <w:t xml:space="preserve">PIS Services that will be available to Rova Customers</w:t>
      </w:r>
    </w:p>
    <w:p w:rsidR="00000000" w:rsidDel="00000000" w:rsidP="00000000" w:rsidRDefault="00000000" w:rsidRPr="00000000" w14:paraId="0000009F">
      <w:pPr>
        <w:numPr>
          <w:ilvl w:val="0"/>
          <w:numId w:val="4"/>
        </w:numPr>
        <w:spacing w:line="360" w:lineRule="auto"/>
        <w:ind w:left="720" w:hanging="360"/>
      </w:pPr>
      <w:r w:rsidDel="00000000" w:rsidR="00000000" w:rsidRPr="00000000">
        <w:rPr>
          <w:rtl w:val="0"/>
        </w:rPr>
        <w:t xml:space="preserve">Domestic Payment</w:t>
      </w:r>
    </w:p>
    <w:p w:rsidR="00000000" w:rsidDel="00000000" w:rsidP="00000000" w:rsidRDefault="00000000" w:rsidRPr="00000000" w14:paraId="000000A0">
      <w:pPr>
        <w:spacing w:line="360" w:lineRule="auto"/>
        <w:rPr>
          <w:color w:val="001737"/>
          <w:sz w:val="21"/>
          <w:szCs w:val="21"/>
          <w:highlight w:val="white"/>
        </w:rPr>
      </w:pPr>
      <w:r w:rsidDel="00000000" w:rsidR="00000000" w:rsidRPr="00000000">
        <w:rPr>
          <w:rtl w:val="0"/>
        </w:rPr>
        <w:t xml:space="preserve">Only restrict the API documentations to the AIS and PIS services that Rova offers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173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1737"/>
        <w:sz w:val="21"/>
        <w:szCs w:val="21"/>
        <w:u w:val="none"/>
      </w:rPr>
    </w:lvl>
    <w:lvl w:ilvl="1">
      <w:start w:val="1"/>
      <w:numFmt w:val="bullet"/>
      <w:lvlText w:val="○"/>
      <w:lvlJc w:val="left"/>
      <w:pPr>
        <w:ind w:left="1440" w:hanging="360"/>
      </w:pPr>
      <w:rPr>
        <w:rFonts w:ascii="Arial" w:cs="Arial" w:eastAsia="Arial" w:hAnsi="Arial"/>
        <w:color w:val="001737"/>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help@getrova.com" TargetMode="External"/><Relationship Id="rId11" Type="http://schemas.openxmlformats.org/officeDocument/2006/relationships/hyperlink" Target="https://developer.sandbox.global.ozoneapi.io/perry/developer/documentation?resource=ozone-global-portal&amp;document=docs/40-sandbox.md" TargetMode="External"/><Relationship Id="rId10" Type="http://schemas.openxmlformats.org/officeDocument/2006/relationships/hyperlink" Target="https://developer.sandbox.global.ozoneapi.io/perry/developer/documentation?resource=ozone-global-portal&amp;document=swagger/payment-initiation-openapi.yaml" TargetMode="External"/><Relationship Id="rId13" Type="http://schemas.openxmlformats.org/officeDocument/2006/relationships/hyperlink" Target="mailto:help@getrova.com" TargetMode="External"/><Relationship Id="rId12" Type="http://schemas.openxmlformats.org/officeDocument/2006/relationships/hyperlink" Target="https://developer.sandbox.global.ozoneapi.io/perry/developer/documentation?resource=ozone-global-portal&amp;document=docs/20-getting-started.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andbox.global.ozoneapi.io/perry/developer/documentation?resource=ozone-global-portal&amp;document=swagger/account-info-openapi.yaml" TargetMode="External"/><Relationship Id="rId15" Type="http://schemas.openxmlformats.org/officeDocument/2006/relationships/hyperlink" Target="https://www.openbanking.org.uk/" TargetMode="External"/><Relationship Id="rId14" Type="http://schemas.openxmlformats.org/officeDocument/2006/relationships/hyperlink" Target="https://www.openbanking.org.uk/" TargetMode="External"/><Relationship Id="rId17" Type="http://schemas.openxmlformats.org/officeDocument/2006/relationships/hyperlink" Target="https://www.openbanking.org.uk/" TargetMode="External"/><Relationship Id="rId16" Type="http://schemas.openxmlformats.org/officeDocument/2006/relationships/hyperlink" Target="https://www.openbanking.org.uk/" TargetMode="External"/><Relationship Id="rId5" Type="http://schemas.openxmlformats.org/officeDocument/2006/relationships/styles" Target="styles.xml"/><Relationship Id="rId19" Type="http://schemas.openxmlformats.org/officeDocument/2006/relationships/hyperlink" Target="https://openbanking.atlassian.net/wiki/spaces/DZ/overview%5D" TargetMode="External"/><Relationship Id="rId6" Type="http://schemas.openxmlformats.org/officeDocument/2006/relationships/hyperlink" Target="https://www.openbanking.org.uk/customers/what-is-open-banking/" TargetMode="External"/><Relationship Id="rId18" Type="http://schemas.openxmlformats.org/officeDocument/2006/relationships/hyperlink" Target="https://developer.sandbox.global.ozoneapi.io/perry/developer/documentation?resource=ozone-global-portal&amp;document=Sandbox" TargetMode="External"/><Relationship Id="rId7" Type="http://schemas.openxmlformats.org/officeDocument/2006/relationships/hyperlink" Target="https://openbankinguk.github.io/dcr-docs-pub/v3.2/dynamic-client-registration.html" TargetMode="External"/><Relationship Id="rId8" Type="http://schemas.openxmlformats.org/officeDocument/2006/relationships/hyperlink" Target="https://bitbucket.org/openid/fapi/src/master/Financial_API_WD_001.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