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Candidate, School of Design, RMIT University</w:t>
      </w:r>
    </w:p>
    <w:p>
      <w:pPr>
        <w:spacing w:after="200" w:line="276"/>
        <w:jc w:val="center"/>
      </w:pPr>
      <w:r>
        <w:rPr>
          <w:rFonts w:ascii="Cambria" w:cs="Cambria" w:eastAsia="Cambria" w:hAnsi="Cambria"/>
          <w:color w:val="555555"/>
          <w:sz w:val="22"/>
          <w:szCs w:val="22"/>
        </w:rPr>
        <w:t xml:space="preserve">Supervisor: Chris Barker</w:t>
      </w:r>
    </w:p>
    <w:p>
      <w:pPr>
        <w:spacing w:before="400"/>
        <w:jc w:val="center"/>
      </w:pPr>
      <w:r>
        <w:rPr>
          <w:rFonts w:ascii="Cambria" w:cs="Cambria" w:eastAsia="Cambria" w:hAnsi="Cambria"/>
          <w:color w:val="777777"/>
          <w:sz w:val="24"/>
          <w:szCs w:val="24"/>
        </w:rPr>
        <w:t xml:space="preserve">May 2026</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an open-source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open-source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covers 100+ verified resources across 34 countries, with phone, text, chat, email, and WhatsApp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or unicode variation, which are common in the informal register typical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includes 45 HIGH patterns, 22 LOW patterns, and 218 automated tests covering true positives, true negatives, false-positive guards, misspellings, text-speak, adversarial inputs,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Relationship to ARCHAI and Sovereign AI Research</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spacing w:after="200" w:line="276"/>
        <w:jc w:val="both"/>
      </w:pPr>
      <w:r>
        <w:rPr>
          <w:rFonts w:ascii="Cambria" w:cs="Cambria" w:eastAsia="Cambria" w:hAnsi="Cambria"/>
          <w:sz w:val="22"/>
          <w:szCs w:val="22"/>
        </w:rPr>
        <w:t xml:space="preserve">Both projects also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w:t>
      </w:r>
    </w:p>
    <w:p>
      <w:pPr>
        <w:pStyle w:val="Heading1"/>
        <w:spacing w:after="200" w:before="360"/>
      </w:pPr>
      <w:r>
        <w:rPr>
          <w:rFonts w:ascii="Cambria" w:cs="Cambria" w:eastAsia="Cambria" w:hAnsi="Cambria"/>
          <w:b/>
          <w:bCs/>
          <w:sz w:val="32"/>
          <w:szCs w:val="32"/>
        </w:rPr>
        <w:t xml:space="preserve">6.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218-test suite addresses the categories of failure identified by VERA-MH.</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7.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Highly indirect or metaphorical expressions of distress may not trigger detection. The system is calibrated for explicit and semi-explicit signals rather than subtle contextual cues.</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8.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sl1r3kh-cayazzpuk5nb0">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Source code: </w:t>
      </w:r>
      <w:hyperlink w:history="1" r:id="rIdjjhj29_zfvkb-_9ojlq2h">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25xi8arqfrrahyewexgsy">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l1r3kh-cayazzpuk5nb0" Type="http://schemas.openxmlformats.org/officeDocument/2006/relationships/hyperlink" Target="https://rob-e-graham.github.io/safechat" TargetMode="External"/><Relationship Id="rIdjjhj29_zfvkb-_9ojlq2h" Type="http://schemas.openxmlformats.org/officeDocument/2006/relationships/hyperlink" Target="https://github.com/rob-e-graham/safechat" TargetMode="External"/><Relationship Id="rId25xi8arqfrrahyewexgsy" Type="http://schemas.openxmlformats.org/officeDocument/2006/relationships/hyperlink" Target="mailto:rob@fineartmedia.tech" TargetMode="External"/><Relationship Id="rId9" Type="http://schemas.openxmlformats.org/officeDocument/2006/relationships/image" Target="media/fffd8ef5d99c734a0f7ac343e19673c46f9b9f1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2026-05-23T08:23:43.107Z</dcterms:created>
  <dcterms:modified xsi:type="dcterms:W3CDTF">2026-05-23T08:23:43.108Z</dcterms:modified>
</cp:coreProperties>
</file>

<file path=docProps/custom.xml><?xml version="1.0" encoding="utf-8"?>
<Properties xmlns="http://schemas.openxmlformats.org/officeDocument/2006/custom-properties" xmlns:vt="http://schemas.openxmlformats.org/officeDocument/2006/docPropsVTypes"/>
</file>