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Researcher, School of Design, RMIT University</w:t>
      </w:r>
    </w:p>
    <w:p>
      <w:pPr>
        <w:spacing w:before="400"/>
        <w:jc w:val="center"/>
      </w:pPr>
      <w:r>
        <w:rPr>
          <w:rFonts w:ascii="Cambria" w:cs="Cambria" w:eastAsia="Cambria" w:hAnsi="Cambria"/>
          <w:color w:val="777777"/>
          <w:sz w:val="24"/>
          <w:szCs w:val="24"/>
        </w:rPr>
        <w:t xml:space="preserve">June 2026 (v1.3.0)</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 source-available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source-available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covers 100+ verified resources across 34 countries, with phone, text, chat, email, and WhatsApp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pStyle w:val="ListParagraph"/>
        <w:numPr>
          <w:ilvl w:val="0"/>
          <w:numId w:val="2"/>
        </w:numPr>
        <w:spacing w:after="120" w:line="276"/>
      </w:pPr>
      <w:r>
        <w:rPr>
          <w:rFonts w:ascii="Cambria" w:cs="Cambria" w:eastAsia="Cambria" w:hAnsi="Cambria"/>
          <w:sz w:val="22"/>
          <w:szCs w:val="22"/>
        </w:rPr>
        <w:t xml:space="preserve">Negation normalisation: expanded negations are contracted before pattern matching (e.g., "do not" to "don't", "cannot" to "can't", "will not" to "won't"). This ensures that formal or expanded phrasing is detected by the same patterns that catch contracted forms. Fourteen negation rules are applied.</w:t>
      </w:r>
    </w:p>
    <w:p>
      <w:pPr>
        <w:pStyle w:val="ListParagraph"/>
        <w:numPr>
          <w:ilvl w:val="0"/>
          <w:numId w:val="2"/>
        </w:numPr>
        <w:spacing w:after="120" w:line="276"/>
      </w:pPr>
      <w:r>
        <w:rPr>
          <w:rFonts w:ascii="Cambria" w:cs="Cambria" w:eastAsia="Cambria" w:hAnsi="Cambria"/>
          <w:sz w:val="22"/>
          <w:szCs w:val="22"/>
        </w:rPr>
        <w:t xml:space="preserve">Contraction consistency: patterns accept both contracted and expanded forms (e.g., "there's no coming back" and "there is no coming back" both match; "I'm tired of living" and "I am tired of living" both match).</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formal phrasing, or unicode variation, which are common in the varied registers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(v1.3.0) includes 57 HIGH patterns, 40 LOW patterns, 42 SUBTLE patterns (see Section 3.4), and 517 automated tests covering true positives, true negatives, false-positive guards, misspellings, text-speak, negation variants, contraction consistency, adversarial inputs, session accumulation, ReDoS protection, type coercion, HTML injection,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pStyle w:val="ListParagraph"/>
        <w:numPr>
          <w:ilvl w:val="0"/>
          <w:numId w:val="2"/>
        </w:numPr>
        <w:spacing w:after="120" w:line="276"/>
      </w:pPr>
      <w:r>
        <w:rPr>
          <w:rFonts w:ascii="Cambria" w:cs="Cambria" w:eastAsia="Cambria" w:hAnsi="Cambria"/>
          <w:sz w:val="22"/>
          <w:szCs w:val="22"/>
        </w:rPr>
        <w:t xml:space="preserve">"magic trick disappear" / "numb fingers" / "tired of cooking" (non-crisis context)</w:t>
      </w:r>
    </w:p>
    <w:p>
      <w:pPr>
        <w:pStyle w:val="ListParagraph"/>
        <w:numPr>
          <w:ilvl w:val="0"/>
          <w:numId w:val="2"/>
        </w:numPr>
        <w:spacing w:after="120" w:line="276"/>
      </w:pPr>
      <w:r>
        <w:rPr>
          <w:rFonts w:ascii="Cambria" w:cs="Cambria" w:eastAsia="Cambria" w:hAnsi="Cambria"/>
          <w:sz w:val="22"/>
          <w:szCs w:val="22"/>
        </w:rPr>
        <w:t xml:space="preserve">"giving away promotions" / "deleting old files" (non-farewell context)</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2"/>
        <w:spacing w:after="200" w:before="240"/>
      </w:pPr>
      <w:r>
        <w:rPr>
          <w:rFonts w:ascii="Cambria" w:cs="Cambria" w:eastAsia="Cambria" w:hAnsi="Cambria"/>
          <w:b/>
          <w:bCs/>
          <w:sz w:val="28"/>
          <w:szCs w:val="28"/>
        </w:rPr>
        <w:t xml:space="preserve">3.4 Subtle Signal Accumulation</w:t>
      </w:r>
    </w:p>
    <w:p>
      <w:pPr>
        <w:spacing w:after="200" w:line="276"/>
        <w:jc w:val="both"/>
      </w:pPr>
      <w:r>
        <w:rPr>
          <w:rFonts w:ascii="Cambria" w:cs="Cambria" w:eastAsia="Cambria" w:hAnsi="Cambria"/>
          <w:sz w:val="22"/>
          <w:szCs w:val="22"/>
        </w:rPr>
        <w:t xml:space="preserve">Many people in crisis do not use explicit language. Instead, they exhibit clusters of individually unremarkable behaviours that together indicate accumulating distress: social withdrawal, sleep disruption, loss of interest, farewell-like language, self-worth erosion, loss of future orientation, reckless behaviour, and persistent expressions of pain.</w:t>
      </w:r>
    </w:p>
    <w:p>
      <w:pPr>
        <w:spacing w:after="200" w:line="276"/>
        <w:jc w:val="both"/>
      </w:pPr>
      <w:r>
        <w:rPr>
          <w:rFonts w:ascii="Cambria" w:cs="Cambria" w:eastAsia="Cambria" w:hAnsi="Cambria"/>
          <w:sz w:val="22"/>
          <w:szCs w:val="22"/>
        </w:rPr>
        <w:t xml:space="preserve">SafeChat addresses this through a ConversationTracker that monitors signals across a conversation session. Forty-two SUBTLE patterns are organised into eight categories, each weighted by clinical significance (1–3 points). When accumulated weight crosses a threshold (4 points for LOW escalation, 8 points for HIGH), the system escalates its response as if an explicit signal had been detected.</w:t>
      </w:r>
    </w:p>
    <w:p>
      <w:pPr>
        <w:spacing w:after="200" w:line="276"/>
        <w:jc w:val="both"/>
      </w:pPr>
      <w:r>
        <w:rPr>
          <w:rFonts w:ascii="Cambria" w:cs="Cambria" w:eastAsia="Cambria" w:hAnsi="Cambria"/>
          <w:sz w:val="22"/>
          <w:szCs w:val="22"/>
        </w:rPr>
        <w:t xml:space="preserve">Critically, the tracker stores no message content. Only signal categories and numerical weights are retained in memory, and all data is garbage-collected when the session ends. This preserves the zero-data-collection principle while enabling multi-message risk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1400"/>
        <w:gridCol w:w="1400"/>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Category</w:t>
            </w:r>
          </w:p>
        </w:tc>
        <w:tc>
          <w:tcPr>
            <w:tcW w:type="dxa" w:w="44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Example Signals</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Weight</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Threshold</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Withdrawal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"pushing everyone away", "haven't left my room in days"</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Sleep</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sleep again", "awake all night"</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Anhedonia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"nothing is fun anymore", "stopped caring"</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Farewell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"giving away my things", "writing letters to everyone"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2–3</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Self-worth</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"I'm just a waste", "hate who I've become"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Future loss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imagine a future", "none of this will matter"</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Reckless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"don't care about my safety", "driving drunk"</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"the pain never stops", "every day gets worse"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This approach reflects clinical literature on suicide risk assessment, where the accumulation of warning signs across multiple domains is a stronger predictor than any single statement.</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Configurable Shield Class</w:t>
      </w:r>
    </w:p>
    <w:p>
      <w:pPr>
        <w:spacing w:after="200" w:line="276"/>
        <w:jc w:val="both"/>
      </w:pPr>
      <w:r>
        <w:rPr>
          <w:rFonts w:ascii="Cambria" w:cs="Cambria" w:eastAsia="Cambria" w:hAnsi="Cambria"/>
          <w:sz w:val="22"/>
          <w:szCs w:val="22"/>
        </w:rPr>
        <w:t xml:space="preserve">Different AI deployment contexts require different safety responses. A companion chatbot should interrupt conversation and show crisis resources immediately. A research platform might flag and log signals for later review. A museum exhibit might use a softer approach. SafeChat addresses this through the Shield class, a configurable safety layer that wraps the detection engine.</w:t>
      </w:r>
    </w:p>
    <w:p>
      <w:pPr>
        <w:pStyle w:val="Heading2"/>
        <w:spacing w:after="200" w:before="240"/>
      </w:pPr>
      <w:r>
        <w:rPr>
          <w:rFonts w:ascii="Cambria" w:cs="Cambria" w:eastAsia="Cambria" w:hAnsi="Cambria"/>
          <w:b/>
          <w:bCs/>
          <w:sz w:val="28"/>
          <w:szCs w:val="28"/>
        </w:rPr>
        <w:t xml:space="preserve">5.1 Response Modes</w:t>
      </w:r>
    </w:p>
    <w:p>
      <w:pPr>
        <w:spacing w:after="200" w:line="276"/>
        <w:jc w:val="both"/>
      </w:pPr>
      <w:r>
        <w:rPr>
          <w:rFonts w:ascii="Cambria" w:cs="Cambria" w:eastAsia="Cambria" w:hAnsi="Cambria"/>
          <w:sz w:val="22"/>
          <w:szCs w:val="22"/>
        </w:rPr>
        <w:t xml:space="preserve">The Shield supports six response modes, configurable independently for HIGH and LOW signal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Mode</w:t>
            </w:r>
          </w:p>
        </w:tc>
        <w:tc>
          <w:tcPr>
            <w:tcW w:type="dxa" w:w="7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Behaviour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Stop normal flow, return crisis resources immediately</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Prepend crisis context to the AI system prompt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Mark the message with signal metadata for downstream handling</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Record the detection event without altering the response</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callback</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Execute a developer-defined function (e.g., alert a human moderator)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 action for this signal level</w:t>
            </w:r>
          </w:p>
        </w:tc>
      </w:tr>
    </w:tbl>
    <w:p>
      <w:pPr>
        <w:spacing w:after="200" w:line="276"/>
        <w:jc w:val="both"/>
      </w:pPr>
      <w:r>
        <w:rPr>
          <w:rFonts w:ascii="Cambria" w:cs="Cambria" w:eastAsia="Cambria" w:hAnsi="Cambria"/>
          <w:sz w:val="22"/>
          <w:szCs w:val="22"/>
        </w:rPr>
        <w:t xml:space="preserve"/>
      </w:r>
    </w:p>
    <w:p>
      <w:pPr>
        <w:pStyle w:val="Heading2"/>
        <w:spacing w:after="200" w:before="240"/>
      </w:pPr>
      <w:r>
        <w:rPr>
          <w:rFonts w:ascii="Cambria" w:cs="Cambria" w:eastAsia="Cambria" w:hAnsi="Cambria"/>
          <w:b/>
          <w:bCs/>
          <w:sz w:val="28"/>
          <w:szCs w:val="28"/>
        </w:rPr>
        <w:t xml:space="preserve">5.2 Deployment Presets</w:t>
      </w:r>
    </w:p>
    <w:p>
      <w:pPr>
        <w:spacing w:after="200" w:line="276"/>
        <w:jc w:val="both"/>
      </w:pPr>
      <w:r>
        <w:rPr>
          <w:rFonts w:ascii="Cambria" w:cs="Cambria" w:eastAsia="Cambria" w:hAnsi="Cambria"/>
          <w:sz w:val="22"/>
          <w:szCs w:val="22"/>
        </w:rPr>
        <w:t xml:space="preserve">Six presets provide sensible defaults for common deployment contexts: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626"/>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Preset</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HIGH Mode</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LOW Mode</w:t>
            </w:r>
          </w:p>
        </w:tc>
        <w:tc>
          <w:tcPr>
            <w:tcW w:type="dxa" w:w="36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Use Case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companion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AI companion apps (Character.AI, Replika-style)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chatbot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General chatbots (customer service, assistants)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moderation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Content moderation pipelines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strict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High-risk contexts (youth, clinical adjacency)</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shadow</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Research and monitoring</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museum</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Cultural heritage exhibits (ARCHAI integration)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Shield also provides resetSession() for clearing accumulated subtle signals, sessionSummary() for reviewing session-level risk data, configure() for runtime updates, and Express middleware for server-side integration.</w:t>
      </w:r>
    </w:p>
    <w:p>
      <w:pPr>
        <w:spacing w:after="200" w:line="276"/>
        <w:jc w:val="both"/>
      </w:pPr>
      <w:r>
        <w:rPr>
          <w:rFonts w:ascii="Cambria" w:cs="Cambria" w:eastAsia="Cambria" w:hAnsi="Cambria"/>
          <w:sz w:val="22"/>
          <w:szCs w:val="22"/>
        </w:rPr>
        <w:t xml:space="preserve">Callbacks support error resilience: if a callback throws, the Shield continues processing rather than failing silently or crashing the host application.</w:t>
      </w:r>
    </w:p>
    <w:p>
      <w:pPr>
        <w:pStyle w:val="Heading1"/>
        <w:spacing w:after="200" w:before="360"/>
      </w:pPr>
      <w:r>
        <w:rPr>
          <w:rFonts w:ascii="Cambria" w:cs="Cambria" w:eastAsia="Cambria" w:hAnsi="Cambria"/>
          <w:b/>
          <w:bCs/>
          <w:sz w:val="32"/>
          <w:szCs w:val="32"/>
        </w:rPr>
        <w:t xml:space="preserve">6. Relationship to ARCHAI, Sovereign AI, and the CARE Principles</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pStyle w:val="Heading2"/>
        <w:spacing w:after="200" w:before="240"/>
      </w:pPr>
      <w:r>
        <w:rPr>
          <w:rFonts w:ascii="Cambria" w:cs="Cambria" w:eastAsia="Cambria" w:hAnsi="Cambria"/>
          <w:b/>
          <w:bCs/>
          <w:sz w:val="28"/>
          <w:szCs w:val="28"/>
        </w:rPr>
        <w:t xml:space="preserve">6.1 The CARE Principles and Indigenous Data Sovereignty</w:t>
      </w:r>
    </w:p>
    <w:p>
      <w:pPr>
        <w:spacing w:after="200" w:line="276"/>
        <w:jc w:val="both"/>
      </w:pPr>
      <w:r>
        <w:rPr>
          <w:rFonts w:ascii="Cambria" w:cs="Cambria" w:eastAsia="Cambria" w:hAnsi="Cambria"/>
          <w:sz w:val="22"/>
          <w:szCs w:val="22"/>
        </w:rPr>
        <w:t xml:space="preserve">The sovereign architecture shared by ARCHAI and SafeChat is not merely a technical preference but an ethical obligation, particularly when collections hold indigenous cultural material. The CARE Principles for Indigenous Data Governance (Carroll et al., 2020), developed by the Global Indigenous Data Alliance, establish that data ecosystems involving indigenous peoples must uphold four commitments:</w:t>
      </w:r>
    </w:p>
    <w:p>
      <w:pPr>
        <w:pStyle w:val="ListParagraph"/>
        <w:numPr>
          <w:ilvl w:val="0"/>
          <w:numId w:val="2"/>
        </w:numPr>
        <w:spacing w:after="120" w:line="276"/>
      </w:pPr>
      <w:r>
        <w:rPr>
          <w:rFonts w:ascii="Cambria" w:cs="Cambria" w:eastAsia="Cambria" w:hAnsi="Cambria"/>
          <w:sz w:val="22"/>
          <w:szCs w:val="22"/>
        </w:rPr>
        <w:t xml:space="preserve">Collective Benefit. Data ecosystems should enable indigenous peoples to derive benefit and facilitate indigenous-led development and self-determination.</w:t>
      </w:r>
    </w:p>
    <w:p>
      <w:pPr>
        <w:pStyle w:val="ListParagraph"/>
        <w:numPr>
          <w:ilvl w:val="0"/>
          <w:numId w:val="2"/>
        </w:numPr>
        <w:spacing w:after="120" w:line="276"/>
      </w:pPr>
      <w:r>
        <w:rPr>
          <w:rFonts w:ascii="Cambria" w:cs="Cambria" w:eastAsia="Cambria" w:hAnsi="Cambria"/>
          <w:sz w:val="22"/>
          <w:szCs w:val="22"/>
        </w:rPr>
        <w:t xml:space="preserve">Authority to Control. Indigenous peoples have rights to govern data about them, their territories, cultures, and resources, including control over collection, access, and use.</w:t>
      </w:r>
    </w:p>
    <w:p>
      <w:pPr>
        <w:pStyle w:val="ListParagraph"/>
        <w:numPr>
          <w:ilvl w:val="0"/>
          <w:numId w:val="2"/>
        </w:numPr>
        <w:spacing w:after="120" w:line="276"/>
      </w:pPr>
      <w:r>
        <w:rPr>
          <w:rFonts w:ascii="Cambria" w:cs="Cambria" w:eastAsia="Cambria" w:hAnsi="Cambria"/>
          <w:sz w:val="22"/>
          <w:szCs w:val="22"/>
        </w:rPr>
        <w:t xml:space="preserve">Responsibility. Those working with indigenous data must nurture respectful relationships and share how data is used, supporting indigenous self-determination and governance.</w:t>
      </w:r>
    </w:p>
    <w:p>
      <w:pPr>
        <w:pStyle w:val="ListParagraph"/>
        <w:numPr>
          <w:ilvl w:val="0"/>
          <w:numId w:val="2"/>
        </w:numPr>
        <w:spacing w:after="120" w:line="276"/>
      </w:pPr>
      <w:r>
        <w:rPr>
          <w:rFonts w:ascii="Cambria" w:cs="Cambria" w:eastAsia="Cambria" w:hAnsi="Cambria"/>
          <w:sz w:val="22"/>
          <w:szCs w:val="22"/>
        </w:rPr>
        <w:t xml:space="preserve">Ethics. Indigenous peoples' rights and wellbeing should be the primary concern at all stages of the data lifecycle, minimising harm and maximising benefit as defined by the communities themselves.</w:t>
      </w:r>
    </w:p>
    <w:p>
      <w:pPr>
        <w:spacing w:after="200" w:line="276"/>
        <w:jc w:val="both"/>
      </w:pPr>
      <w:r>
        <w:rPr>
          <w:rFonts w:ascii="Cambria" w:cs="Cambria" w:eastAsia="Cambria" w:hAnsi="Cambria"/>
          <w:sz w:val="22"/>
          <w:szCs w:val="22"/>
        </w:rPr>
        <w:t xml:space="preserve">Cloud-based AI services violate CARE by design. Sending indigenous collection data to commercial APIs means communities lose authority over how their cultural knowledge is processed, stored, and potentially used for model training. ARCHAI's on-premises architecture directly addresses this: cultural data never leaves the institution, the community retains authority, and processing remains under institutional and community governance.</w:t>
      </w:r>
    </w:p>
    <w:p>
      <w:pPr>
        <w:spacing w:after="200" w:line="276"/>
        <w:jc w:val="both"/>
      </w:pPr>
      <w:r>
        <w:rPr>
          <w:rFonts w:ascii="Cambria" w:cs="Cambria" w:eastAsia="Cambria" w:hAnsi="Cambria"/>
          <w:sz w:val="22"/>
          <w:szCs w:val="22"/>
        </w:rPr>
        <w:t xml:space="preserve">CARE complements the FAIR principles (Findable, Accessible, Interoperable, Reusable) that dominate technical data governance. Together, CARE + FAIR represents current best practice in the GLAM (Galleries, Libraries, Archives, Museums) and digital humanities sector. SafeChat's architecture contributes to this synthesis by demonstrating that safety-critical systems can be both technically open (FAIR) and ethically sovereign (CARE).</w:t>
      </w:r>
    </w:p>
    <w:p>
      <w:pPr>
        <w:pStyle w:val="Heading2"/>
        <w:spacing w:after="200" w:before="240"/>
      </w:pPr>
      <w:r>
        <w:rPr>
          <w:rFonts w:ascii="Cambria" w:cs="Cambria" w:eastAsia="Cambria" w:hAnsi="Cambria"/>
          <w:b/>
          <w:bCs/>
          <w:sz w:val="28"/>
          <w:szCs w:val="28"/>
        </w:rPr>
        <w:t xml:space="preserve">6.2 Shared Commitments</w:t>
      </w:r>
    </w:p>
    <w:p>
      <w:pPr>
        <w:spacing w:after="200" w:line="276"/>
        <w:jc w:val="both"/>
      </w:pPr>
      <w:r>
        <w:rPr>
          <w:rFonts w:ascii="Cambria" w:cs="Cambria" w:eastAsia="Cambria" w:hAnsi="Cambria"/>
          <w:sz w:val="22"/>
          <w:szCs w:val="22"/>
        </w:rPr>
        <w:t xml:space="preserve">Both projects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 The CARE Principles provide the ethical framework that unifies both projects: sovereign infrastructure is not just better engineering, it is a precondition for respectful engagement with communities and their data.</w:t>
      </w:r>
    </w:p>
    <w:p>
      <w:pPr>
        <w:pStyle w:val="Heading1"/>
        <w:spacing w:after="200" w:before="360"/>
      </w:pPr>
      <w:r>
        <w:rPr>
          <w:rFonts w:ascii="Cambria" w:cs="Cambria" w:eastAsia="Cambria" w:hAnsi="Cambria"/>
          <w:b/>
          <w:bCs/>
          <w:sz w:val="32"/>
          <w:szCs w:val="32"/>
        </w:rPr>
        <w:t xml:space="preserve">7.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596-test suite addresses the categories of failure identified by VERA-MH.</w:t>
      </w:r>
    </w:p>
    <w:p>
      <w:pPr>
        <w:spacing w:after="200" w:line="276"/>
        <w:jc w:val="both"/>
      </w:pPr>
      <w:r>
        <w:rPr>
          <w:rFonts w:ascii="Cambria" w:cs="Cambria" w:eastAsia="Cambria" w:hAnsi="Cambria"/>
          <w:b/>
          <w:bCs/>
          <w:sz w:val="22"/>
          <w:szCs w:val="22"/>
        </w:rPr>
        <w:t xml:space="preserve">EU AI Act (2024–2026): </w:t>
      </w:r>
      <w:r>
        <w:rPr>
          <w:rFonts w:ascii="Cambria" w:cs="Cambria" w:eastAsia="Cambria" w:hAnsi="Cambria"/>
          <w:sz w:val="22"/>
          <w:szCs w:val="22"/>
        </w:rPr>
        <w:t xml:space="preserve">Establishes risk-based requirements for AI systems, with high-risk systems requiring safety measures and human oversight. SafeChat provides vendor-independent, source-available safety infrastructure that supports compliance without creating cloud dependencies.</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8.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While the subtle signal accumulation system (Section 3.4) addresses multi-message distress patterns, highly metaphorical or culturally specific expressions of distress may still evade detection. The cross-classifier module (Section 9) addresses this by running local ML models alongside the regex engine.</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9. Cross-Classifier Module</w:t>
      </w:r>
    </w:p>
    <w:p>
      <w:pPr>
        <w:spacing w:after="200" w:line="276"/>
        <w:jc w:val="both"/>
      </w:pPr>
      <w:r>
        <w:rPr>
          <w:rFonts w:ascii="Cambria" w:cs="Cambria" w:eastAsia="Cambria" w:hAnsi="Cambria"/>
          <w:sz w:val="22"/>
          <w:szCs w:val="22"/>
        </w:rPr>
        <w:t xml:space="preserve">SafeChat v1.2 introduces an optional cross-classifier layer that runs local machine learning models alongside the deterministic regex engine. This approach was suggested by Professor Stevie Chancellor (University of Minnesota), building on published work in mental health NLP.</w:t>
      </w:r>
    </w:p>
    <w:p>
      <w:pPr>
        <w:spacing w:after="200" w:line="276"/>
        <w:jc w:val="both"/>
      </w:pPr>
      <w:r>
        <w:rPr>
          <w:rFonts w:ascii="Cambria" w:cs="Cambria" w:eastAsia="Cambria" w:hAnsi="Cambria"/>
          <w:b/>
          <w:bCs/>
          <w:sz w:val="22"/>
          <w:szCs w:val="22"/>
        </w:rPr>
        <w:t xml:space="preserve">Architecture. </w:t>
      </w:r>
      <w:r>
        <w:rPr>
          <w:rFonts w:ascii="Cambria" w:cs="Cambria" w:eastAsia="Cambria" w:hAnsi="Cambria"/>
          <w:sz w:val="22"/>
          <w:szCs w:val="22"/>
        </w:rPr>
        <w:t xml:space="preserve">The regex layer remains the fast, deterministic, always-on first pass. The cross-classifier provides a second opinion using clinically trained models:</w:t>
      </w:r>
    </w:p>
    <w:p>
      <w:pPr>
        <w:pStyle w:val="ListParagraph"/>
        <w:numPr>
          <w:ilvl w:val="0"/>
          <w:numId w:val="2"/>
        </w:numPr>
        <w:spacing w:after="120" w:line="276"/>
      </w:pPr>
      <w:r>
        <w:rPr>
          <w:rFonts w:ascii="Cambria" w:cs="Cambria" w:eastAsia="Cambria" w:hAnsi="Cambria"/>
          <w:sz w:val="22"/>
          <w:szCs w:val="22"/>
        </w:rPr>
        <w:t xml:space="preserve">MindGuard (Sword Health): Lightweight safety classifiers (4B/8B parameters) trained on clinically annotated conversations. Three categories: safe, self-harm risk, harm-to-others risk. AUROC up to 0.982.</w:t>
      </w:r>
    </w:p>
    <w:p>
      <w:pPr>
        <w:pStyle w:val="ListParagraph"/>
        <w:numPr>
          <w:ilvl w:val="0"/>
          <w:numId w:val="2"/>
        </w:numPr>
        <w:spacing w:after="120" w:line="276"/>
      </w:pPr>
      <w:r>
        <w:rPr>
          <w:rFonts w:ascii="Cambria" w:cs="Cambria" w:eastAsia="Cambria" w:hAnsi="Cambria"/>
          <w:sz w:val="22"/>
          <w:szCs w:val="22"/>
        </w:rPr>
        <w:t xml:space="preserve">MentalLLaMA: Open-source instruction-following LLMs (7B/13B parameters) for interpretable mental health analysis across eight tasks including depression, stress, and suicidal ideation detection.</w:t>
      </w:r>
    </w:p>
    <w:p>
      <w:pPr>
        <w:pStyle w:val="ListParagraph"/>
        <w:numPr>
          <w:ilvl w:val="0"/>
          <w:numId w:val="2"/>
        </w:numPr>
        <w:spacing w:after="120" w:line="276"/>
      </w:pPr>
      <w:r>
        <w:rPr>
          <w:rFonts w:ascii="Cambria" w:cs="Cambria" w:eastAsia="Cambria" w:hAnsi="Cambria"/>
          <w:sz w:val="22"/>
          <w:szCs w:val="22"/>
        </w:rPr>
        <w:t xml:space="preserve">MentalChat16K: Benchmark dataset combining synthetic counselling conversations and real-world clinical transcripts for model evaluation.</w:t>
      </w:r>
    </w:p>
    <w:p>
      <w:pPr>
        <w:spacing w:after="200" w:line="276"/>
        <w:jc w:val="both"/>
      </w:pPr>
      <w:r>
        <w:rPr>
          <w:rFonts w:ascii="Cambria" w:cs="Cambria" w:eastAsia="Cambria" w:hAnsi="Cambria"/>
          <w:b/>
          <w:bCs/>
          <w:sz w:val="22"/>
          <w:szCs w:val="22"/>
        </w:rPr>
        <w:t xml:space="preserve">Merge rules. </w:t>
      </w:r>
      <w:r>
        <w:rPr>
          <w:rFonts w:ascii="Cambria" w:cs="Cambria" w:eastAsia="Cambria" w:hAnsi="Cambria"/>
          <w:sz w:val="22"/>
          <w:szCs w:val="22"/>
        </w:rPr>
        <w:t xml:space="preserve">The cross-classifier never downgrades a regex detection. If the regex engine flags HIGH and the classifier says safe, the result stays HIGH. This preserves the false-negative-first calibration philosophy. The classifier can escalate: if regex detects nothing but the model identifies risk, the result escalates to LOW.</w:t>
      </w:r>
    </w:p>
    <w:p>
      <w:pPr>
        <w:spacing w:after="200" w:line="276"/>
        <w:jc w:val="both"/>
      </w:pPr>
      <w:r>
        <w:rPr>
          <w:rFonts w:ascii="Cambria" w:cs="Cambria" w:eastAsia="Cambria" w:hAnsi="Cambria"/>
          <w:b/>
          <w:bCs/>
          <w:sz w:val="22"/>
          <w:szCs w:val="22"/>
        </w:rPr>
        <w:t xml:space="preserve">Privacy. </w:t>
      </w:r>
      <w:r>
        <w:rPr>
          <w:rFonts w:ascii="Cambria" w:cs="Cambria" w:eastAsia="Cambria" w:hAnsi="Cambria"/>
          <w:sz w:val="22"/>
          <w:szCs w:val="22"/>
        </w:rPr>
        <w:t xml:space="preserve">All inference runs locally on the user's device or a developer-controlled endpoint. No message content is transmitted to external services. The module supports Ollama, Transformers.js, LM Studio, or custom classification functions.</w:t>
      </w:r>
    </w:p>
    <w:p>
      <w:pPr>
        <w:spacing w:after="200" w:line="276"/>
        <w:jc w:val="both"/>
      </w:pPr>
      <w:r>
        <w:rPr>
          <w:rFonts w:ascii="Cambria" w:cs="Cambria" w:eastAsia="Cambria" w:hAnsi="Cambria"/>
          <w:b/>
          <w:bCs/>
          <w:sz w:val="22"/>
          <w:szCs w:val="22"/>
        </w:rPr>
        <w:t xml:space="preserve">Optional. </w:t>
      </w:r>
      <w:r>
        <w:rPr>
          <w:rFonts w:ascii="Cambria" w:cs="Cambria" w:eastAsia="Cambria" w:hAnsi="Cambria"/>
          <w:sz w:val="22"/>
          <w:szCs w:val="22"/>
        </w:rPr>
        <w:t xml:space="preserve">The cross-classifier adds zero dependencies to the core library. SafeChat works identically without it. Developers opt in by configuring a backend and passing it to Shield.</w:t>
      </w:r>
    </w:p>
    <w:p>
      <w:pPr>
        <w:pStyle w:val="Heading2"/>
        <w:spacing w:after="200" w:before="240"/>
      </w:pPr>
      <w:r>
        <w:rPr>
          <w:rFonts w:ascii="Cambria" w:cs="Cambria" w:eastAsia="Cambria" w:hAnsi="Cambria"/>
          <w:b/>
          <w:bCs/>
          <w:sz w:val="28"/>
          <w:szCs w:val="28"/>
        </w:rPr>
        <w:t xml:space="preserve">9.1 Semantic Layer and Tiered Architecture (v1.3)</w:t>
      </w:r>
    </w:p>
    <w:p>
      <w:pPr>
        <w:spacing w:after="200" w:line="276"/>
        <w:jc w:val="both"/>
      </w:pPr>
      <w:r>
        <w:rPr>
          <w:rFonts w:ascii="Cambria" w:cs="Cambria" w:eastAsia="Cambria" w:hAnsi="Cambria"/>
          <w:sz w:val="22"/>
          <w:szCs w:val="22"/>
        </w:rPr>
        <w:t xml:space="preserve">SafeChat v1.3 adds a semantic layer: an embedding-similarity tier that sits between the regex engine and the LLM cross-classifier. A curated set of exemplar phrases — indirect, metaphorical expressions of distress drawn from clinical warning-sign literature — is embedded once on-device. Each incoming message is embedded and compared to the exemplar set by cosine similarity; a strong match escalates the result under the same merge contract as the cross-classifier (confirm or escalate, never downgrade).</w:t>
      </w:r>
    </w:p>
    <w:p>
      <w:pPr>
        <w:spacing w:after="200" w:line="276"/>
        <w:jc w:val="both"/>
      </w:pPr>
      <w:r>
        <w:rPr>
          <w:rFonts w:ascii="Cambria" w:cs="Cambria" w:eastAsia="Cambria" w:hAnsi="Cambria"/>
          <w:sz w:val="22"/>
          <w:szCs w:val="22"/>
        </w:rPr>
        <w:t xml:space="preserve">The semantic layer requires only a small sentence-embedding model (approximately 25 MB, e.g. all-MiniLM-L6-v2 via Transformers.js), making it the first ML tier in SafeChat that runs in any modern browser, including installed progressive web apps on phones, fully offline after first load. Exemplar sets are plain, auditable text and can be replaced wholesale, enabling community-authored, culturally specific pattern sets governed under the CARE Principles (Section 6.1).</w:t>
      </w:r>
    </w:p>
    <w:p>
      <w:pPr>
        <w:spacing w:after="200" w:line="276"/>
        <w:jc w:val="both"/>
      </w:pPr>
      <w:r>
        <w:rPr>
          <w:rFonts w:ascii="Cambria" w:cs="Cambria" w:eastAsia="Cambria" w:hAnsi="Cambria"/>
          <w:sz w:val="22"/>
          <w:szCs w:val="22"/>
        </w:rPr>
        <w:t xml:space="preserve">This completes a progressive enhancement architecture for safety: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826"/>
        <w:gridCol w:w="1800"/>
        <w:gridCol w:w="2600"/>
      </w:tblGrid>
      <w:tr>
        <w:tc>
          <w:tcPr>
            <w:tcW w:type="dxa" w:w="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Tier</w:t>
            </w:r>
          </w:p>
        </w:tc>
        <w:tc>
          <w:tcPr>
            <w:tcW w:type="dxa" w:w="38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Layer</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Footprint</w:t>
            </w:r>
          </w:p>
        </w:tc>
        <w:tc>
          <w:tcPr>
            <w:tcW w:type="dxa" w:w="26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Runs on</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0</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Regex engine + ConversationTracker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KBs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Everything, always,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Semantic layer (embedding similarity)</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~25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Any modern browser, PWA</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Distilled crisis classifier (planned)</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~50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Browser/phone,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LLM cross-classifier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Server/desktop, opt-in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Every tier is sovereign, every tier above 0 is optional, and the merge rules guarantee that adding a tier can only reduce false negatives, never introduce them: the failure mode of any ML tier is "no worse than the tier below."</w:t>
      </w:r>
    </w:p>
    <w:p>
      <w:pPr>
        <w:pStyle w:val="Heading1"/>
        <w:spacing w:after="200" w:before="360"/>
      </w:pPr>
      <w:r>
        <w:rPr>
          <w:rFonts w:ascii="Cambria" w:cs="Cambria" w:eastAsia="Cambria" w:hAnsi="Cambria"/>
          <w:b/>
          <w:bCs/>
          <w:sz w:val="32"/>
          <w:szCs w:val="32"/>
        </w:rPr>
        <w:t xml:space="preserve">10. Ongoing Development</w:t>
      </w:r>
    </w:p>
    <w:p>
      <w:pPr>
        <w:spacing w:after="200" w:line="276"/>
        <w:jc w:val="both"/>
      </w:pPr>
      <w:r>
        <w:rPr>
          <w:rFonts w:ascii="Cambria" w:cs="Cambria" w:eastAsia="Cambria" w:hAnsi="Cambria"/>
          <w:sz w:val="22"/>
          <w:szCs w:val="22"/>
        </w:rPr>
        <w:t xml:space="preserve">SafeChat is under continuous, active development. The project maintains:</w:t>
      </w:r>
    </w:p>
    <w:p>
      <w:pPr>
        <w:pStyle w:val="ListParagraph"/>
        <w:numPr>
          <w:ilvl w:val="0"/>
          <w:numId w:val="2"/>
        </w:numPr>
        <w:spacing w:after="120" w:line="276"/>
      </w:pPr>
      <w:r>
        <w:rPr>
          <w:rFonts w:ascii="Cambria" w:cs="Cambria" w:eastAsia="Cambria" w:hAnsi="Cambria"/>
          <w:sz w:val="22"/>
          <w:szCs w:val="22"/>
        </w:rPr>
        <w:t xml:space="preserve">A public CHANGELOG documenting all detection improvements, new patterns, and accuracy gains.</w:t>
      </w:r>
    </w:p>
    <w:p>
      <w:pPr>
        <w:pStyle w:val="ListParagraph"/>
        <w:numPr>
          <w:ilvl w:val="0"/>
          <w:numId w:val="2"/>
        </w:numPr>
        <w:spacing w:after="120" w:line="276"/>
      </w:pPr>
      <w:r>
        <w:rPr>
          <w:rFonts w:ascii="Cambria" w:cs="Cambria" w:eastAsia="Cambria" w:hAnsi="Cambria"/>
          <w:sz w:val="22"/>
          <w:szCs w:val="22"/>
        </w:rPr>
        <w:t xml:space="preserve">A test suite (currently 596 automated tests) that must pass before any release.</w:t>
      </w:r>
    </w:p>
    <w:p>
      <w:pPr>
        <w:pStyle w:val="ListParagraph"/>
        <w:numPr>
          <w:ilvl w:val="0"/>
          <w:numId w:val="2"/>
        </w:numPr>
        <w:spacing w:after="120" w:line="276"/>
      </w:pPr>
      <w:r>
        <w:rPr>
          <w:rFonts w:ascii="Cambria" w:cs="Cambria" w:eastAsia="Cambria" w:hAnsi="Cambria"/>
          <w:sz w:val="22"/>
          <w:szCs w:val="22"/>
        </w:rPr>
        <w:t xml:space="preserve">A twice-monthly verification process for crisis resource data (phone numbers, URLs, operating hours).</w:t>
      </w:r>
    </w:p>
    <w:p>
      <w:pPr>
        <w:pStyle w:val="ListParagraph"/>
        <w:numPr>
          <w:ilvl w:val="0"/>
          <w:numId w:val="2"/>
        </w:numPr>
        <w:spacing w:after="120" w:line="276"/>
      </w:pPr>
      <w:r>
        <w:rPr>
          <w:rFonts w:ascii="Cambria" w:cs="Cambria" w:eastAsia="Cambria" w:hAnsi="Cambria"/>
          <w:sz w:val="22"/>
          <w:szCs w:val="22"/>
        </w:rPr>
        <w:t xml:space="preserve">A false-negative-first triage policy: reports of missed crisis signals are treated as critical defects.</w:t>
      </w:r>
    </w:p>
    <w:p>
      <w:pPr>
        <w:pStyle w:val="ListParagraph"/>
        <w:numPr>
          <w:ilvl w:val="0"/>
          <w:numId w:val="2"/>
        </w:numPr>
        <w:spacing w:after="120" w:line="276"/>
      </w:pPr>
      <w:r>
        <w:rPr>
          <w:rFonts w:ascii="Cambria" w:cs="Cambria" w:eastAsia="Cambria" w:hAnsi="Cambria"/>
          <w:sz w:val="22"/>
          <w:szCs w:val="22"/>
        </w:rPr>
        <w:t xml:space="preserve">A public git history providing a complete, timestamped record of every change to detection patterns, false-positive guards, and safety infrastructure.</w:t>
      </w:r>
    </w:p>
    <w:p>
      <w:pPr>
        <w:pStyle w:val="ListParagraph"/>
        <w:numPr>
          <w:ilvl w:val="0"/>
          <w:numId w:val="2"/>
        </w:numPr>
        <w:spacing w:after="120" w:line="276"/>
      </w:pPr>
      <w:r>
        <w:rPr>
          <w:rFonts w:ascii="Cambria" w:cs="Cambria" w:eastAsia="Cambria" w:hAnsi="Cambria"/>
          <w:sz w:val="22"/>
          <w:szCs w:val="22"/>
        </w:rPr>
        <w:t xml:space="preserve">Active research partnerships with the University of Minnesota (cross-classifier approaches) and Spring Health's VERA-MH team (evaluation framework guidance).</w:t>
      </w:r>
    </w:p>
    <w:p>
      <w:pPr>
        <w:spacing w:after="200" w:line="276"/>
        <w:jc w:val="both"/>
      </w:pPr>
      <w:r>
        <w:rPr>
          <w:rFonts w:ascii="Cambria" w:cs="Cambria" w:eastAsia="Cambria" w:hAnsi="Cambria"/>
          <w:sz w:val="22"/>
          <w:szCs w:val="22"/>
        </w:rPr>
        <w:t xml:space="preserve">This ongoing process reflects the project's commitment to continuous safety improvement. It does not constitute a warranty, guarantee of fitness, or assumption of liability.</w:t>
      </w:r>
    </w:p>
    <w:p>
      <w:pPr>
        <w:pStyle w:val="Heading1"/>
        <w:spacing w:after="200" w:before="360"/>
      </w:pPr>
      <w:r>
        <w:rPr>
          <w:rFonts w:ascii="Cambria" w:cs="Cambria" w:eastAsia="Cambria" w:hAnsi="Cambria"/>
          <w:b/>
          <w:bCs/>
          <w:sz w:val="32"/>
          <w:szCs w:val="32"/>
        </w:rPr>
        <w:t xml:space="preserve">11.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7s-c4npgyjpcrzlop4_3k">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Get help now (PWA): </w:t>
      </w:r>
      <w:hyperlink w:history="1" r:id="rIdms-i8jfteejsdbnx7whhd">
        <w:r>
          <w:rPr>
            <w:rStyle w:val="Hyperlink"/>
            <w:rFonts w:ascii="Cambria" w:cs="Cambria" w:eastAsia="Cambria" w:hAnsi="Cambria"/>
            <w:sz w:val="22"/>
            <w:szCs w:val="22"/>
          </w:rPr>
          <w:t xml:space="preserve">rob-e-graham.github.io/safechat/app/popup.html</w:t>
        </w:r>
      </w:hyperlink>
    </w:p>
    <w:p>
      <w:pPr>
        <w:spacing w:after="80" w:line="276"/>
      </w:pPr>
      <w:r>
        <w:rPr>
          <w:rFonts w:ascii="Cambria" w:cs="Cambria" w:eastAsia="Cambria" w:hAnsi="Cambria"/>
          <w:b/>
          <w:bCs/>
          <w:sz w:val="22"/>
          <w:szCs w:val="22"/>
        </w:rPr>
        <w:t xml:space="preserve">Source code: </w:t>
      </w:r>
      <w:hyperlink w:history="1" r:id="rIdezzqbopf0s0zegg3-qzjc">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anrptbbrizqamotsp-0sz">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12. Disclaimer</w:t>
      </w:r>
    </w:p>
    <w:p>
      <w:pPr>
        <w:spacing w:after="200" w:line="276"/>
        <w:jc w:val="both"/>
      </w:pPr>
      <w:r>
        <w:rPr>
          <w:rFonts w:ascii="Cambria" w:cs="Cambria" w:eastAsia="Cambria" w:hAnsi="Cambria"/>
          <w:sz w:val="22"/>
          <w:szCs w:val="22"/>
        </w:rPr>
        <w:t xml:space="preserve">SafeChat is a routing layer, not a diagnostic tool. It identifies textual signals that may indicate distress and connects users to verified professional crisis resources. It does not assess clinical risk, provide therapeutic intervention, make diagnoses, or replace professional mental health services, emergency services, qualified clinicians, safeguarding teams, or local crisis response procedures.</w:t>
      </w:r>
    </w:p>
    <w:p>
      <w:pPr>
        <w:spacing w:after="200" w:line="276"/>
        <w:jc w:val="both"/>
      </w:pPr>
      <w:r>
        <w:rPr>
          <w:rFonts w:ascii="Cambria" w:cs="Cambria" w:eastAsia="Cambria" w:hAnsi="Cambria"/>
          <w:sz w:val="22"/>
          <w:szCs w:val="22"/>
        </w:rPr>
        <w:t xml:space="preserve">SafeChat is provided as is, without warranty of any kind, express or implied. To the maximum extent permitted by law, Rob Graham, FAMTEC, contributors, maintainers, copyright holders, and licensors are not liable for any damages, losses, or harm arising from the use or inability to use SafeChat.</w:t>
      </w:r>
    </w:p>
    <w:p>
      <w:pPr>
        <w:spacing w:after="200" w:line="276"/>
        <w:jc w:val="both"/>
      </w:pPr>
      <w:r>
        <w:rPr>
          <w:rFonts w:ascii="Cambria" w:cs="Cambria" w:eastAsia="Cambria" w:hAnsi="Cambria"/>
          <w:sz w:val="22"/>
          <w:szCs w:val="22"/>
        </w:rPr>
        <w:t xml:space="preserve">If you or someone you know is in crisis, contact your local emergency services or visit </w:t>
      </w:r>
      <w:hyperlink w:history="1" r:id="rIdg_bsxrruibsabmv33isvu">
        <w:r>
          <w:rPr>
            <w:rStyle w:val="Hyperlink"/>
            <w:rFonts w:ascii="Cambria" w:cs="Cambria" w:eastAsia="Cambria" w:hAnsi="Cambria"/>
            <w:sz w:val="22"/>
            <w:szCs w:val="22"/>
          </w:rPr>
          <w:t xml:space="preserve">findahelpline.com</w:t>
        </w:r>
      </w:hyperlink>
      <w:r>
        <w:rPr>
          <w:rFonts w:ascii="Cambria" w:cs="Cambria" w:eastAsia="Cambria" w:hAnsi="Cambria"/>
          <w:sz w:val="22"/>
          <w:szCs w:val="22"/>
        </w:rPr>
        <w:t xml:space="preserve">.</w:t>
      </w:r>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p>
      <w:pPr>
        <w:pStyle w:val="ListParagraph"/>
        <w:numPr>
          <w:ilvl w:val="0"/>
          <w:numId w:val="3"/>
        </w:numPr>
        <w:spacing w:after="100" w:line="276"/>
      </w:pPr>
      <w:r>
        <w:rPr>
          <w:rFonts w:ascii="Cambria" w:cs="Cambria" w:eastAsia="Cambria" w:hAnsi="Cambria"/>
          <w:i/>
          <w:iCs/>
          <w:sz w:val="22"/>
          <w:szCs w:val="22"/>
        </w:rPr>
        <w:t xml:space="preserve">Carroll, S.R. et al. (2020). The CARE Principles for Indigenous Data Governance. Data Science Journal, 19(1), 43.</w:t>
      </w:r>
    </w:p>
    <w:p>
      <w:pPr>
        <w:pStyle w:val="ListParagraph"/>
        <w:numPr>
          <w:ilvl w:val="0"/>
          <w:numId w:val="3"/>
        </w:numPr>
        <w:spacing w:after="100" w:line="276"/>
      </w:pPr>
      <w:r>
        <w:rPr>
          <w:rFonts w:ascii="Cambria" w:cs="Cambria" w:eastAsia="Cambria" w:hAnsi="Cambria"/>
          <w:i/>
          <w:iCs/>
          <w:sz w:val="22"/>
          <w:szCs w:val="22"/>
        </w:rPr>
        <w:t xml:space="preserve">Wilkinson, M.D. et al. (2016). The FAIR Guiding Principles for scientific data management and stewardship. Scientific Data, 3, 160018.</w:t>
      </w:r>
    </w:p>
    <w:p>
      <w:pPr>
        <w:pStyle w:val="ListParagraph"/>
        <w:numPr>
          <w:ilvl w:val="0"/>
          <w:numId w:val="3"/>
        </w:numPr>
        <w:spacing w:after="100" w:line="276"/>
      </w:pPr>
      <w:r>
        <w:rPr>
          <w:rFonts w:ascii="Cambria" w:cs="Cambria" w:eastAsia="Cambria" w:hAnsi="Cambria"/>
          <w:i/>
          <w:iCs/>
          <w:sz w:val="22"/>
          <w:szCs w:val="22"/>
        </w:rPr>
        <w:t xml:space="preserve">Sword Health. (2026). MindGuard: Guardrail Classifiers for Multi-Turn Mental Health Support. arXiv:2602.00950.</w:t>
      </w:r>
    </w:p>
    <w:p>
      <w:pPr>
        <w:pStyle w:val="ListParagraph"/>
        <w:numPr>
          <w:ilvl w:val="0"/>
          <w:numId w:val="3"/>
        </w:numPr>
        <w:spacing w:after="100" w:line="276"/>
      </w:pPr>
      <w:r>
        <w:rPr>
          <w:rFonts w:ascii="Cambria" w:cs="Cambria" w:eastAsia="Cambria" w:hAnsi="Cambria"/>
          <w:i/>
          <w:iCs/>
          <w:sz w:val="22"/>
          <w:szCs w:val="22"/>
        </w:rPr>
        <w:t xml:space="preserve">Yang, K. et al. (2024). MentalLLaMA: Interpretable Mental Health Analysis on Social Media with Large Language Models. arXiv:2309.13567.</w:t>
      </w:r>
    </w:p>
    <w:p>
      <w:pPr>
        <w:pStyle w:val="ListParagraph"/>
        <w:numPr>
          <w:ilvl w:val="0"/>
          <w:numId w:val="3"/>
        </w:numPr>
        <w:spacing w:after="100" w:line="276"/>
      </w:pPr>
      <w:r>
        <w:rPr>
          <w:rFonts w:ascii="Cambria" w:cs="Cambria" w:eastAsia="Cambria" w:hAnsi="Cambria"/>
          <w:i/>
          <w:iCs/>
          <w:sz w:val="22"/>
          <w:szCs w:val="22"/>
        </w:rPr>
        <w:t xml:space="preserve">Xu, J. et al. (2025). MentalChat16K: A Benchmark Dataset for Conversational Mental Health Assistance. Proceedings of the 31st ACM SIGKDD Conference.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s-c4npgyjpcrzlop4_3k" Type="http://schemas.openxmlformats.org/officeDocument/2006/relationships/hyperlink" Target="https://rob-e-graham.github.io/safechat" TargetMode="External"/><Relationship Id="rIdms-i8jfteejsdbnx7whhd" Type="http://schemas.openxmlformats.org/officeDocument/2006/relationships/hyperlink" Target="https://rob-e-graham.github.io/safechat/app/popup.html" TargetMode="External"/><Relationship Id="rIdezzqbopf0s0zegg3-qzjc" Type="http://schemas.openxmlformats.org/officeDocument/2006/relationships/hyperlink" Target="https://github.com/rob-e-graham/safechat" TargetMode="External"/><Relationship Id="rIdanrptbbrizqamotsp-0sz" Type="http://schemas.openxmlformats.org/officeDocument/2006/relationships/hyperlink" Target="mailto:rob@fineartmedia.tech" TargetMode="External"/><Relationship Id="rIdg_bsxrruibsabmv33isvu" Type="http://schemas.openxmlformats.org/officeDocument/2006/relationships/hyperlink" Target="https://findahelpline.com" TargetMode="External"/><Relationship Id="rId9" Type="http://schemas.openxmlformats.org/officeDocument/2006/relationships/image" Target="media/fffd8ef5d99c734a0f7ac343e19673c46f9b9f1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2026-06-11T23:59:14.814Z</dcterms:created>
  <dcterms:modified xsi:type="dcterms:W3CDTF">2026-06-11T23:59:14.815Z</dcterms:modified>
</cp:coreProperties>
</file>

<file path=docProps/custom.xml><?xml version="1.0" encoding="utf-8"?>
<Properties xmlns="http://schemas.openxmlformats.org/officeDocument/2006/custom-properties" xmlns:vt="http://schemas.openxmlformats.org/officeDocument/2006/docPropsVTypes"/>
</file>