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042C" w14:textId="77777777" w:rsidR="00DA2C5D" w:rsidRDefault="00000000">
      <w:pPr>
        <w:pStyle w:val="Title"/>
      </w:pPr>
      <w:r>
        <w:t>Project Requirements Document</w:t>
      </w:r>
    </w:p>
    <w:p w14:paraId="16E0E347" w14:textId="77777777" w:rsidR="00DA2C5D" w:rsidRDefault="00000000">
      <w:r>
        <w:rPr>
          <w:i/>
          <w:sz w:val="28"/>
        </w:rPr>
        <w:t>Managed Customer Contact Center (MCC) solution requirements</w:t>
      </w:r>
    </w:p>
    <w:p w14:paraId="4C7BE5B9" w14:textId="77777777" w:rsidR="00DA2C5D" w:rsidRDefault="00000000">
      <w:r>
        <w:t>Prepared by Retail Operations as the requirements input for the forthcoming Request for Proposal. Version 0.4, circulated for internal comment. Document owner: Miguel Reyes. Executive sponsor: Elizabeth Moore, Head of Retail Operations.</w:t>
      </w:r>
    </w:p>
    <w:p w14:paraId="4828B642" w14:textId="77777777" w:rsidR="00DA2C5D" w:rsidRDefault="00000000">
      <w:pPr>
        <w:pStyle w:val="Heading1"/>
      </w:pPr>
      <w:r>
        <w:t>1. Project Overview</w:t>
      </w:r>
    </w:p>
    <w:p w14:paraId="5CE4E9D3" w14:textId="77777777" w:rsidR="00DA2C5D" w:rsidRDefault="00000000">
      <w:r>
        <w:t>Woodgrove Bank is seeking to enhance its customer service operations with a comprehensive Managed Customer Contact Center (MCC) solution. The goal of this project is to implement a reliable service framework that ensures accurate account servicing, first-contact resolution, and customer privacy compliance. The selected vendor will provide a scalable and cost-effective solution that aligns with Woodgrove Bank's service policies and industry regulations. The initiative is carried in the Retail Operations portfolio under cost center RB-4420 and was approved for scoping at the January portfolio review, with earlier drafts of this document retained on the Retail Operations team site.</w:t>
      </w:r>
    </w:p>
    <w:p w14:paraId="54EB3A6A" w14:textId="77777777" w:rsidR="00DA2C5D" w:rsidRDefault="00000000">
      <w:pPr>
        <w:pStyle w:val="Heading1"/>
      </w:pPr>
      <w:r>
        <w:t>2. Business Need &amp; Objectives</w:t>
      </w:r>
    </w:p>
    <w:p w14:paraId="5F2CCA86" w14:textId="77777777" w:rsidR="00DA2C5D" w:rsidRDefault="00000000">
      <w:r>
        <w:t>The objectives below were carried forward from the 2025 Service Channel Review and align to goals 2 and 4 of the Retail Banking annual operating plan:</w:t>
      </w:r>
    </w:p>
    <w:p w14:paraId="54626499" w14:textId="77777777" w:rsidR="00DA2C5D" w:rsidRDefault="00000000">
      <w:pPr>
        <w:pStyle w:val="ListBullet"/>
      </w:pPr>
      <w:r>
        <w:t>Strengthen call handling and issue resolution capabilities.</w:t>
      </w:r>
    </w:p>
    <w:p w14:paraId="5DBA2D54" w14:textId="77777777" w:rsidR="00DA2C5D" w:rsidRDefault="00000000">
      <w:pPr>
        <w:pStyle w:val="ListBullet"/>
      </w:pPr>
      <w:r>
        <w:t>Ensure continuous compliance with industry standards such as GLBA, SOC 2 Type II, and PCI DSS</w:t>
      </w:r>
    </w:p>
    <w:p w14:paraId="4A69D0FF" w14:textId="77777777" w:rsidR="00DA2C5D" w:rsidRDefault="00000000">
      <w:pPr>
        <w:pStyle w:val="ListBullet"/>
      </w:pPr>
      <w:r>
        <w:t>Provide 24/7 customer coverage and rapid escalation response.</w:t>
      </w:r>
    </w:p>
    <w:p w14:paraId="5883AC8A" w14:textId="77777777" w:rsidR="00DA2C5D" w:rsidRDefault="00000000">
      <w:pPr>
        <w:pStyle w:val="ListBullet"/>
      </w:pPr>
      <w:r>
        <w:t>Implement call recording retention and quality monitoring methodologies.</w:t>
      </w:r>
    </w:p>
    <w:p w14:paraId="4E7F052C" w14:textId="77777777" w:rsidR="00DA2C5D" w:rsidRDefault="00000000">
      <w:pPr>
        <w:pStyle w:val="ListBullet"/>
      </w:pPr>
      <w:r>
        <w:t>Support a seamless integration with Woodgrove Bank's existing core banking platform</w:t>
      </w:r>
    </w:p>
    <w:p w14:paraId="79F6370E" w14:textId="77777777" w:rsidR="00DA2C5D" w:rsidRDefault="00000000">
      <w:r>
        <w:t>Progress against these objectives is reported through the monthly divisional scorecard rather than tracked separately by the project team.</w:t>
      </w:r>
    </w:p>
    <w:p w14:paraId="75AB1EA0" w14:textId="77777777" w:rsidR="00DA2C5D" w:rsidRDefault="00000000">
      <w:pPr>
        <w:pStyle w:val="Heading1"/>
      </w:pPr>
      <w:r>
        <w:t>3. Scope of Work</w:t>
      </w:r>
    </w:p>
    <w:p w14:paraId="40C2DAC8" w14:textId="77777777" w:rsidR="00DA2C5D" w:rsidRDefault="00000000">
      <w:r>
        <w:t>The selected provider will deliver the following services:</w:t>
      </w:r>
    </w:p>
    <w:p w14:paraId="0E5011D6" w14:textId="77777777" w:rsidR="00DA2C5D" w:rsidRDefault="00000000">
      <w:pPr>
        <w:pStyle w:val="ListBullet"/>
      </w:pPr>
      <w:r>
        <w:rPr>
          <w:b/>
        </w:rPr>
        <w:t>Contact Center Operations Support</w:t>
      </w:r>
      <w:r>
        <w:t xml:space="preserve"> : Real-time queue monitoring and management. Retail Operations is the owning team.</w:t>
      </w:r>
    </w:p>
    <w:p w14:paraId="30C8F6CA" w14:textId="77777777" w:rsidR="00DA2C5D" w:rsidRDefault="00000000">
      <w:pPr>
        <w:pStyle w:val="ListBullet"/>
      </w:pPr>
      <w:r>
        <w:rPr>
          <w:b/>
        </w:rPr>
        <w:t>Customer Inquiry Handling &amp; Routing</w:t>
      </w:r>
      <w:r>
        <w:t xml:space="preserve"> : Automated triage of incoming service requests.</w:t>
      </w:r>
    </w:p>
    <w:p w14:paraId="28B07821" w14:textId="77777777" w:rsidR="00DA2C5D" w:rsidRDefault="00000000">
      <w:pPr>
        <w:pStyle w:val="ListBullet"/>
      </w:pPr>
      <w:r>
        <w:rPr>
          <w:b/>
        </w:rPr>
        <w:lastRenderedPageBreak/>
        <w:t>Compliance &amp; Risk Management</w:t>
      </w:r>
      <w:r>
        <w:t xml:space="preserve"> : Regular audits and adherence to PCI DSS, GLBA, and SOC 2 standards</w:t>
      </w:r>
    </w:p>
    <w:p w14:paraId="14FD4E2D" w14:textId="77777777" w:rsidR="00DA2C5D" w:rsidRDefault="00000000">
      <w:pPr>
        <w:pStyle w:val="ListBullet"/>
      </w:pPr>
      <w:r>
        <w:rPr>
          <w:b/>
        </w:rPr>
        <w:t>Escalation &amp; Complaint Resolution</w:t>
      </w:r>
      <w:r>
        <w:t xml:space="preserve"> : Framework for rapid customer complaint containment and resolution.</w:t>
      </w:r>
    </w:p>
    <w:p w14:paraId="54ACD310" w14:textId="77777777" w:rsidR="00DA2C5D" w:rsidRDefault="00000000">
      <w:pPr>
        <w:pStyle w:val="ListBullet"/>
      </w:pPr>
      <w:r>
        <w:rPr>
          <w:b/>
        </w:rPr>
        <w:t>Digital Channel Services</w:t>
      </w:r>
      <w:r>
        <w:t xml:space="preserve"> : Support for Woodgrove Bank's online and mobile banking channels. Owned by the Digital Channels team.</w:t>
      </w:r>
    </w:p>
    <w:p w14:paraId="0529E7EE" w14:textId="77777777" w:rsidR="00DA2C5D" w:rsidRDefault="00000000">
      <w:pPr>
        <w:pStyle w:val="ListBullet"/>
      </w:pPr>
      <w:r>
        <w:rPr>
          <w:b/>
        </w:rPr>
        <w:t>Training &amp; Awareness</w:t>
      </w:r>
      <w:r>
        <w:t xml:space="preserve"> : Service training for Woodgrove Bank's branch teams, coordinated through Learning &amp; Development.</w:t>
      </w:r>
    </w:p>
    <w:p w14:paraId="33B34424" w14:textId="77777777" w:rsidR="00DA2C5D" w:rsidRDefault="00000000">
      <w:r>
        <w:t>Each owning team is providing one subject matter expert at approximately four hours per week through Phases 1 and 2. SME nominations should reach Miguel Reyes before the kickoff session.</w:t>
      </w:r>
    </w:p>
    <w:p w14:paraId="7F49F922" w14:textId="77777777" w:rsidR="00DA2C5D" w:rsidRDefault="00000000">
      <w:pPr>
        <w:pStyle w:val="Heading1"/>
      </w:pPr>
      <w:r>
        <w:t>4. Implementation Timeline</w:t>
      </w:r>
    </w:p>
    <w:p w14:paraId="53E7884F" w14:textId="77777777" w:rsidR="00DA2C5D" w:rsidRDefault="00000000">
      <w:pPr>
        <w:pStyle w:val="ListBullet"/>
      </w:pPr>
      <w:r>
        <w:rPr>
          <w:b/>
        </w:rPr>
        <w:t>Phase 1 (Month 1-2)</w:t>
      </w:r>
      <w:r>
        <w:t xml:space="preserve"> : Service assessment, gap analysis, and planning.</w:t>
      </w:r>
    </w:p>
    <w:p w14:paraId="74651B62" w14:textId="77777777" w:rsidR="00DA2C5D" w:rsidRDefault="00000000">
      <w:pPr>
        <w:pStyle w:val="ListBullet"/>
      </w:pPr>
      <w:r>
        <w:rPr>
          <w:b/>
        </w:rPr>
        <w:t>Phase 2 (Month 3-5)</w:t>
      </w:r>
      <w:r>
        <w:t xml:space="preserve"> : Solution deployment and integration.</w:t>
      </w:r>
    </w:p>
    <w:p w14:paraId="65D872E3" w14:textId="77777777" w:rsidR="00DA2C5D" w:rsidRDefault="00000000">
      <w:pPr>
        <w:pStyle w:val="ListBullet"/>
      </w:pPr>
      <w:r>
        <w:rPr>
          <w:b/>
        </w:rPr>
        <w:t>Phase 3 (Month 6-9)</w:t>
      </w:r>
      <w:r>
        <w:t xml:space="preserve"> : Testing, compliance validation, and training.</w:t>
      </w:r>
    </w:p>
    <w:p w14:paraId="3BBC6B12" w14:textId="77777777" w:rsidR="00DA2C5D" w:rsidRDefault="00000000">
      <w:pPr>
        <w:pStyle w:val="ListBullet"/>
      </w:pPr>
      <w:r>
        <w:rPr>
          <w:b/>
        </w:rPr>
        <w:t>Phase 4 (Ongoing)</w:t>
      </w:r>
      <w:r>
        <w:t xml:space="preserve"> : Continuous monitoring, reporting, and support.</w:t>
      </w:r>
    </w:p>
    <w:p w14:paraId="46646E00" w14:textId="77777777" w:rsidR="00DA2C5D" w:rsidRDefault="00000000">
      <w:r>
        <w:t>Woodgrove Bank observes an annual technology change freeze from December 15 to January 5, which any deployment schedule will need to work around. The project steering group meets the second Tuesday of each month and holds an internal readiness checkpoint two weeks ahead of each phase boundary; the running action log is maintained by the Retail Operations project coordinator.</w:t>
      </w:r>
    </w:p>
    <w:p w14:paraId="15DCD563" w14:textId="77777777" w:rsidR="00DA2C5D" w:rsidRDefault="00000000">
      <w:pPr>
        <w:pStyle w:val="Heading1"/>
      </w:pPr>
      <w:r>
        <w:t>5. Budget &amp; Pricing Considerations</w:t>
      </w:r>
    </w:p>
    <w:p w14:paraId="53F2F335" w14:textId="77777777" w:rsidR="00DA2C5D" w:rsidRDefault="00000000">
      <w:pPr>
        <w:pStyle w:val="ListBullet"/>
      </w:pPr>
      <w:r>
        <w:t>Estimated budget: $1.5M - $2.5M over a 3-year contract</w:t>
      </w:r>
    </w:p>
    <w:p w14:paraId="2A691398" w14:textId="77777777" w:rsidR="00DA2C5D" w:rsidRDefault="00000000">
      <w:pPr>
        <w:pStyle w:val="ListBullet"/>
      </w:pPr>
      <w:r>
        <w:t>Flexible pricing model: Fixed cost vs. per-contact.</w:t>
      </w:r>
    </w:p>
    <w:p w14:paraId="1C2171CE" w14:textId="77777777" w:rsidR="00DA2C5D" w:rsidRDefault="00000000">
      <w:pPr>
        <w:pStyle w:val="ListBullet"/>
      </w:pPr>
      <w:r>
        <w:t>Volume discounts for extended engagements.</w:t>
      </w:r>
    </w:p>
    <w:p w14:paraId="4A17BF88" w14:textId="77777777" w:rsidR="00DA2C5D" w:rsidRDefault="00000000">
      <w:pPr>
        <w:pStyle w:val="ListBullet"/>
      </w:pPr>
      <w:r>
        <w:t>Additional charges for premium support and after-hours coverage.</w:t>
      </w:r>
    </w:p>
    <w:p w14:paraId="0C1B9A21" w14:textId="77777777" w:rsidR="00DA2C5D" w:rsidRDefault="00000000">
      <w:r>
        <w:t>Funding is split across the Retail Operations and Digital Channels cost centers on a 70/30 basis, with implementation costs treated as capital and ongoing service fees as operating expense. Purchase orders are raised through the procurement portal once a contract is executed. Accounts Payable operates on 45-day terms with monthly invoicing.</w:t>
      </w:r>
    </w:p>
    <w:p w14:paraId="19F48FAD" w14:textId="77777777" w:rsidR="00DA2C5D" w:rsidRDefault="00000000">
      <w:pPr>
        <w:pStyle w:val="Heading1"/>
      </w:pPr>
      <w:r>
        <w:t>6. Compliance &amp; Security Standards</w:t>
      </w:r>
    </w:p>
    <w:p w14:paraId="56388F5A" w14:textId="77777777" w:rsidR="00DA2C5D" w:rsidRDefault="00000000">
      <w:r>
        <w:t>The provider must demonstrate adherence to:</w:t>
      </w:r>
    </w:p>
    <w:p w14:paraId="52E04FAD" w14:textId="77777777" w:rsidR="00DA2C5D" w:rsidRDefault="00000000">
      <w:pPr>
        <w:pStyle w:val="ListBullet"/>
      </w:pPr>
      <w:r>
        <w:t>GLBA (Gramm-Leach-Bliley Act Customer Privacy Requirements)</w:t>
      </w:r>
    </w:p>
    <w:p w14:paraId="025D93D7" w14:textId="77777777" w:rsidR="00DA2C5D" w:rsidRDefault="00000000">
      <w:pPr>
        <w:pStyle w:val="ListBullet"/>
      </w:pPr>
      <w:r>
        <w:t>SOC 2 Type II (Security, Availability, and Confidentiality)</w:t>
      </w:r>
    </w:p>
    <w:p w14:paraId="5AFD5979" w14:textId="77777777" w:rsidR="00DA2C5D" w:rsidRDefault="00000000">
      <w:pPr>
        <w:pStyle w:val="ListBullet"/>
      </w:pPr>
      <w:r>
        <w:lastRenderedPageBreak/>
        <w:t>PCI DSS (Payment Card Industry Data Security Standard)</w:t>
      </w:r>
    </w:p>
    <w:p w14:paraId="445E63E8" w14:textId="77777777" w:rsidR="00DA2C5D" w:rsidRDefault="00000000">
      <w:pPr>
        <w:pStyle w:val="ListBullet"/>
      </w:pPr>
      <w:r>
        <w:t>GDPR &amp; CCPA Compliance (if applicable)</w:t>
      </w:r>
    </w:p>
    <w:p w14:paraId="742B89CE" w14:textId="77777777" w:rsidR="00DA2C5D" w:rsidRDefault="00000000">
      <w:r>
        <w:t>Anne Patel in Compliance maintains the policy register and is the routing point for standards questions raised during the evaluation. Certificates supplied by the provider are filed in the vendor compliance library on receipt, and the division's own attestation cycle runs each September.</w:t>
      </w:r>
    </w:p>
    <w:p w14:paraId="45528B76" w14:textId="77777777" w:rsidR="00DA2C5D" w:rsidRDefault="00000000">
      <w:pPr>
        <w:pStyle w:val="Heading1"/>
      </w:pPr>
      <w:r>
        <w:t>7. Quality Assurance &amp; Performance Metrics</w:t>
      </w:r>
    </w:p>
    <w:p w14:paraId="0ABD0FCD" w14:textId="77777777" w:rsidR="00DA2C5D" w:rsidRDefault="00000000">
      <w:pPr>
        <w:pStyle w:val="ListBullet"/>
      </w:pPr>
      <w:r>
        <w:rPr>
          <w:b/>
        </w:rPr>
        <w:t>Response Time SLAs</w:t>
      </w:r>
      <w:r>
        <w:t xml:space="preserve"> : Call answered within 30 seconds, resolution within 4 hours</w:t>
      </w:r>
    </w:p>
    <w:p w14:paraId="1213EE76" w14:textId="77777777" w:rsidR="00DA2C5D" w:rsidRDefault="00000000">
      <w:pPr>
        <w:pStyle w:val="ListBullet"/>
      </w:pPr>
      <w:r>
        <w:rPr>
          <w:b/>
        </w:rPr>
        <w:t>Uptime Guarantee</w:t>
      </w:r>
      <w:r>
        <w:t xml:space="preserve"> : 99.9% service availability.</w:t>
      </w:r>
    </w:p>
    <w:p w14:paraId="21AFE72E" w14:textId="77777777" w:rsidR="00DA2C5D" w:rsidRDefault="00000000">
      <w:pPr>
        <w:pStyle w:val="ListBullet"/>
      </w:pPr>
      <w:r>
        <w:rPr>
          <w:b/>
        </w:rPr>
        <w:t>Quarterly Service Audits</w:t>
      </w:r>
      <w:r>
        <w:t xml:space="preserve"> : Compliance reporting and policy updates.</w:t>
      </w:r>
    </w:p>
    <w:p w14:paraId="7444A008" w14:textId="77777777" w:rsidR="00DA2C5D" w:rsidRDefault="00000000">
      <w:r>
        <w:t>These measures feed the Retail Operations dashboard, which is built from the existing reporting workspace and reviewed at the monthly steering group. A one-page summary goes to the Operations Committee each quarter.</w:t>
      </w:r>
    </w:p>
    <w:p w14:paraId="07BC4853" w14:textId="77777777" w:rsidR="00DA2C5D" w:rsidRDefault="00000000">
      <w:pPr>
        <w:pStyle w:val="Heading1"/>
      </w:pPr>
      <w:r>
        <w:t>8. Vendor Selection Criteria</w:t>
      </w:r>
    </w:p>
    <w:p w14:paraId="5D2F3D8A" w14:textId="77777777" w:rsidR="00DA2C5D" w:rsidRDefault="00000000">
      <w:r>
        <w:t>Proposals will be evaluated based on:</w:t>
      </w:r>
    </w:p>
    <w:p w14:paraId="7858C978" w14:textId="77777777" w:rsidR="00DA2C5D" w:rsidRDefault="00000000">
      <w:pPr>
        <w:pStyle w:val="ListBullet"/>
      </w:pPr>
      <w:r>
        <w:rPr>
          <w:b/>
        </w:rPr>
        <w:t>Technical Capability &amp; Experience (30%)</w:t>
      </w:r>
      <w:r>
        <w:t xml:space="preserve"> : Previous deployments of similar solutions.</w:t>
      </w:r>
    </w:p>
    <w:p w14:paraId="013607D8" w14:textId="77777777" w:rsidR="00DA2C5D" w:rsidRDefault="00000000">
      <w:pPr>
        <w:pStyle w:val="ListBullet"/>
      </w:pPr>
      <w:r>
        <w:rPr>
          <w:b/>
        </w:rPr>
        <w:t>Pricing &amp; Cost-effectiveness (25%)</w:t>
      </w:r>
      <w:r>
        <w:t xml:space="preserve"> : Transparent cost structure and competitive pricing.</w:t>
      </w:r>
    </w:p>
    <w:p w14:paraId="10D797B4" w14:textId="77777777" w:rsidR="00DA2C5D" w:rsidRDefault="00000000">
      <w:pPr>
        <w:pStyle w:val="ListBullet"/>
      </w:pPr>
      <w:r>
        <w:rPr>
          <w:b/>
        </w:rPr>
        <w:t>Quality &amp; Compliance (20%)</w:t>
      </w:r>
      <w:r>
        <w:t xml:space="preserve"> : Alignment with industry best practices.</w:t>
      </w:r>
    </w:p>
    <w:p w14:paraId="39E38AA4" w14:textId="77777777" w:rsidR="00DA2C5D" w:rsidRDefault="00000000">
      <w:pPr>
        <w:pStyle w:val="ListBullet"/>
      </w:pPr>
      <w:r>
        <w:rPr>
          <w:b/>
        </w:rPr>
        <w:t>Supplier Reputation &amp; References (15%)</w:t>
      </w:r>
      <w:r>
        <w:t xml:space="preserve"> : Three references from enterprise clients.</w:t>
      </w:r>
    </w:p>
    <w:p w14:paraId="694A8809" w14:textId="77777777" w:rsidR="00DA2C5D" w:rsidRDefault="00000000">
      <w:pPr>
        <w:pStyle w:val="ListBullet"/>
      </w:pPr>
      <w:r>
        <w:rPr>
          <w:b/>
        </w:rPr>
        <w:t>Sustainability &amp; Corporate Responsibility (10%)</w:t>
      </w:r>
      <w:r>
        <w:t xml:space="preserve"> : Environmentally responsible IT practices.</w:t>
      </w:r>
    </w:p>
    <w:p w14:paraId="6B51AA51" w14:textId="77777777" w:rsidR="00DA2C5D" w:rsidRDefault="00000000">
      <w:r>
        <w:t>The evaluation panel is Elizabeth Moore, Miguel Reyes, and Anne Patel, with Finance attending in a non-voting capacity. Miguel Reyes convenes the sessions and circulates the scoring workbook beforehand. Two review sessions are held after the submission deadline, with a third kept in reserve.</w:t>
      </w:r>
    </w:p>
    <w:p w14:paraId="36FFD897" w14:textId="77777777" w:rsidR="00DA2C5D" w:rsidRDefault="00000000">
      <w:pPr>
        <w:pStyle w:val="Heading1"/>
      </w:pPr>
      <w:r>
        <w:t>9. Required Documentation</w:t>
      </w:r>
    </w:p>
    <w:p w14:paraId="1024F9BE" w14:textId="77777777" w:rsidR="00DA2C5D" w:rsidRDefault="00000000">
      <w:r>
        <w:t>Vendors must provide the following:</w:t>
      </w:r>
    </w:p>
    <w:p w14:paraId="758D9C2D" w14:textId="77777777" w:rsidR="00DA2C5D" w:rsidRDefault="00000000">
      <w:pPr>
        <w:pStyle w:val="ListBullet"/>
      </w:pPr>
      <w:r>
        <w:t>Company background and relevant case studies.</w:t>
      </w:r>
    </w:p>
    <w:p w14:paraId="54AD665A" w14:textId="77777777" w:rsidR="00DA2C5D" w:rsidRDefault="00000000">
      <w:pPr>
        <w:pStyle w:val="ListBullet"/>
      </w:pPr>
      <w:r>
        <w:t>Service architecture and technical specifications.</w:t>
      </w:r>
    </w:p>
    <w:p w14:paraId="1B3C7C37" w14:textId="77777777" w:rsidR="00DA2C5D" w:rsidRDefault="00000000">
      <w:pPr>
        <w:pStyle w:val="ListBullet"/>
      </w:pPr>
      <w:r>
        <w:t>Detailed pricing breakdown.</w:t>
      </w:r>
    </w:p>
    <w:p w14:paraId="7A760492" w14:textId="77777777" w:rsidR="00DA2C5D" w:rsidRDefault="00000000">
      <w:pPr>
        <w:pStyle w:val="ListBullet"/>
      </w:pPr>
      <w:r>
        <w:t>Implementation and support plan.</w:t>
      </w:r>
    </w:p>
    <w:p w14:paraId="1C9A56E4" w14:textId="77777777" w:rsidR="00DA2C5D" w:rsidRDefault="00000000">
      <w:pPr>
        <w:pStyle w:val="ListBullet"/>
      </w:pPr>
      <w:r>
        <w:t>Compliance certifications.</w:t>
      </w:r>
    </w:p>
    <w:p w14:paraId="68043A6C" w14:textId="77777777" w:rsidR="00DA2C5D" w:rsidRDefault="00000000">
      <w:r>
        <w:lastRenderedPageBreak/>
        <w:t>Submissions are logged in the procurement portal and acknowledged within two business days. Before the RFP itself is issued, Legal reviews the compliance and indemnification language, Finance confirms the pricing structure, and the Operations Committee gives final release approval — allow ten business days for that cycle.</w:t>
      </w:r>
    </w:p>
    <w:p w14:paraId="05423A06" w14:textId="77777777" w:rsidR="00DA2C5D" w:rsidRDefault="00000000">
      <w:pPr>
        <w:pStyle w:val="Heading1"/>
      </w:pPr>
      <w:r>
        <w:t>10. Additional Notes</w:t>
      </w:r>
    </w:p>
    <w:p w14:paraId="58B8A429" w14:textId="77777777" w:rsidR="00DA2C5D" w:rsidRDefault="00000000">
      <w:r>
        <w:t>This document serves as a preliminary guideline to collect necessary information for drafting a formal Request for Proposal (RFP). Stakeholders should review and refine these requirements to align with Woodgrove Bank's evolving customer service needs before finalizing the RFP. Not everything captured here is intended for the supplier-facing document: the notes on ownership, internal meeting cadence, accounting treatment, reporting routes and approval routing describe how Woodgrove Bank organizes itself around the project and can be left out of the RFP. Questions about this document go to Miguel Reyes.</w:t>
      </w:r>
    </w:p>
    <w:sectPr w:rsidR="00DA2C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928155">
    <w:abstractNumId w:val="8"/>
  </w:num>
  <w:num w:numId="2" w16cid:durableId="1249272475">
    <w:abstractNumId w:val="6"/>
  </w:num>
  <w:num w:numId="3" w16cid:durableId="372269914">
    <w:abstractNumId w:val="5"/>
  </w:num>
  <w:num w:numId="4" w16cid:durableId="838731801">
    <w:abstractNumId w:val="4"/>
  </w:num>
  <w:num w:numId="5" w16cid:durableId="997462394">
    <w:abstractNumId w:val="7"/>
  </w:num>
  <w:num w:numId="6" w16cid:durableId="1469276767">
    <w:abstractNumId w:val="3"/>
  </w:num>
  <w:num w:numId="7" w16cid:durableId="976909657">
    <w:abstractNumId w:val="2"/>
  </w:num>
  <w:num w:numId="8" w16cid:durableId="1742829248">
    <w:abstractNumId w:val="1"/>
  </w:num>
  <w:num w:numId="9" w16cid:durableId="195771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82E"/>
    <w:rsid w:val="006E48B2"/>
    <w:rsid w:val="00A9224D"/>
    <w:rsid w:val="00AA1D8D"/>
    <w:rsid w:val="00B47730"/>
    <w:rsid w:val="00CB0664"/>
    <w:rsid w:val="00DA2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4E9F4"/>
  <w14:defaultImageDpi w14:val="300"/>
  <w15:docId w15:val="{AFC86566-E4F0-49A9-8288-F4CA2BEA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Rob Foulkrod</cp:lastModifiedBy>
  <cp:revision>3</cp:revision>
  <dcterms:created xsi:type="dcterms:W3CDTF">2013-12-23T23:15:00Z</dcterms:created>
  <dcterms:modified xsi:type="dcterms:W3CDTF">2026-08-25T21:27:00Z</dcterms:modified>
  <cp:category/>
</cp:coreProperties>
</file>