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Classification: Public</w:t>
      </w:r>
    </w:p>
    <w:p>
      <w:pPr>
        <w:pStyle w:val="Title"/>
      </w:pPr>
      <w:r>
        <w:t>Northstar Grain Exchange Operations Brief</w:t>
      </w:r>
    </w:p>
    <w:p>
      <w:r>
        <w:t>Fictional Microsoft Fake Company: Northstar Grain Exchange</w:t>
      </w:r>
    </w:p>
    <w:p>
      <w:r>
        <w:t>This demo uses a fictional Microsoft Fake Company created for demonstration purposes. Any resemblance to real organizations, people, products, services, or data is coincidental. Do not use customer confidential information in this package.</w:t>
      </w:r>
    </w:p>
    <w:p>
      <w:pPr>
        <w:pStyle w:val="Heading1"/>
      </w:pPr>
      <w:r>
        <w:t>Executive context</w:t>
      </w:r>
    </w:p>
    <w:p>
      <w:r>
        <w:t>Northstar Grain Exchange merchandises grains, oilseeds, and food-and-feed ingredients across domestic and export corridors. The operations team is preparing for a same-day leadership call after several shipments showed elevated delay, margin, and traceability risk.</w:t>
      </w:r>
    </w:p>
    <w:p>
      <w:pPr>
        <w:pStyle w:val="Heading1"/>
      </w:pPr>
      <w:r>
        <w:t>Operating model</w:t>
      </w:r>
    </w:p>
    <w:p>
      <w:r>
        <w:t>The fictional business coordinates origin elevators, inland rail, export terminals, barge movements, containerized specialty-crop shipments, and customer delivery windows. Customer commitments include feed manufacturers, food processors, bakery ingredient buyers, and export trading partners.</w:t>
      </w:r>
    </w:p>
    <w:p>
      <w:pPr>
        <w:pStyle w:val="Heading1"/>
      </w:pPr>
      <w:r>
        <w:t>Key personas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 in workflow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question</w:t>
            </w:r>
          </w:p>
        </w:tc>
      </w:tr>
      <w:tr>
        <w:tc>
          <w:tcPr>
            <w:tcW w:type="dxa" w:w="2880"/>
          </w:tcPr>
          <w:p>
            <w:r>
              <w:t>Maya Chen</w:t>
            </w:r>
          </w:p>
        </w:tc>
        <w:tc>
          <w:tcPr>
            <w:tcW w:type="dxa" w:w="2880"/>
          </w:tcPr>
          <w:p>
            <w:r>
              <w:t>Operations Manager</w:t>
            </w:r>
          </w:p>
        </w:tc>
        <w:tc>
          <w:tcPr>
            <w:tcW w:type="dxa" w:w="2880"/>
          </w:tcPr>
          <w:p>
            <w:r>
              <w:t>Which shipments need intervention before the 4:00 PM call?</w:t>
            </w:r>
          </w:p>
        </w:tc>
      </w:tr>
      <w:tr>
        <w:tc>
          <w:tcPr>
            <w:tcW w:type="dxa" w:w="2880"/>
          </w:tcPr>
          <w:p>
            <w:r>
              <w:t>Evan Brooks</w:t>
            </w:r>
          </w:p>
        </w:tc>
        <w:tc>
          <w:tcPr>
            <w:tcW w:type="dxa" w:w="2880"/>
          </w:tcPr>
          <w:p>
            <w:r>
              <w:t>Freight Coordinator</w:t>
            </w:r>
          </w:p>
        </w:tc>
        <w:tc>
          <w:tcPr>
            <w:tcW w:type="dxa" w:w="2880"/>
          </w:tcPr>
          <w:p>
            <w:r>
              <w:t>Where can we reroute capacity or avoid demurrage?</w:t>
            </w:r>
          </w:p>
        </w:tc>
      </w:tr>
      <w:tr>
        <w:tc>
          <w:tcPr>
            <w:tcW w:type="dxa" w:w="2880"/>
          </w:tcPr>
          <w:p>
            <w:r>
              <w:t>Priya Raman</w:t>
            </w:r>
          </w:p>
        </w:tc>
        <w:tc>
          <w:tcPr>
            <w:tcW w:type="dxa" w:w="2880"/>
          </w:tcPr>
          <w:p>
            <w:r>
              <w:t>Sustainability Analyst</w:t>
            </w:r>
          </w:p>
        </w:tc>
        <w:tc>
          <w:tcPr>
            <w:tcW w:type="dxa" w:w="2880"/>
          </w:tcPr>
          <w:p>
            <w:r>
              <w:t>Which lots have chain-of-custody gaps?</w:t>
            </w:r>
          </w:p>
        </w:tc>
      </w:tr>
      <w:tr>
        <w:tc>
          <w:tcPr>
            <w:tcW w:type="dxa" w:w="2880"/>
          </w:tcPr>
          <w:p>
            <w:r>
              <w:t>Noah Whitaker</w:t>
            </w:r>
          </w:p>
        </w:tc>
        <w:tc>
          <w:tcPr>
            <w:tcW w:type="dxa" w:w="2880"/>
          </w:tcPr>
          <w:p>
            <w:r>
              <w:t>Commercial Lead</w:t>
            </w:r>
          </w:p>
        </w:tc>
        <w:tc>
          <w:tcPr>
            <w:tcW w:type="dxa" w:w="2880"/>
          </w:tcPr>
          <w:p>
            <w:r>
              <w:t>What can we tell customers without overcommitting?</w:t>
            </w:r>
          </w:p>
        </w:tc>
      </w:tr>
      <w:tr>
        <w:tc>
          <w:tcPr>
            <w:tcW w:type="dxa" w:w="2880"/>
          </w:tcPr>
          <w:p>
            <w:r>
              <w:t>Lena Ortiz</w:t>
            </w:r>
          </w:p>
        </w:tc>
        <w:tc>
          <w:tcPr>
            <w:tcW w:type="dxa" w:w="2880"/>
          </w:tcPr>
          <w:p>
            <w:r>
              <w:t>Finance Controller</w:t>
            </w:r>
          </w:p>
        </w:tc>
        <w:tc>
          <w:tcPr>
            <w:tcW w:type="dxa" w:w="2880"/>
          </w:tcPr>
          <w:p>
            <w:r>
              <w:t>What is the financial exposure by corridor and customer tier?</w:t>
            </w:r>
          </w:p>
        </w:tc>
      </w:tr>
    </w:tbl>
    <w:p>
      <w:pPr>
        <w:pStyle w:val="Heading1"/>
      </w:pPr>
      <w:r>
        <w:t>Current operating signals</w:t>
      </w:r>
    </w:p>
    <w:p>
      <w:pPr>
        <w:pStyle w:val="ListBullet"/>
      </w:pPr>
      <w:r>
        <w:t>Gulf export capacity is tightening after berth delays, with two soybean meal shipments close to demurrage escalation.</w:t>
      </w:r>
    </w:p>
    <w:p>
      <w:pPr>
        <w:pStyle w:val="ListBullet"/>
      </w:pPr>
      <w:r>
        <w:t>Pacific Northwest rail cycle times remain variable, affecting corn and canola handoffs to export terminals.</w:t>
      </w:r>
    </w:p>
    <w:p>
      <w:pPr>
        <w:pStyle w:val="ListBullet"/>
      </w:pPr>
      <w:r>
        <w:t>Interior elevator inventory buffers can cover some nearby feed commitments, but reallocations may affect next-week fulfillment.</w:t>
      </w:r>
    </w:p>
    <w:p>
      <w:pPr>
        <w:pStyle w:val="ListBullet"/>
      </w:pPr>
      <w:r>
        <w:t>Several sustainability-traceability records require remediation before shipment release; the issue is documentation completeness, not product quality.</w:t>
      </w:r>
    </w:p>
    <w:p>
      <w:pPr>
        <w:pStyle w:val="ListBullet"/>
      </w:pPr>
      <w:r>
        <w:t>Customer messaging must avoid internal risk scores while still explaining timing, mitigation, and decisions needed.</w:t>
      </w:r>
    </w:p>
    <w:p>
      <w:pPr>
        <w:pStyle w:val="Heading1"/>
      </w:pPr>
      <w:r>
        <w:t>Success measures for the 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t>Decision readiness</w:t>
            </w:r>
          </w:p>
        </w:tc>
        <w:tc>
          <w:tcPr>
            <w:tcW w:type="dxa" w:w="4320"/>
          </w:tcPr>
          <w:p>
            <w:r>
              <w:t>Top intervention shipments identified with clear evidence and owner roles</w:t>
            </w:r>
          </w:p>
        </w:tc>
      </w:tr>
      <w:tr>
        <w:tc>
          <w:tcPr>
            <w:tcW w:type="dxa" w:w="4320"/>
          </w:tcPr>
          <w:p>
            <w:r>
              <w:t>Customer trust</w:t>
            </w:r>
          </w:p>
        </w:tc>
        <w:tc>
          <w:tcPr>
            <w:tcW w:type="dxa" w:w="4320"/>
          </w:tcPr>
          <w:p>
            <w:r>
              <w:t>Customer update is specific, calm, and free of internal-only details</w:t>
            </w:r>
          </w:p>
        </w:tc>
      </w:tr>
      <w:tr>
        <w:tc>
          <w:tcPr>
            <w:tcW w:type="dxa" w:w="4320"/>
          </w:tcPr>
          <w:p>
            <w:r>
              <w:t>Operational clarity</w:t>
            </w:r>
          </w:p>
        </w:tc>
        <w:tc>
          <w:tcPr>
            <w:tcW w:type="dxa" w:w="4320"/>
          </w:tcPr>
          <w:p>
            <w:r>
              <w:t>Executive brief quantifies exposure and separates logistics, inventory, and traceability concerns</w:t>
            </w:r>
          </w:p>
        </w:tc>
      </w:tr>
      <w:tr>
        <w:tc>
          <w:tcPr>
            <w:tcW w:type="dxa" w:w="4320"/>
          </w:tcPr>
          <w:p>
            <w:r>
              <w:t>Follow-through</w:t>
            </w:r>
          </w:p>
        </w:tc>
        <w:tc>
          <w:tcPr>
            <w:tcW w:type="dxa" w:w="4320"/>
          </w:tcPr>
          <w:p>
            <w:r>
              <w:t>Action tracker captures owners, dependencies, due dates, and success measures</w:t>
            </w:r>
          </w:p>
        </w:tc>
      </w:tr>
    </w:tbl>
    <w:p>
      <w:pPr>
        <w:pStyle w:val="Heading1"/>
      </w:pPr>
      <w:r>
        <w:t>Presenter notes</w:t>
      </w:r>
    </w:p>
    <w:p>
      <w:r>
        <w:t>Use this brief as grounding material, not as a script. The point of the demo is to show how Copilot can reason across a narrative brief, structured data, exception records, and communication templates.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family w:val="swiss"/>
    <w:pitch w:val="variabl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ns1="http://schemas.openxmlformats.org/officeDocument/2006/math" xmlns:ns2="urn:schemas-microsoft-com:office:office" xmlns:ns3="urn:schemas-microsoft-com:vml" xmlns:ns4="http://schemas.microsoft.com/office/word/2010/wordml" xmlns:w="http://schemas.openxmlformats.org/wordprocessingml/2006/main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ns1:mathPr>
    <ns1:mathFont ns1:val="Cambria Math"/>
    <ns1:brkBin ns1:val="before"/>
    <ns1:brkBinSub ns1:val="--"/>
    <ns1:smallFrac ns1:val="0"/>
    <ns1:dispDef/>
    <ns1:lMargin ns1:val="0"/>
    <ns1:rMargin ns1:val="0"/>
    <ns1:defJc ns1:val="centerGroup"/>
    <ns1:wrapIndent ns1:val="1440"/>
    <ns1:intLim ns1:val="subSup"/>
    <ns1:naryLim ns1:val="undOvr"/>
  </ns1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ns2:shapedefaults ns3:ext="edit" spidmax="1027"/>
    <ns2:shapelayout ns3:ext="edit">
      <ns2:idmap ns3:ext="edit" data="1"/>
    </ns2:shapelayout>
  </w:shapeDefaults>
  <w:decimalSymbol w:val="."/>
  <w:listSeparator w:val=","/>
  <ns4:docId ns4:val="24062061"/>
  <ns4:defaultImageDpi ns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