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767676"/>
          <w:sz w:val="22"/>
          <w:szCs w:val="22"/>
        </w:rPr>
        <w:t xml:space="preserve">T E S T I N G   G U I D 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RAG Chatbot for Operational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Log Analytics</w:t>
      </w:r>
    </w:p>
    <w:p>
      <w:pPr>
        <w:pBdr>
          <w:bottom w:val="single" w:color="2E75B6" w:sz="14" w:space="1"/>
        </w:pBdr>
        <w:spacing w:after="220" w:before="0"/>
      </w:pPr>
    </w:p>
    <w:p>
      <w:pPr>
        <w:spacing w:after="7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practical evaluation framework for AI-powered log investigation</w:t>
      </w:r>
    </w:p>
    <w:tbl>
      <w:tblPr>
        <w:tblW w:type="dxa" w:w="5600"/>
        <w:jc w:val="center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36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Customer Evaluation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Confidential</w:t>
            </w:r>
          </w:p>
        </w:tc>
      </w:tr>
    </w:tbl>
    <w:p>
      <w:pPr>
        <w:sectPr>
          <w:type w:val="nextPage"/>
          <w:pgSz w:w="12240" w:h="15840" w:orient="portrait"/>
          <w:pgMar w:top="1080" w:right="2160" w:bottom="1080" w:left="21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testing guide evaluates 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Retrieval-Augmented Generation (RAG) chatbot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designed for real-time operational troubleshooting and incident analysis. The system ingests logs and metrics from multiple sources and answers natural-language questions about system health, incident timelines, and root causes.</w:t>
      </w:r>
    </w:p>
    <w:p>
      <w:pPr>
        <w:spacing w:after="120" w:before="0"/>
      </w:pPr>
    </w:p>
    <w:p>
      <w:pPr>
        <w:pStyle w:val="Heading2"/>
      </w:pPr>
      <w:r>
        <w:t xml:space="preserve">What the Application Does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RAG chatbot enables operators, SREs, and engineers to query their log data conversationally. Key capabilities include: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Ask questions in plain English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about operational incidents (e.g., "Why did payment-service latency spike?")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Get factual, evidence-based answers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by retrieving relevant log entries and metrics rather than hallucinating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Reconstruct incident timelines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with exact timestamps and event sequences pulled from raw logs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Correlate across systems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linking application behavior to infrastructure metrics and security events simultaneously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Assess blast radius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tracing how one service failure cascaded to other services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Detect patterns and anomalies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spotting repeated issues, environment-specific anomalies, or coordinated attacks</w:t>
      </w:r>
    </w:p>
    <w:p>
      <w:pPr>
        <w:spacing w:after="120" w:before="0"/>
      </w:pPr>
    </w:p>
    <w:p>
      <w:pPr>
        <w:pStyle w:val="Heading2"/>
      </w:pPr>
      <w:r>
        <w:t xml:space="preserve">System Architecture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pipeline follows five stages from raw log ingestion through to a grounded natural-language response:</w:t>
      </w:r>
    </w:p>
    <w:p>
      <w:pPr>
        <w:spacing w:after="100" w:before="0"/>
      </w:pP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6280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Ingest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Log files from app, security, Kubernetes, and infrastructure sources are loaded and split into chunks.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Embed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Each chunk is converted into a vector embedding and stored in a searchable vector index.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Retrieve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When a question is asked, semantically similar chunks are retrieved from the index based on meaning, not just keywords.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Generate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retrieved context and the user's question are passed to Claude (LLM) for reasoning and synthesis.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Respond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Claude returns a grounded natural-language answer, traceable to specific log entries and timestamps.</w:t>
            </w:r>
          </w:p>
        </w:tc>
      </w:tr>
    </w:tbl>
    <w:p>
      <w:pPr>
        <w:spacing w:after="140" w:before="0"/>
      </w:pP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key advantage of the RAG approach is that the LLM is grounded in retrieved evidence — it cannot fabricate log entries or timestamps. Answers are directly traceable to source documents. This makes the system well-suited to: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Incident response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fast root-cause identification without manual log searching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Security investigations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correlating auth events across environments and time windows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Cross-team readouts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summarizing incidents in plain language for non-technical stakeholders</w:t>
      </w:r>
    </w:p>
    <w:p>
      <w:pPr>
        <w:pStyle w:val="Heading1"/>
        <w:pageBreakBefore/>
      </w:pPr>
      <w:r>
        <w:t xml:space="preserve">Testing Guide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following 25 questions are designed to thoroughly test RAG system capabilities across five distinct skill areas. To run the guide: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Ingest all five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log files from 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sample_logs/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directory into the RAG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Ask each question as-is — do not rephrase or add extra context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Compare the system's response against the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Expected answer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grading note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strong answer should include the key facts listed, cite approximate timestamps, and name the specific services or hosts involved</w:t>
      </w:r>
    </w:p>
    <w:p>
      <w:pPr>
        <w:spacing w:after="140" w:before="0"/>
      </w:pPr>
    </w:p>
    <w:p>
      <w:pPr>
        <w:pStyle w:val="Heading2"/>
      </w:pPr>
      <w:r>
        <w:t xml:space="preserve">Log Sources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following files must be ingested before running the test questions:</w:t>
      </w:r>
    </w:p>
    <w:p>
      <w:pPr>
        <w:spacing w:after="100" w:before="0"/>
      </w:pP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app/payment-service.txt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Application (JSON)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Service logs with latency, status codes, DB pool metrics, and trace IDs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app/order-service.txt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Application (JSON)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Downstream service logs; circuit breaker open/probe/close events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security/auth-service.txt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 / Security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Login events, account lockouts, IP blocks, and brute-force detections across dev/stg/prod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kubernetes/cluster-prod-us-east.txt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Kubernetes Events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Pod evictions, OOMKills, node pressure, drain/uncordon, and HPA events with SRE 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infrastructure/system-metrics.txt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Infrastructure Metrics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Host-level CPU, memory, disk I/O, DB connections, and RPS — timestamped per host</w:t>
            </w:r>
          </w:p>
        </w:tc>
      </w:tr>
    </w:tbl>
    <w:p>
      <w:pPr>
        <w:pStyle w:val="Heading1"/>
        <w:pageBreakBefore/>
      </w:pPr>
      <w:r>
        <w:t xml:space="preserve">Category 1: Latency Spike Investigation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These questions test the system's ability to identify the root cause of a latency event, reconstruct a precise timeline, and trace the downstream impact to dependent services.</w:t>
      </w:r>
    </w:p>
    <w:p>
      <w:pPr>
        <w:spacing w:after="60" w:before="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Why did latency spike on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payment-service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in the last 15 minutes (around 14:28 UTC on May 22)?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DB connection pool exhaustion (pool hit max=20 at ~14:20), 3.9x traffic spike from campaign SUMMER2026 (RPS 87 to 342 at 14:27), cascading 503 errors, pool auto-resized to 50 at 14:29, recovery by ~14:42.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What was the full timeline of 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payment-service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degradation event on May 22? Provide key timestamps.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14:17 first pool WARN (active=18/20); 14:20 health check DEGRADED; 14:21-14:28 slow requests escalating 312ms to 5001ms; 14:25 pool exhausted, 503s begin; 14:29 pool resized to 50; 14:35 health OK; 14:50 latency normalized.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Q3.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Which other services were affected by 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payment-service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outage on May 22, and how did they respond?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order-service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received 502s from upstream 503s; opened circuit breaker at 14:25 and returned fast 503s while open; ran a half-open probe at 14:32 (latency 1841ms); closed the breaker and resumed normal traffic at 14:36.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Q4.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What was the DB connection pool configuration before and after the May 22 incident?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Before: max=20. After: auto-resized to max=50 at 14:29 via auto-scale-policy. DB P99 query latency peaked at 1840ms at 14:25 before recovering to ~21ms by 15:00.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Q5.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Were there any early warning signals before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payment-service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became fully unavailable?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Yes: WARN at 14:17 (pool utilization high, active=18/20); health check DEGRADED at 14:20; slow request warnings from 14:21 onward with latency escalating 312 to 478 to 601ms before hitting 5001ms timeouts.</w:t>
            </w:r>
          </w:p>
        </w:tc>
      </w:tr>
    </w:tbl>
    <w:p>
      <w:pPr>
        <w:pStyle w:val="Heading1"/>
        <w:pageBreakBefore/>
      </w:pPr>
      <w:r>
        <w:t xml:space="preserve">Category 2: Auth Failure Anomalies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These questions test the system's ability to identify security anomalies, compare event rates across environments, trace a multi-stage attack, and confirm whether remediation was applied.</w:t>
      </w:r>
    </w:p>
    <w:p>
      <w:pPr>
        <w:spacing w:after="60" w:before="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Q6.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Show anomalies in auth failures per environment over the last 24 hours (May 21-22).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prod had 38+ LOGIN_FAILs on May 21 (vs near-zero in dev/stg), 2 ACCOUNT_LOCKEDs, 1 IP block, 1 CREDENTIAL_STUFFING_DETECTED. Anomaly window: 00:03-00:49 UTC. stg: 2 failures + 1 inherited IP block. dev: 0 failures.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Q7.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What happened to 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prod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auth service between 00:03 and 01:00 UTC on May 21?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Wave 1: brute-force from 203.0.113.0/24 — 24 failed attempts targeting 8 accounts in 33 seconds; 2 accounts locked (admin@, alice@); IP block applied at 00:03:48. Wave 2 at 00:48: credential-stuffing from 198.51.100.14 — 5 failures + 1 successful compromised login (ivan@).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Q8.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Which user account was compromised during the May 21 security incident, and what remediation steps were taken?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ivan@acme.com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authenticated successfully from a known credential-stuffing IP (198.51.100.14). Remediation: session immediately revoked, user notified, and a forced password reset was triggered.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Q9.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Were the auth attacks on May 21 coordinated? What evidence supports this?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Evidence of coordination: two attack waves within 45 minutes from different source CIDRs (203.0.113.0/24 at 00:03, 198.51.100.14 at 00:48), both exclusively targeting prod, both using password auth method, suggesting a multi-vector campaign or shared tooling.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Q10.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How did auth failure rates differ between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dev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staging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prod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on May 21?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prod: 38+ failures, 2 lockouts, 2 IP blocks, 1 credential stuffing event. stg: 2 failures, 1 IP block (inherited from prod shared-block policy). dev: 0 failures. Clear environment-specific targeting of prod.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Q11.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Were there any auth anomalies on May 22?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No. Only a single benign failed attempt at 09:14 (henry@, wrong password, corrected on attempt 2). All other activity was normal SSO and password logins.</w:t>
            </w:r>
          </w:p>
        </w:tc>
      </w:tr>
    </w:tbl>
    <w:p>
      <w:pPr>
        <w:pStyle w:val="Heading1"/>
        <w:pageBreakBefore/>
      </w:pPr>
      <w:r>
        <w:t xml:space="preserve">Category 3: Cluster &amp; Infrastructure Incidents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These questions test the system's ability to summarize a multi-hour Kubernetes incident, identify root cause from event logs, sequence pod failures in order, and extract follow-up action items.</w:t>
      </w:r>
    </w:p>
    <w:p>
      <w:pPr>
        <w:spacing w:after="60" w:before="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Q12.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Summarize key incidents from last week related to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cluster-prod-us-east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INC-20260515-001: Memory pressure cascade starting 18:32 May 15. Pods evicted/OOMKilled on node-02 (embedding-svc, reranker-svc, vector-db-0). Node drained at 19:05. ~47 min degraded retrieval. Second wave on node-03 at 00:05 May 16 resolved by HPA scale-out. Full resolution 00:15 May 16.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Q13.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What was the root cause of the May 15 Kubernetes incident on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cluster-prod-us-east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reranker-svc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memory limit (4Gi) was too low for a new 1B-parameter model variant deployed at ~18:00. The OOMKill cascaded to evict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vector-db-0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and other co-located pods from node-02. Fix: raised reranker-svc memory limit to 8Gi.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Q14.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Which pods were OOMKilled or evicted during the May 15-16 incident, and in what order?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1. embedding-svc-7b9d4e-kqr2s — evicted 18:32 (node memory pressure). 2. reranker-svc-3c7a1d-bvt4k — OOMKilled 19:01 (3 restarts, CrashLoopBackOff). 3. vector-db-0 — evicted 19:02. 4. rag-server + ingestor — evicted 19:05 (node drain). Second wave: model-worker OOMKilled 00:05 May 16.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Q15.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How long was the RAG retrieval pipeline degraded during the May 15 incident?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Approximately 47 minutes of degraded retrieval (18:32 when embedding-svc was evicted to ~19:10-19:20 when reranker-svc recovered on node-01). Additionally ~3 minutes of complete query outage during the node drain at 19:05.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Q16.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What follow-up actions were identified after the May 15 cluster incident?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Two tracked items: (1) Add memory limits review to deployment checklist — ticket ENG-8812. (2) Add PodDisruptionBudget to critical pods to prevent cascade evictions. Improved memory headroom alerting was also noted.</w:t>
            </w:r>
          </w:p>
        </w:tc>
      </w:tr>
    </w:tbl>
    <w:p>
      <w:pPr>
        <w:pStyle w:val="Heading1"/>
        <w:pageBreakBefore/>
      </w:pPr>
      <w:r>
        <w:t xml:space="preserve">Category 4: Cross-Source Correlation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These questions require the system to join evidence from two or more log sources to produce a complete answer — the most demanding retrieval scenario.</w:t>
      </w:r>
    </w:p>
    <w:p>
      <w:pPr>
        <w:spacing w:after="60" w:before="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Q17.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Correlate the DB connection metrics with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payment-service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log entries for the May 22 incident. What do the infrastructure metrics reveal that the app logs alone do not?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Infra metrics add the DB-side perspective: P99 query latency rose to 320ms at 14:20 and 1840ms at 14:25, confirming the DB was overloaded before the app declared 503s. They also show the RPS spike (87 to 342) that triggered exhaustion — data only visible in system-metrics.txt, not in the app logs.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Q18.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On May 21, how did the auth attack manifest in the infrastructure metrics versus the auth service logs?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Infra metrics show auth-lb-prod-01 RPS spike from ~210 to 4120 rps during the brute-force (00:03-00:04), directly corroborating the 24 login attempts in 33 seconds in the auth logs. CPU on auth-svc-prod-01 hit 91.2% during the peak.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Q19.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Which node in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cluster-prod-us-east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was the primary source of trouble on May 15, and what metrics support that conclusion?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node-02. Memory used_percent climbed from 62.4% at 18:00 to 98.9% at 19:01, with disk I/O at 98.2% (swap pressure). CPU spiked to 88.7% during OOM thrashing. After the drain, all metrics on node-02 normalized immediately to normal levels.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Q20.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Were there any incidents that affected multiple services simultaneously? Describe the blast radius of each.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Yes — two. (1) May 22 payment-service incident: blast radius included order-service (circuit breaker opened, client-facing 503s). (2) May 15 K8s incident: blast radius included rag-server, ingestor, embedding-svc, reranker-svc, and vector-db simultaneously, degrading the entire retrieval pipeline.</w:t>
            </w:r>
          </w:p>
        </w:tc>
      </w:tr>
    </w:tbl>
    <w:p>
      <w:pPr>
        <w:pStyle w:val="Heading1"/>
        <w:pageBreakBefore/>
      </w:pPr>
      <w:r>
        <w:t xml:space="preserve">Category 5: Trend &amp; Summary Questions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These questions test the system's ability to aggregate and synthesize across the full week of logs — useful for weekly incident reviews, executive summaries, and identifying systemic issues.</w:t>
      </w:r>
    </w:p>
    <w:p>
      <w:pPr>
        <w:spacing w:after="60" w:before="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Q21.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Summarize all production incidents that occurred between May 15-22.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Three incidents: (1) May 15-16: K8s memory cascade on cluster-prod-us-east, ~47 min retrieval degradation. (2) May 21 00:03-01:00: Brute-force + credential-stuffing attack on prod auth — 2 accounts locked, 1 compromised. (3) May 22 14:17-14:50: payment-service latency spike due to DB pool exhaustion and traffic surge.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Q22.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Which environment experienced the most security events in the past week?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prod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by a large margin: 38+ auth failures, 2 lockouts, 2 IP blocks, 1 credential stuffing detection.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stg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had 2 failures and 1 inherited block.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dev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had 0 security events.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Q23.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Have there been any recurring patterns in the incidents this week?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Two themes: (1) Capacity/sizing gaps — reranker-svc memory limit too low, DB connection pool too small for traffic bursts. Both reflect under-provisioned limits not reviewed before deployment. (2) External threat activity on May 21 — coordinated multi-wave auth attack. The two themes do not overlap.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Q24.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What was the longest single period of service degradation this week?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May 15-16 K8s incident: started 18:32 May 15, full resolution ~00:15 May 16 — approximately 5 hours 43 minutes total. The most severe phase (evictions + drain) lasted ~47 minutes.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Q25. 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Are there any open action items from this week's incidents?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5B6" w:sz="20"/>
              <w:bottom w:val="nil"/>
              <w:right w:val="nil"/>
            </w:tcBorders>
            <w:shd w:fill="D9E8F5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answer: 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ENG-8812: Add memory limits review to deployment checklist (from May 15 K8s incident). Also open: add PodDisruptionBudget for critical pods, improve memory headroom alerting, and review DB connection pool auto-scaling policy for marketing campaign traffic patterns.</w:t>
            </w:r>
          </w:p>
        </w:tc>
      </w:tr>
    </w:tbl>
    <w:p>
      <w:pPr>
        <w:pStyle w:val="Heading1"/>
        <w:pageBreakBefore/>
      </w:pPr>
      <w:r>
        <w:t xml:space="preserve">Appendix: Typical Source Systems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sample log files in this guide were crafted to match the format and content of real-world systems. Below is a reference mapping each log type to the tools that typically produce or collect it.</w:t>
      </w:r>
    </w:p>
    <w:p>
      <w:pPr>
        <w:spacing w:after="120" w:before="0"/>
      </w:pP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source products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 logs
(structured JSON)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Log shippers: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Fluentd, Fluent Bit, Logstash, Vector.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APM/tracing: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Datadog APM, New Relic, Dynatrace, OpenTelemetry Collector.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Platforms: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AWS CloudWatch Logs, Google Cloud Logging, Azure Monitor.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Storage/query: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Elasticsearch + Kibana (ELK), OpenSearch, Grafana Loki.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 / Security logs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Identity providers: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Okta, Microsoft Entra ID (Azure AD), Auth0, Ping Identity, Keycloak.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SIEM platforms: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Splunk Enterprise Security, Microsoft Sentinel, Elastic SIEM, Sumo Logic, Panther.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WAF/network: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Cloudflare, AWS WAF, Palo Alto Cortex (adds IP-block events).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Kubernetes event logs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Source: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kubectl get events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/ Kubernetes API server.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Exporters: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kube-state-metrics, kubernetes-event-exporter.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Monitoring stacks: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Prometheus + Grafana, Datadog Kubernetes, New Relic Kubernetes, Dynatrace.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Managed K8s: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AWS EKS to CloudWatch; GKE to Cloud Logging; AKS to Azure Monitor.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Infrastructure metrics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Collection agents: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Prometheus node_exporter, collectd, Telegraf (InfluxData), Datadog Agent.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Time-series DBs: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Prometheus, InfluxDB, VictoriaMetrics, AWS CloudWatch Metrics.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DB-specific: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pgBouncer / </w:t>
            </w: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pg_stat_activity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for Postgres pool data. </w:t>
            </w: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Dashboarding: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 Grafana, Kibana, Datadog.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How They Flow Together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 a mature observability stack, all of these sources feed into 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centralized observability platform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most commonly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Datadog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Splunk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or the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Elastic Stack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where cross-source correlation queries can be run in a single interface. For cloud-native setups, the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OpenTelemetry Collector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is increasingly the vendor-neutral collection layer that fans data out to any backend storage system.</w:t>
      </w:r>
    </w:p>
    <w:p>
      <w:pPr>
        <w:spacing w:after="80" w:before="0"/>
      </w:pPr>
    </w:p>
    <w:p>
      <w:pPr>
        <w:spacing w:after="100" w:before="80"/>
        <w:jc w:val="left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RAG chatbot described in this guide sits on top of that collected data, adding a natural-language query layer that makes the logs accessible without requiring expertise in the underlying query language (PromQL, SPL, KQL, etc.).</w:t>
      </w:r>
    </w:p>
    <w:sectPr>
      <w:headerReference w:type="default" r:id="rId7"/>
      <w:footerReference w:type="default" r:id="rId8"/>
      <w:type w:val="nextPage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00"/>
      <w:jc w:val="center"/>
    </w:pPr>
    <w:r>
      <w:rPr>
        <w:rFonts w:ascii="Arial" w:cs="Arial" w:eastAsia="Arial" w:hAnsi="Arial"/>
        <w:color w:val="767676"/>
        <w:sz w:val="18"/>
        <w:szCs w:val="18"/>
      </w:rPr>
      <w:t xml:space="preserve">Page </w:t>
    </w:r>
    <w:r>
      <w:rPr>
        <w:rFonts w:ascii="Arial" w:cs="Arial" w:eastAsia="Arial" w:hAnsi="Arial"/>
        <w:color w:val="7676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67676"/>
        <w:sz w:val="18"/>
        <w:szCs w:val="18"/>
      </w:rPr>
      <w:t xml:space="preserve"> of </w:t>
    </w:r>
    <w:r>
      <w:rPr>
        <w:rFonts w:ascii="Arial" w:cs="Arial" w:eastAsia="Arial" w:hAnsi="Arial"/>
        <w:color w:val="76767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67676"/>
        <w:sz w:val="18"/>
        <w:szCs w:val="18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color w:val="767676"/>
        <w:sz w:val="18"/>
        <w:szCs w:val="18"/>
      </w:rPr>
      <w:t xml:space="preserve">RAG Chatbot for Operational Log Analytics —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–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2026-05-26T14:51:48.758Z</dcterms:created>
  <dcterms:modified xsi:type="dcterms:W3CDTF">2026-05-26T14:51:48.770Z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