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spacing w:after="80" w:lineRule="auto"/>
        <w:jc w:val="center"/>
        <w:rPr>
          <w:b w:val="1"/>
          <w:color w:val="1b1c1d"/>
        </w:rPr>
      </w:pPr>
      <w:r w:rsidDel="00000000" w:rsidR="00000000" w:rsidRPr="00000000">
        <w:rPr>
          <w:b w:val="1"/>
          <w:rtl w:val="1"/>
        </w:rPr>
        <w:t xml:space="preserve">מנגנון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attention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צץ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מאין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סקירה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המאמר</w:t>
      </w:r>
      <w:r w:rsidDel="00000000" w:rsidR="00000000" w:rsidRPr="00000000">
        <w:rPr>
          <w:b w:val="1"/>
          <w:rtl w:val="1"/>
        </w:rPr>
        <w:t xml:space="preserve"> '</w:t>
      </w:r>
      <w:r w:rsidDel="00000000" w:rsidR="00000000" w:rsidRPr="00000000">
        <w:rPr>
          <w:b w:val="1"/>
          <w:rtl w:val="1"/>
        </w:rPr>
        <w:t xml:space="preserve">מקורו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self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attention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סקירה</w:t>
      </w:r>
      <w:r w:rsidDel="00000000" w:rsidR="00000000" w:rsidRPr="00000000">
        <w:rPr>
          <w:b w:val="1"/>
          <w:rtl w:val="1"/>
        </w:rPr>
        <w:t xml:space="preserve"> 512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jc w:val="center"/>
        <w:rPr>
          <w:b w:val="1"/>
          <w:color w:val="1b1c1d"/>
        </w:rPr>
      </w:pPr>
      <w:r w:rsidDel="00000000" w:rsidR="00000000" w:rsidRPr="00000000">
        <w:rPr>
          <w:b w:val="1"/>
          <w:rtl w:val="1"/>
        </w:rPr>
        <w:t xml:space="preserve">המאמר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היומי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מייק</w:t>
      </w:r>
      <w:r w:rsidDel="00000000" w:rsidR="00000000" w:rsidRPr="00000000">
        <w:rPr>
          <w:b w:val="1"/>
          <w:rtl w:val="1"/>
        </w:rPr>
        <w:t xml:space="preserve">: 19.09.25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1b1c1d"/>
        </w:rPr>
      </w:pPr>
      <w:r w:rsidDel="00000000" w:rsidR="00000000" w:rsidRPr="00000000">
        <w:rPr>
          <w:b w:val="1"/>
          <w:rtl w:val="0"/>
        </w:rPr>
        <w:t xml:space="preserve">THE ORIGIN OF SELF-ATTENTION: PAIRWISE AFFINITY MATRICES IN FEATURE SELECTION AND THE EMERGENCE OF SELF-ATTENTION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after="240" w:before="240" w:lineRule="auto"/>
        <w:jc w:val="both"/>
        <w:rPr>
          <w:sz w:val="26"/>
          <w:szCs w:val="26"/>
        </w:rPr>
      </w:pPr>
      <w:r w:rsidDel="00000000" w:rsidR="00000000" w:rsidRPr="00000000">
        <w:rPr>
          <w:rtl w:val="1"/>
        </w:rPr>
        <w:t xml:space="preserve">המאמר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״</w:t>
      </w:r>
      <w:r w:rsidDel="00000000" w:rsidR="00000000" w:rsidRPr="00000000">
        <w:rPr>
          <w:rtl w:val="1"/>
        </w:rPr>
        <w:t xml:space="preserve">ארכאולוגיה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אינטלקטואלית</w:t>
      </w:r>
      <w:r w:rsidDel="00000000" w:rsidR="00000000" w:rsidRPr="00000000">
        <w:rPr>
          <w:rtl w:val="1"/>
        </w:rPr>
        <w:t xml:space="preserve">״.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טוען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שמנגנון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Self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Attention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שבלב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ארכיטקטורת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הטרנספורמר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שהופיעה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בשנת</w:t>
      </w:r>
      <w:r w:rsidDel="00000000" w:rsidR="00000000" w:rsidRPr="00000000">
        <w:rPr>
          <w:rtl w:val="1"/>
        </w:rPr>
        <w:t xml:space="preserve"> 2017.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עיקרון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וכללי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מינוף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pairwise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affinity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matrices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ממסגר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attention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ונלמד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רחבה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קדמון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רעיוני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יצרים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feature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selection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משנת</w:t>
      </w:r>
      <w:r w:rsidDel="00000000" w:rsidR="00000000" w:rsidRPr="00000000">
        <w:rPr>
          <w:rtl w:val="1"/>
        </w:rPr>
        <w:t xml:space="preserve"> 2015, </w:t>
      </w:r>
      <w:r w:rsidDel="00000000" w:rsidR="00000000" w:rsidRPr="00000000">
        <w:rPr>
          <w:rtl w:val="1"/>
        </w:rPr>
        <w:t xml:space="preserve">הידועה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אינסופית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Infinite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Feature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Selection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Inf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FS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טיעון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המאמר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ההיגיון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Inf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דמיינו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יצרים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הדאטה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כחברים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בפרלמנט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מסורתיות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בנפרד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  <w:t xml:space="preserve">Inf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FS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לעומת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fully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connected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המשקל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אפיניטי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מכמת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היחסים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ביניהן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קורלציה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סטטיסטית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דמיון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סמנטי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צפופה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זוגיים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מטריצת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אפיניטי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אינסוף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Inf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מחושבת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חשיבותה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הישירים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ההשפעה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המופצת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המסלולים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זוהי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המקבילה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הרעיונית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מטריצה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האיבר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hop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האיבר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מסלולים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צעדים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האיבר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למסלולים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באורך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צעדים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הלאה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אינסוף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סיכום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גלובלי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וההשפעה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התוצר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דירוג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החיוניות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בשלב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self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attention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Self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Attention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לחלוטין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הצמתים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טוקנים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מטריצת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אפיניטי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זוגית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כציוני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attention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הנרמול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המכמתת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היחסים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טוקנים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כאן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המחברים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וההבחנות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המכריעים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1"/>
        </w:rPr>
        <w:t xml:space="preserve">אפיניטי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נלמד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ודינמי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בניגוד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למטריצת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אפיניטי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Inf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FS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שלעיתים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סטטיסטית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המטריצה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במנגנון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Self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Attention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נלמדת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דינמית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מטריצת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אפיניטי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מחושבת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בנפרד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שכבה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forward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pass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היחסים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קבועים</w:t>
      </w:r>
      <w:r w:rsidDel="00000000" w:rsidR="00000000" w:rsidRPr="00000000">
        <w:rPr>
          <w:rtl w:val="1"/>
        </w:rPr>
        <w:t xml:space="preserve">;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תלויי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הקשר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1"/>
        </w:rPr>
        <w:t xml:space="preserve">אגרגציה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בצעד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יחיד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Single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Hop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Aggregation</w:t>
      </w:r>
      <w:r w:rsidDel="00000000" w:rsidR="00000000" w:rsidRPr="00000000">
        <w:rPr>
          <w:rtl w:val="1"/>
        </w:rPr>
        <w:t xml:space="preserve">): </w:t>
      </w:r>
      <w:r w:rsidDel="00000000" w:rsidR="00000000" w:rsidRPr="00000000">
        <w:rPr>
          <w:rtl w:val="1"/>
        </w:rPr>
        <w:t xml:space="preserve">שכבת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עצמי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אגרגציה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בצעד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יחיד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האפיניטי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ונרמולו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Softmax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ייצוג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משוקלל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הטוקנים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מבחינה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מבנית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אנלוגי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להתחשבות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i w:val="1"/>
          <w:rtl w:val="1"/>
        </w:rPr>
        <w:t xml:space="preserve">איבר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החזקות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Inf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FS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ביחסים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הישירים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והמיידיים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bidi w:val="1"/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1"/>
        </w:rPr>
        <w:t xml:space="preserve">רב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צעדיות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Multi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Hop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סטאקינג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שכבות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טרנספורמר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לוכד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ועקיפים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סטאקינג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שכבות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הפלט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Self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Attention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הופך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השכבה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להתפשט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הדרגתי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טרנספורמר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צעדים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ללכוד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מסלולים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צעדים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הלאה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מושגת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התפשטות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צעדית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Inf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FS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עומק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ארכיטקטוני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אנליטי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סכימת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spacing w:after="240" w:before="240" w:lineRule="auto"/>
        <w:jc w:val="both"/>
        <w:rPr>
          <w:sz w:val="26"/>
          <w:szCs w:val="26"/>
        </w:rPr>
      </w:pPr>
      <w:r w:rsidDel="00000000" w:rsidR="00000000" w:rsidRPr="00000000">
        <w:rPr>
          <w:rtl w:val="1"/>
        </w:rPr>
        <w:t xml:space="preserve">מיסגור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העצמי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כתת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קבוצה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אלגנטית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ויישומית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פרדיגמת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Inf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Inf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המתמטי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זיקה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Self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Attention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אופטימיזציה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ייצוגים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representation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learning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וגזירות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המאמר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טענתו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דפוס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אפיניטי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ֹ</w:t>
      </w:r>
      <w:r w:rsidDel="00000000" w:rsidR="00000000" w:rsidRPr="00000000">
        <w:rPr>
          <w:rtl w:val="1"/>
        </w:rPr>
        <w:t xml:space="preserve">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מכונה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רשתות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נוירונים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מקומיות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Non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Local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Neural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Nets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ConvNets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הממוחשבת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במפורש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המיקומים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המרחביים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לתפוס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ארוכות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טווח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במנגנון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self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attention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השראה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בדומה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רשתות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attention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גרפיות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Graph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Attention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Networks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GATs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התקדמו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במטריצת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הסמיכויות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adjacency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matrix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הקבועה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attention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מטריצת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אפיניטי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נלמדת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וספציפית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לשקלל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הצמתים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1"/>
        </w:rPr>
        <w:t xml:space="preserve">בסופו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, "</w:t>
      </w:r>
      <w:r w:rsidDel="00000000" w:rsidR="00000000" w:rsidRPr="00000000">
        <w:rPr>
          <w:rtl w:val="1"/>
        </w:rPr>
        <w:t xml:space="preserve">מקורו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attention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מספק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טיעון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משכנע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לקיומה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רעיונית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גאונותו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הטרנספורמר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בהמצאת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אפיניטי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בשילובה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המופתי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בארכיטקטורה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דינמית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סקלבילית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ונלמדת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מקצה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לקצה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שושלת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יוחסין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מפחית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מהשפעת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הטרנספורמר</w:t>
      </w:r>
      <w:r w:rsidDel="00000000" w:rsidR="00000000" w:rsidRPr="00000000">
        <w:rPr>
          <w:rtl w:val="1"/>
        </w:rPr>
        <w:t xml:space="preserve">;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מעשיר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הבנתנו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ומעגן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מאחדת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החורגת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מרמז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שהעיקרון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אפיניטי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ממוצה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https://arxiv.org/abs/2507.14560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