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before="4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הקלות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הבלתי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נסבלת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המחיקה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כחול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לבן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מהממציא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matching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24.09.25</w:t>
      </w:r>
      <w:r w:rsidDel="00000000" w:rsidR="00000000" w:rsidRPr="00000000">
        <w:rPr>
          <w:b w:val="1"/>
          <w:color w:val="1b1c1d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Corrector Sampling in Language Models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אוטורגרסיביים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המנועים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עוצמתית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מיסודה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עריצותו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backspace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הקדמון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אוטורגרסיבית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דיוקים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בלכידת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Resample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במהותה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backspace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rzuivn9lbu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ההצצה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סיבתית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?",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?"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NTP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הסטנדרטי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PTP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התובנה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RPT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זעירה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חילוף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bidi w:val="1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iclcknmc7l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המתמטיקה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התיקון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שבבסיסו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האיטרטיבי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הסטציונרית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הצטברות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אופטימליים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סיבתית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permutations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שהוחלפו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מעתידו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הסטנדרטי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מהדאטהסט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סמוכים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השטיח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השטיח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תמורה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הישב</w:t>
      </w:r>
      <w:r w:rsidDel="00000000" w:rsidR="00000000" w:rsidRPr="00000000">
        <w:rPr>
          <w:rtl w:val="1"/>
        </w:rPr>
        <w:t xml:space="preserve">..."),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ישב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ההחלפות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האוטורגרסיביות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העוצמתיות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כירורגית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RPT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https://arxiv.org/abs/2506.06215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