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before="48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שומרי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attention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תיקון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פשוט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להפליא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לבעיה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יסודית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LLMs</w:t>
      </w:r>
      <w:r w:rsidDel="00000000" w:rsidR="00000000" w:rsidRPr="00000000">
        <w:rPr>
          <w:b w:val="1"/>
          <w:rtl w:val="1"/>
        </w:rPr>
        <w:t xml:space="preserve">:  </w:t>
      </w:r>
      <w:r w:rsidDel="00000000" w:rsidR="00000000" w:rsidRPr="00000000">
        <w:rPr>
          <w:b w:val="1"/>
          <w:rtl w:val="1"/>
        </w:rPr>
        <w:t xml:space="preserve">סקירה</w:t>
      </w:r>
      <w:r w:rsidDel="00000000" w:rsidR="00000000" w:rsidRPr="00000000">
        <w:rPr>
          <w:b w:val="1"/>
          <w:rtl w:val="1"/>
        </w:rPr>
        <w:t xml:space="preserve"> 516</w:t>
      </w:r>
    </w:p>
    <w:p w:rsidR="00000000" w:rsidDel="00000000" w:rsidP="00000000" w:rsidRDefault="00000000" w:rsidRPr="00000000" w14:paraId="00000002">
      <w:pPr>
        <w:spacing w:before="48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המאמר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מייק</w:t>
      </w:r>
      <w:r w:rsidDel="00000000" w:rsidR="00000000" w:rsidRPr="00000000">
        <w:rPr>
          <w:b w:val="1"/>
          <w:rtl w:val="0"/>
        </w:rPr>
        <w:t xml:space="preserve">: 26.09.25</w:t>
      </w:r>
      <w:r w:rsidDel="00000000" w:rsidR="00000000" w:rsidRPr="00000000">
        <w:rPr>
          <w:b w:val="1"/>
          <w:color w:val="1b1c1d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Gated Attention for Large Language Models- Non-linearity, Sparsity, and Attention-Sink-Free 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במלחמה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התרגלנו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ובארוקיות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גיחוך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ועמוק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gating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הדרגתי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אנדמיות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לארכיטקטורה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ונוצץ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התבוננות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gating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softmax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והתשובה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בטרנספורמר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הסטנדרטי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bidi w:val="1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n56rjxvwbmpv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צוואר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הבקבוק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החבוי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בכל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ראש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Attention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טרנספורמציות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</w:t>
      </w:r>
      <w:r w:rsidDel="00000000" w:rsidR="00000000" w:rsidRPr="00000000">
        <w:rPr>
          <w:rtl w:val="1"/>
        </w:rPr>
        <w:t xml:space="preserve">,(</w:t>
      </w:r>
      <w:r w:rsidDel="00000000" w:rsidR="00000000" w:rsidRPr="00000000">
        <w:rPr>
          <w:rtl w:val="1"/>
        </w:rPr>
        <w:t xml:space="preserve">המיוצג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הנסתרת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הטרנספורמציה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המצטברים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לינאריות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הכפלות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שקלול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להצטמצם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אקספרסיבית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מדרגה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rank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והמשוקלל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bidi w:val="1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qthwr5krv4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הפתרון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לינאריות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ודלילות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Sparsity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ההתערבות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להפליא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gating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לינאריות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נחוצה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הלינאריות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אקספרסיביות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attentiot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לינאריות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שנית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שאילתה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dependent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sparsity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האמבדינג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השאילתה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להנמיך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נאסף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bidi w:val="1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fy2inmmh2yi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התרופה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לתופעה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מסתורית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 "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בולען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הקשב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"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Attention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Sink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דלילות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כתרופה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LLMs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בולען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האטנשן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sink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פרופורציונלי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softmax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בזבזני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הארכיטקטורה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חופשיה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מבולען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קשב</w:t>
      </w:r>
      <w:r w:rsidDel="00000000" w:rsidR="00000000" w:rsidRPr="00000000">
        <w:rPr>
          <w:rtl w:val="1"/>
        </w:rPr>
        <w:t xml:space="preserve">" ("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sink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softmax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להמתין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sink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למיושן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לתיאוריה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וריסון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האקטיבציות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עצומות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0"/>
        </w:rPr>
        <w:t xml:space="preserve">massive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activations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סקיילינג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ביצועיסטיים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לאימון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ותיקון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שלפעמים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ואלגנטי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https://arxiv.org/abs/2505.06708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