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before="28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הפסל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מכונה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מדוע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האופטימייזר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שלכם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מכונית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מרוץ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סקירה</w:t>
      </w:r>
      <w:r w:rsidDel="00000000" w:rsidR="00000000" w:rsidRPr="00000000">
        <w:rPr>
          <w:b w:val="1"/>
          <w:rtl w:val="1"/>
        </w:rPr>
        <w:t xml:space="preserve"> 518</w:t>
      </w:r>
    </w:p>
    <w:p w:rsidR="00000000" w:rsidDel="00000000" w:rsidP="00000000" w:rsidRDefault="00000000" w:rsidRPr="00000000" w14:paraId="00000003">
      <w:pPr>
        <w:bidi w:val="1"/>
        <w:spacing w:before="48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מאמר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מייק</w:t>
      </w:r>
      <w:r w:rsidDel="00000000" w:rsidR="00000000" w:rsidRPr="00000000">
        <w:rPr>
          <w:b w:val="1"/>
          <w:rtl w:val="1"/>
        </w:rPr>
        <w:t xml:space="preserve">: 02.10.25</w:t>
        <w:br w:type="textWrapping"/>
      </w:r>
      <w:r w:rsidDel="00000000" w:rsidR="00000000" w:rsidRPr="00000000">
        <w:rPr>
          <w:b w:val="1"/>
          <w:rtl w:val="0"/>
        </w:rPr>
        <w:t xml:space="preserve">Optimizers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Qualitatively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Alter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Should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Leverage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This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קהילת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לאופטימייזרים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landscape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איטרציות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FLOPs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Adam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SGD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וחגגנו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WAdam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הסמויה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שנלקחה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הקמורה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convex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optimization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הנקי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והצפוי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כולנו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עמק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לחלקנו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האופטימייזר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ההגעה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ומשנת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התפיסה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להתכנסות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אינדוקטיבית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inductive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bias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האיכותי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bidi w:val="1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tzg71jigdac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אשליית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הקמירות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האובססיה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לחרדות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ספקנות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להיתקע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במינימה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רעה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אמפיריות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ותיאורטיות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-2010 </w:t>
      </w:r>
      <w:r w:rsidDel="00000000" w:rsidR="00000000" w:rsidRPr="00000000">
        <w:rPr>
          <w:rtl w:val="1"/>
        </w:rPr>
        <w:t xml:space="preserve">הרגיע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לכאורה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מתנהג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נרטיב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עיוור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קמירות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קיומם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סוגים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רבים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ושונים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פתרונות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אופטימייזר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חמדניים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SGD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משיכה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basin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attraction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אופטימייזר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עקמומיות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Shampoo</w:t>
      </w:r>
      <w:r w:rsidDel="00000000" w:rsidR="00000000" w:rsidRPr="00000000">
        <w:rPr>
          <w:rtl w:val="1"/>
        </w:rPr>
        <w:t xml:space="preserve"> ).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bidi w:val="1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rrj7s1gs315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האופטימייזר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כמקור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להטיה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באופטימייזר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i w:val="1"/>
          <w:rtl w:val="1"/>
        </w:rPr>
        <w:t xml:space="preserve">אופן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ביסודו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לייחוס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credit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ממיליארדי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יואשמו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בשגיאה</w:t>
      </w:r>
      <w:r w:rsidDel="00000000" w:rsidR="00000000" w:rsidRPr="00000000">
        <w:rPr>
          <w:rtl w:val="1"/>
        </w:rPr>
        <w:t xml:space="preserve">״. </w:t>
      </w:r>
      <w:r w:rsidDel="00000000" w:rsidR="00000000" w:rsidRPr="00000000">
        <w:rPr>
          <w:rtl w:val="1"/>
        </w:rPr>
        <w:t xml:space="preserve">אופטימייזר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וקצר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preconditioners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אלכסוניים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המנצלים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מבצעות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הייחוס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הגומלין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להבדל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אופטימייזר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בתתי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מרחבים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המשקולות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continual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רגולריזציה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מדינמיקת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רובסטיות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קונקרטיות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ומשכנעות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continual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אופטימייזר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Shampoo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קטסטרופלית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catastrophic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forgetting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Adam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וממוקדים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בקיבולת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אופטימייזר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ההפסד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האופטימייזר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דלילות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פשרה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שגישת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מכונית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המרוץ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bidi w:val="1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gq9ri4gjd9s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יכולת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ביטוי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מול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יכולת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השגה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Expressivity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Reachability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התווכחנו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התיאורטית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ושאלנו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turing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complete</w:t>
      </w:r>
      <w:r w:rsidDel="00000000" w:rsidR="00000000" w:rsidRPr="00000000">
        <w:rPr>
          <w:rtl w:val="1"/>
        </w:rPr>
        <w:t xml:space="preserve">?". </w:t>
      </w:r>
      <w:r w:rsidDel="00000000" w:rsidR="00000000" w:rsidRPr="00000000">
        <w:rPr>
          <w:rtl w:val="1"/>
        </w:rPr>
        <w:t xml:space="preserve">לטענת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מאילוצי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האופטימייזר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והדאטה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גרדיאנט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התיאורטי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האופטימייזר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יכולת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הביטוי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האפקטיבית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להשגה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להטמיע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להטמיע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באופטימייזרים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שהתעלמנו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ומתכננים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?", </w:t>
      </w:r>
      <w:r w:rsidDel="00000000" w:rsidR="00000000" w:rsidRPr="00000000">
        <w:rPr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?".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https://arxiv.org/abs/2507.12224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