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bidi w:val="1"/>
        <w:spacing w:before="2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להכניע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הדרקון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הריבועי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ליניארי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522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סקירת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10.10.25</w:t>
        <w:br w:type="textWrapping"/>
      </w:r>
      <w:r w:rsidDel="00000000" w:rsidR="00000000" w:rsidRPr="00000000">
        <w:rPr>
          <w:b w:val="1"/>
          <w:rtl w:val="0"/>
        </w:rPr>
        <w:t xml:space="preserve">COMPLLM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COMPRESSION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אכילס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תיאורטי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המרוקן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הארנק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ריפואים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פרופורציונלית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דחיסה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מונוליטי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CompLLM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מרענן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פרגמטי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ועוצמתי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ומסובכת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ואלגנטית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תדחסו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כמכלול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ועצמאיים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יעילות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20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זעירים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CompLLM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prefill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מקטינים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prefill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הדומיננטית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בריבוע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סקיילביליות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2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(100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הדחיסה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שיכוני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אמבדינגס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שיכוני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קונספט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סינתטיים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השלישית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דמיינו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הוליסטיות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זיקוק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דיסטילציה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מתוחכם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האקטיבציות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ורק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שכבתי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ומנורמל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שהדוחס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בעיקרו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CompLLM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עצמאיים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הסינתזה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https://arxiv.org/abs/2509.19228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