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A5631" w14:textId="77777777" w:rsidR="00454B73" w:rsidRDefault="00000000">
      <w:pPr>
        <w:spacing w:after="40"/>
        <w:jc w:val="center"/>
      </w:pPr>
      <w:r>
        <w:rPr>
          <w:b/>
          <w:bCs/>
          <w:sz w:val="30"/>
          <w:szCs w:val="30"/>
        </w:rPr>
        <w:t>Robert F. Arao, PhD, MPH</w:t>
      </w:r>
    </w:p>
    <w:p w14:paraId="01ED5832" w14:textId="77777777" w:rsidR="002931AC" w:rsidRDefault="00000000" w:rsidP="002931AC">
      <w:pPr>
        <w:spacing w:after="40"/>
        <w:jc w:val="center"/>
        <w:rPr>
          <w:i/>
          <w:iCs/>
        </w:rPr>
      </w:pPr>
      <w:r>
        <w:rPr>
          <w:i/>
          <w:iCs/>
        </w:rPr>
        <w:t xml:space="preserve">PhD, Information Science, University of North Texas. </w:t>
      </w:r>
    </w:p>
    <w:p w14:paraId="44C96FF1" w14:textId="3F346DDE" w:rsidR="00454B73" w:rsidRDefault="00000000" w:rsidP="002931AC">
      <w:pPr>
        <w:spacing w:after="40"/>
        <w:jc w:val="center"/>
      </w:pPr>
      <w:r>
        <w:rPr>
          <w:sz w:val="18"/>
          <w:szCs w:val="18"/>
        </w:rPr>
        <w:t xml:space="preserve">(360) 618-9572 • </w:t>
      </w:r>
      <w:r w:rsidR="00357F43">
        <w:rPr>
          <w:sz w:val="18"/>
          <w:szCs w:val="18"/>
        </w:rPr>
        <w:t>RobArao@my.unt.</w:t>
      </w:r>
      <w:r>
        <w:rPr>
          <w:sz w:val="18"/>
          <w:szCs w:val="18"/>
        </w:rPr>
        <w:t xml:space="preserve">edu • </w:t>
      </w:r>
      <w:hyperlink r:id="rId7" w:history="1">
        <w:r w:rsidR="00454B73">
          <w:rPr>
            <w:color w:val="1155CC"/>
            <w:sz w:val="22"/>
            <w:szCs w:val="22"/>
            <w:u w:val="single"/>
          </w:rPr>
          <w:t>Website</w:t>
        </w:r>
      </w:hyperlink>
      <w:r>
        <w:rPr>
          <w:sz w:val="18"/>
          <w:szCs w:val="18"/>
        </w:rPr>
        <w:t xml:space="preserve"> • </w:t>
      </w:r>
      <w:hyperlink r:id="rId8" w:history="1">
        <w:r w:rsidR="00454B73">
          <w:rPr>
            <w:color w:val="1155CC"/>
            <w:sz w:val="22"/>
            <w:szCs w:val="22"/>
            <w:u w:val="single"/>
          </w:rPr>
          <w:t>GitHub</w:t>
        </w:r>
      </w:hyperlink>
      <w:r>
        <w:rPr>
          <w:sz w:val="18"/>
          <w:szCs w:val="18"/>
        </w:rPr>
        <w:t xml:space="preserve"> • </w:t>
      </w:r>
      <w:hyperlink r:id="rId9" w:history="1">
        <w:r w:rsidR="00454B73">
          <w:rPr>
            <w:color w:val="1155CC"/>
            <w:sz w:val="22"/>
            <w:szCs w:val="22"/>
            <w:u w:val="single"/>
          </w:rPr>
          <w:t>Google Scholar</w:t>
        </w:r>
      </w:hyperlink>
      <w:r>
        <w:rPr>
          <w:sz w:val="18"/>
          <w:szCs w:val="18"/>
        </w:rPr>
        <w:t xml:space="preserve"> • </w:t>
      </w:r>
      <w:hyperlink r:id="rId10" w:history="1">
        <w:r w:rsidR="00454B73">
          <w:rPr>
            <w:color w:val="1155CC"/>
            <w:sz w:val="22"/>
            <w:szCs w:val="22"/>
            <w:u w:val="single"/>
          </w:rPr>
          <w:t>ResearchGate</w:t>
        </w:r>
      </w:hyperlink>
      <w:r>
        <w:rPr>
          <w:sz w:val="18"/>
          <w:szCs w:val="18"/>
        </w:rPr>
        <w:t xml:space="preserve"> • </w:t>
      </w:r>
      <w:hyperlink r:id="rId11" w:history="1">
        <w:r w:rsidR="00454B73">
          <w:rPr>
            <w:color w:val="1155CC"/>
            <w:sz w:val="22"/>
            <w:szCs w:val="22"/>
            <w:u w:val="single"/>
          </w:rPr>
          <w:t>Tableau</w:t>
        </w:r>
      </w:hyperlink>
      <w:r>
        <w:rPr>
          <w:sz w:val="18"/>
          <w:szCs w:val="18"/>
        </w:rPr>
        <w:t xml:space="preserve"> • </w:t>
      </w:r>
      <w:hyperlink r:id="rId12" w:history="1">
        <w:r w:rsidR="00454B73">
          <w:rPr>
            <w:color w:val="1155CC"/>
            <w:sz w:val="22"/>
            <w:szCs w:val="22"/>
            <w:u w:val="single"/>
          </w:rPr>
          <w:t>ORCID</w:t>
        </w:r>
      </w:hyperlink>
    </w:p>
    <w:p w14:paraId="7ED837BB" w14:textId="77777777" w:rsidR="00454B73" w:rsidRDefault="00000000">
      <w:pPr>
        <w:pBdr>
          <w:bottom w:val="single" w:sz="4" w:space="2" w:color="1A1A1A"/>
        </w:pBdr>
        <w:spacing w:before="300" w:after="100"/>
      </w:pPr>
      <w:r>
        <w:rPr>
          <w:b/>
          <w:bCs/>
          <w:sz w:val="24"/>
          <w:szCs w:val="24"/>
        </w:rPr>
        <w:t>EXECUTIVE SUMMARY</w:t>
      </w:r>
    </w:p>
    <w:p w14:paraId="47DEF034" w14:textId="77777777" w:rsidR="00454B73" w:rsidRDefault="00000000">
      <w:pPr>
        <w:spacing w:after="140" w:line="276" w:lineRule="auto"/>
        <w:jc w:val="both"/>
      </w:pPr>
      <w:r>
        <w:rPr>
          <w:sz w:val="22"/>
          <w:szCs w:val="22"/>
        </w:rPr>
        <w:t>Biostatistician and data scientist with fifteen-plus years of impact across pharmaceutical, public health, and academic research, and a PhD in Information Science from the University of North Texas. Has held statistical strategy responsibility across the full clinical trial lifecycle, from Phase I through Phase III. Roles include Associate Director at Daiichi Sankyo US, Biostatistician at Fred Hutch Cancer Research, and Senior Statistical Programmer at Amgen (via Simulstat). Earlier biostatistics and data science roles at the University of Washington and Kaiser Permanente Research Institute built a deep base in real-world data. Delivered safety signal detection, real-world evidence synthesis, and regulatory-facing analysis meeting CDISC (SDTM/ADaM) standards at every stage. Completed a PhD Fellowship in Biosimilar Development at the U.S. Food and Drug Administration, including equivalence work on an IL-5 pathway biosimilar in eosinophilic asthma. Works effectively with clinical, regulatory, and cross-functional teams to build statistical and data science solutions for drug development, public health surveillance, and mental health services research. Foundational bench-science training in molecular biology and biochemistry supports an interdisciplinary approach spanning biostatistics, machine learning, and regulatory science. A parallel research line studies how information and risk move through organizational and public-sector systems. It includes a manuscript under review at Decision Sciences on pricing structure and cost growth in Department of Defense contracts. A related white paper, submitted to the Naval Postgraduate School Acquisition Research Program, is also under review. This work extends the same analytical foundation to the systems-level, cross-functional decisions that senior leadership roles in data-intensive organizations demand.</w:t>
      </w:r>
    </w:p>
    <w:p w14:paraId="4EB1CAB0" w14:textId="77777777" w:rsidR="00454B73" w:rsidRDefault="00000000">
      <w:pPr>
        <w:pBdr>
          <w:bottom w:val="single" w:sz="4" w:space="2" w:color="1A1A1A"/>
        </w:pBdr>
        <w:spacing w:before="300" w:after="100"/>
      </w:pPr>
      <w:r>
        <w:rPr>
          <w:b/>
          <w:bCs/>
          <w:sz w:val="24"/>
          <w:szCs w:val="24"/>
        </w:rPr>
        <w:t>ACADEMIC SUMMARY</w:t>
      </w:r>
    </w:p>
    <w:p w14:paraId="15B9ACF0" w14:textId="51254C5A" w:rsidR="00454B73" w:rsidRDefault="00000000">
      <w:pPr>
        <w:spacing w:after="140" w:line="276" w:lineRule="auto"/>
        <w:jc w:val="both"/>
      </w:pPr>
      <w:r>
        <w:rPr>
          <w:sz w:val="22"/>
          <w:szCs w:val="22"/>
        </w:rPr>
        <w:t>Holds a PhD in Information Science (Data Science track) from the University of North Texas. It develops a Bayesian framework for dynamic signal-to-noise detection in high-dimensional, multi-source clinical data. The framework is applied directly to patient retention and workflow optimization across the clinical research lifecycle. Served as Instructor of Record for INFO 4670, Data Analysis and Knowledge Discovery, at UNT (Spring 2022; 29 students, fully online). Additional teaching includes a guest lecture series at Group Health and teaching-assistant work at Oregon Health &amp; Science University. Author or co-author of 16 peer-reviewed journal publications spanning biostatistics, epidemiology, health services research, and health informatics. These include a first-author paper in the Maternal and Child Health Journal. Two more manuscripts are under review, a third is in revision for a new journal, and a co-authored book proposal on explainable AI (XAI) is under review at Springer Publishing Company. This body of work has been cited over 1,500 times as of 2026 (Google Scholar), with an h-index of 12 and an i10-index of 14. Key Personnel and lead author on a white paper under review with the Naval Postgraduate School Acquisition Research Program. Completed a PhD Fellowship in Biosimilar Development at the U.S. Food and Drug Administration (2023 to 2024). Serves as a peer reviewer for three journals (Maternal &amp; Child Health Journal, Journal of Perinatology, Vaccine) and is a member of the American Statistical Association. Full detail follows in the Research Statement, Teaching Philosophy, and Service Statement at the end of this CV.</w:t>
      </w:r>
    </w:p>
    <w:p w14:paraId="0F2C355A" w14:textId="77777777" w:rsidR="00454B73" w:rsidRDefault="00000000">
      <w:pPr>
        <w:pBdr>
          <w:bottom w:val="single" w:sz="4" w:space="2" w:color="1A1A1A"/>
        </w:pBdr>
        <w:spacing w:before="300" w:after="100"/>
      </w:pPr>
      <w:r>
        <w:rPr>
          <w:b/>
          <w:bCs/>
          <w:sz w:val="24"/>
          <w:szCs w:val="24"/>
        </w:rPr>
        <w:t>EDUCATION</w:t>
      </w:r>
    </w:p>
    <w:p w14:paraId="2E078015" w14:textId="5F221BFB" w:rsidR="00454B73" w:rsidRDefault="00000000">
      <w:pPr>
        <w:spacing w:after="140" w:line="276" w:lineRule="auto"/>
        <w:jc w:val="both"/>
      </w:pPr>
      <w:r>
        <w:rPr>
          <w:b/>
          <w:bCs/>
          <w:sz w:val="22"/>
          <w:szCs w:val="22"/>
        </w:rPr>
        <w:t xml:space="preserve">Ph.D., Information Science (Data Science Track), Department of Information Science, College of Information, University of North </w:t>
      </w:r>
      <w:r w:rsidRPr="002931AC">
        <w:rPr>
          <w:b/>
          <w:bCs/>
          <w:sz w:val="22"/>
          <w:szCs w:val="22"/>
        </w:rPr>
        <w:t xml:space="preserve">Texas. </w:t>
      </w:r>
      <w:r w:rsidR="002931AC" w:rsidRPr="002931AC">
        <w:rPr>
          <w:b/>
          <w:bCs/>
          <w:sz w:val="22"/>
          <w:szCs w:val="22"/>
        </w:rPr>
        <w:t>2026 (dissertation defended September 18, 2026; degree conferral December 2026), GPA 3.</w:t>
      </w:r>
      <w:r w:rsidR="00357F43">
        <w:rPr>
          <w:b/>
          <w:bCs/>
          <w:sz w:val="22"/>
          <w:szCs w:val="22"/>
        </w:rPr>
        <w:t>93</w:t>
      </w:r>
      <w:r w:rsidR="002931AC" w:rsidRPr="002931AC">
        <w:rPr>
          <w:b/>
          <w:bCs/>
          <w:sz w:val="22"/>
          <w:szCs w:val="22"/>
        </w:rPr>
        <w:t>/4.0</w:t>
      </w:r>
    </w:p>
    <w:p w14:paraId="70C97CEB" w14:textId="77777777" w:rsidR="00454B73" w:rsidRDefault="00000000">
      <w:pPr>
        <w:spacing w:after="140" w:line="276" w:lineRule="auto"/>
        <w:jc w:val="both"/>
      </w:pPr>
      <w:r>
        <w:rPr>
          <w:sz w:val="22"/>
          <w:szCs w:val="22"/>
        </w:rPr>
        <w:t>PhD Fellowship in Biosimilar Development, U.S. Food &amp; Drug Administration. May 2023 – May 2024.</w:t>
      </w:r>
    </w:p>
    <w:p w14:paraId="7CCA34A9" w14:textId="3A98554F" w:rsidR="00454B73" w:rsidRDefault="00000000">
      <w:pPr>
        <w:spacing w:after="140" w:line="276" w:lineRule="auto"/>
        <w:jc w:val="both"/>
      </w:pPr>
      <w:r>
        <w:rPr>
          <w:b/>
          <w:bCs/>
          <w:sz w:val="22"/>
          <w:szCs w:val="22"/>
        </w:rPr>
        <w:lastRenderedPageBreak/>
        <w:t>MPH, Epidemiology &amp; Biostatistics, Oregon Health &amp; Science University. 2012, GPA 3.8</w:t>
      </w:r>
      <w:r w:rsidR="00357F43">
        <w:rPr>
          <w:b/>
          <w:bCs/>
          <w:sz w:val="22"/>
          <w:szCs w:val="22"/>
        </w:rPr>
        <w:t>4</w:t>
      </w:r>
      <w:r>
        <w:rPr>
          <w:b/>
          <w:bCs/>
          <w:sz w:val="22"/>
          <w:szCs w:val="22"/>
        </w:rPr>
        <w:t>/4.00.</w:t>
      </w:r>
    </w:p>
    <w:p w14:paraId="745329CF" w14:textId="77777777" w:rsidR="00454B73" w:rsidRDefault="00000000">
      <w:pPr>
        <w:spacing w:after="140" w:line="276" w:lineRule="auto"/>
        <w:jc w:val="both"/>
      </w:pPr>
      <w:r>
        <w:rPr>
          <w:b/>
          <w:bCs/>
          <w:sz w:val="22"/>
          <w:szCs w:val="22"/>
        </w:rPr>
        <w:t>B.Sc., Molecular Biology &amp; Biochemistry, Simon Fraser University. 2007.</w:t>
      </w:r>
    </w:p>
    <w:p w14:paraId="3577D220" w14:textId="77777777" w:rsidR="00454B73" w:rsidRDefault="00000000">
      <w:pPr>
        <w:pBdr>
          <w:bottom w:val="single" w:sz="4" w:space="2" w:color="1A1A1A"/>
        </w:pBdr>
        <w:spacing w:before="300" w:after="100"/>
      </w:pPr>
      <w:r>
        <w:rPr>
          <w:b/>
          <w:bCs/>
          <w:sz w:val="24"/>
          <w:szCs w:val="24"/>
        </w:rPr>
        <w:t>HONORS AND AWARDS</w:t>
      </w:r>
    </w:p>
    <w:p w14:paraId="50C4ED11" w14:textId="77777777" w:rsidR="00454B73" w:rsidRDefault="00000000">
      <w:pPr>
        <w:pStyle w:val="ListParagraph"/>
        <w:numPr>
          <w:ilvl w:val="0"/>
          <w:numId w:val="1"/>
        </w:numPr>
        <w:spacing w:after="60"/>
      </w:pPr>
      <w:r>
        <w:rPr>
          <w:sz w:val="22"/>
          <w:szCs w:val="22"/>
        </w:rPr>
        <w:t>PhD Fellowship in Biosimilar Development, U.S. Food &amp; Drug Administration (2023–2024)</w:t>
      </w:r>
    </w:p>
    <w:p w14:paraId="2DC77E0B" w14:textId="77777777" w:rsidR="00454B73" w:rsidRDefault="00000000">
      <w:pPr>
        <w:pStyle w:val="ListParagraph"/>
        <w:numPr>
          <w:ilvl w:val="0"/>
          <w:numId w:val="1"/>
        </w:numPr>
        <w:spacing w:after="60"/>
      </w:pPr>
      <w:r>
        <w:rPr>
          <w:sz w:val="22"/>
          <w:szCs w:val="22"/>
        </w:rPr>
        <w:t>Phase I Winner, World's Largest Arduino Maker Challenge, MORA (Mobile Robotic Arm) (February 2016)</w:t>
      </w:r>
    </w:p>
    <w:p w14:paraId="593B2FCE" w14:textId="77777777" w:rsidR="00454B73" w:rsidRDefault="00000000">
      <w:pPr>
        <w:pStyle w:val="ListParagraph"/>
        <w:numPr>
          <w:ilvl w:val="0"/>
          <w:numId w:val="1"/>
        </w:numPr>
        <w:spacing w:after="60"/>
      </w:pPr>
      <w:r>
        <w:rPr>
          <w:sz w:val="22"/>
          <w:szCs w:val="22"/>
        </w:rPr>
        <w:t>Runner-Up, Alexa Skill Building 101, "Alexa Magic Mirror" (Seattle, WA, June 2016)</w:t>
      </w:r>
    </w:p>
    <w:p w14:paraId="4EA5DA6F" w14:textId="77777777" w:rsidR="00454B73" w:rsidRDefault="00000000">
      <w:pPr>
        <w:pStyle w:val="ListParagraph"/>
        <w:numPr>
          <w:ilvl w:val="0"/>
          <w:numId w:val="1"/>
        </w:numPr>
        <w:spacing w:after="60"/>
      </w:pPr>
      <w:r>
        <w:rPr>
          <w:sz w:val="22"/>
          <w:szCs w:val="22"/>
        </w:rPr>
        <w:t>Python Institute: Certified Associate in Python Programming (2019)</w:t>
      </w:r>
    </w:p>
    <w:p w14:paraId="4BB9C40B" w14:textId="77777777" w:rsidR="00454B73" w:rsidRDefault="00000000">
      <w:pPr>
        <w:pBdr>
          <w:bottom w:val="single" w:sz="4" w:space="2" w:color="1A1A1A"/>
        </w:pBdr>
        <w:spacing w:before="300" w:after="100"/>
      </w:pPr>
      <w:r>
        <w:rPr>
          <w:b/>
          <w:bCs/>
          <w:sz w:val="24"/>
          <w:szCs w:val="24"/>
        </w:rPr>
        <w:t>PROFESSIONAL MEMBERSHIPS</w:t>
      </w:r>
    </w:p>
    <w:p w14:paraId="30A2AD2B" w14:textId="77777777" w:rsidR="00454B73" w:rsidRDefault="00000000">
      <w:pPr>
        <w:spacing w:after="140" w:line="276" w:lineRule="auto"/>
        <w:jc w:val="both"/>
      </w:pPr>
      <w:r>
        <w:rPr>
          <w:sz w:val="22"/>
          <w:szCs w:val="22"/>
        </w:rPr>
        <w:t>Member, American Statistical Association (2016 – present)</w:t>
      </w:r>
    </w:p>
    <w:p w14:paraId="6BDA15EC" w14:textId="77777777" w:rsidR="00454B73" w:rsidRDefault="00000000">
      <w:pPr>
        <w:pBdr>
          <w:bottom w:val="single" w:sz="4" w:space="2" w:color="1A1A1A"/>
        </w:pBdr>
        <w:spacing w:before="300" w:after="100"/>
      </w:pPr>
      <w:r>
        <w:rPr>
          <w:b/>
          <w:bCs/>
          <w:sz w:val="24"/>
          <w:szCs w:val="24"/>
        </w:rPr>
        <w:t>TEACHING INTERESTS / RESEARCH INTERESTS</w:t>
      </w:r>
    </w:p>
    <w:p w14:paraId="2887EDA1" w14:textId="77777777" w:rsidR="00454B73" w:rsidRDefault="00000000">
      <w:pPr>
        <w:tabs>
          <w:tab w:val="left" w:pos="5000"/>
        </w:tabs>
        <w:spacing w:after="60"/>
      </w:pPr>
      <w:r>
        <w:rPr>
          <w:b/>
          <w:bCs/>
          <w:sz w:val="22"/>
          <w:szCs w:val="22"/>
        </w:rPr>
        <w:t>Teaching Interests</w:t>
      </w:r>
      <w:r>
        <w:rPr>
          <w:b/>
          <w:bCs/>
          <w:sz w:val="22"/>
          <w:szCs w:val="22"/>
        </w:rPr>
        <w:tab/>
        <w:t>Research Interests</w:t>
      </w:r>
    </w:p>
    <w:p w14:paraId="01B40CBD" w14:textId="77777777" w:rsidR="00454B73" w:rsidRDefault="00000000">
      <w:pPr>
        <w:tabs>
          <w:tab w:val="left" w:pos="5000"/>
        </w:tabs>
        <w:spacing w:after="40"/>
      </w:pPr>
      <w:r>
        <w:rPr>
          <w:sz w:val="22"/>
          <w:szCs w:val="22"/>
        </w:rPr>
        <w:t>Data Analysis &amp; Knowledge Discovery</w:t>
      </w:r>
      <w:r>
        <w:rPr>
          <w:sz w:val="22"/>
          <w:szCs w:val="22"/>
        </w:rPr>
        <w:tab/>
        <w:t>Bayesian Signal Detection</w:t>
      </w:r>
    </w:p>
    <w:p w14:paraId="73595A91" w14:textId="77777777" w:rsidR="00454B73" w:rsidRDefault="00000000">
      <w:pPr>
        <w:tabs>
          <w:tab w:val="left" w:pos="5000"/>
        </w:tabs>
        <w:spacing w:after="40"/>
      </w:pPr>
      <w:r>
        <w:rPr>
          <w:sz w:val="22"/>
          <w:szCs w:val="22"/>
        </w:rPr>
        <w:t>Applied Biostatistics</w:t>
      </w:r>
      <w:r>
        <w:rPr>
          <w:sz w:val="22"/>
          <w:szCs w:val="22"/>
        </w:rPr>
        <w:tab/>
        <w:t>Multi-Source Data Integration</w:t>
      </w:r>
    </w:p>
    <w:p w14:paraId="45F45773" w14:textId="77777777" w:rsidR="00454B73" w:rsidRDefault="00000000">
      <w:pPr>
        <w:tabs>
          <w:tab w:val="left" w:pos="5000"/>
        </w:tabs>
        <w:spacing w:after="40"/>
      </w:pPr>
      <w:r>
        <w:rPr>
          <w:sz w:val="22"/>
          <w:szCs w:val="22"/>
        </w:rPr>
        <w:t>Machine Learning for Health Data</w:t>
      </w:r>
      <w:r>
        <w:rPr>
          <w:sz w:val="22"/>
          <w:szCs w:val="22"/>
        </w:rPr>
        <w:tab/>
        <w:t>Clinical Trial Methodology</w:t>
      </w:r>
    </w:p>
    <w:p w14:paraId="49CBC166" w14:textId="77777777" w:rsidR="00454B73" w:rsidRDefault="00000000">
      <w:pPr>
        <w:tabs>
          <w:tab w:val="left" w:pos="5000"/>
        </w:tabs>
        <w:spacing w:after="40"/>
      </w:pPr>
      <w:r>
        <w:rPr>
          <w:sz w:val="22"/>
          <w:szCs w:val="22"/>
        </w:rPr>
        <w:t>Clinical Trial Design</w:t>
      </w:r>
      <w:r>
        <w:rPr>
          <w:sz w:val="22"/>
          <w:szCs w:val="22"/>
        </w:rPr>
        <w:tab/>
        <w:t>Real-World Evidence</w:t>
      </w:r>
    </w:p>
    <w:p w14:paraId="28C7521A" w14:textId="77777777" w:rsidR="00454B73" w:rsidRDefault="00000000">
      <w:pPr>
        <w:tabs>
          <w:tab w:val="left" w:pos="5000"/>
        </w:tabs>
        <w:spacing w:after="40"/>
      </w:pPr>
      <w:r>
        <w:rPr>
          <w:sz w:val="22"/>
          <w:szCs w:val="22"/>
        </w:rPr>
        <w:t>Data Visualization</w:t>
      </w:r>
      <w:r>
        <w:rPr>
          <w:sz w:val="22"/>
          <w:szCs w:val="22"/>
        </w:rPr>
        <w:tab/>
        <w:t>Pharmacovigilance</w:t>
      </w:r>
    </w:p>
    <w:p w14:paraId="01A58671" w14:textId="77777777" w:rsidR="00454B73" w:rsidRDefault="00000000">
      <w:pPr>
        <w:tabs>
          <w:tab w:val="left" w:pos="5000"/>
        </w:tabs>
        <w:spacing w:after="40"/>
      </w:pPr>
      <w:r>
        <w:rPr>
          <w:sz w:val="22"/>
          <w:szCs w:val="22"/>
        </w:rPr>
        <w:t>Programming for Data Science</w:t>
      </w:r>
      <w:r>
        <w:rPr>
          <w:sz w:val="22"/>
          <w:szCs w:val="22"/>
        </w:rPr>
        <w:tab/>
        <w:t>Health Informatics</w:t>
      </w:r>
    </w:p>
    <w:p w14:paraId="46234C1B" w14:textId="77777777" w:rsidR="00454B73" w:rsidRDefault="00000000">
      <w:pPr>
        <w:tabs>
          <w:tab w:val="left" w:pos="5000"/>
        </w:tabs>
        <w:spacing w:after="40"/>
      </w:pPr>
      <w:r>
        <w:rPr>
          <w:sz w:val="22"/>
          <w:szCs w:val="22"/>
        </w:rPr>
        <w:t>Management Science / Decision Sciences</w:t>
      </w:r>
      <w:r>
        <w:rPr>
          <w:sz w:val="22"/>
          <w:szCs w:val="22"/>
        </w:rPr>
        <w:tab/>
        <w:t>Information Signaling &amp; Service Process Stability</w:t>
      </w:r>
    </w:p>
    <w:p w14:paraId="532B8458" w14:textId="77777777" w:rsidR="00454B73" w:rsidRDefault="00000000">
      <w:pPr>
        <w:tabs>
          <w:tab w:val="left" w:pos="5000"/>
        </w:tabs>
        <w:spacing w:after="40"/>
      </w:pPr>
      <w:r>
        <w:rPr>
          <w:sz w:val="22"/>
          <w:szCs w:val="22"/>
        </w:rPr>
        <w:t>Information Flow in Organizations</w:t>
      </w:r>
      <w:r>
        <w:rPr>
          <w:sz w:val="22"/>
          <w:szCs w:val="22"/>
        </w:rPr>
        <w:tab/>
        <w:t>Decision Sciences</w:t>
      </w:r>
    </w:p>
    <w:p w14:paraId="478115C9" w14:textId="77777777" w:rsidR="00454B73" w:rsidRDefault="00000000">
      <w:pPr>
        <w:tabs>
          <w:tab w:val="left" w:pos="5000"/>
        </w:tabs>
        <w:spacing w:after="40"/>
      </w:pPr>
      <w:r>
        <w:rPr>
          <w:sz w:val="22"/>
          <w:szCs w:val="22"/>
        </w:rPr>
        <w:t>Explainable &amp; Interpretable Machine Learning</w:t>
      </w:r>
      <w:r>
        <w:rPr>
          <w:sz w:val="22"/>
          <w:szCs w:val="22"/>
        </w:rPr>
        <w:tab/>
        <w:t>Explainable AI (XAI)</w:t>
      </w:r>
    </w:p>
    <w:p w14:paraId="3E2D967D" w14:textId="77777777" w:rsidR="00454B73" w:rsidRDefault="00000000">
      <w:pPr>
        <w:pBdr>
          <w:bottom w:val="single" w:sz="4" w:space="2" w:color="1A1A1A"/>
        </w:pBdr>
        <w:spacing w:before="300" w:after="100"/>
      </w:pPr>
      <w:r>
        <w:rPr>
          <w:b/>
          <w:bCs/>
          <w:sz w:val="24"/>
          <w:szCs w:val="24"/>
        </w:rPr>
        <w:t>PROFESSIONAL EXPERIENCE</w:t>
      </w:r>
    </w:p>
    <w:p w14:paraId="75F30469" w14:textId="77777777" w:rsidR="00454B73" w:rsidRDefault="00000000">
      <w:pPr>
        <w:spacing w:before="220" w:after="80"/>
      </w:pPr>
      <w:r>
        <w:rPr>
          <w:b/>
          <w:bCs/>
          <w:i/>
          <w:iCs/>
          <w:sz w:val="22"/>
          <w:szCs w:val="22"/>
        </w:rPr>
        <w:t>Associate Director, Daiichi Sankyo US (November 2025 – present)</w:t>
      </w:r>
    </w:p>
    <w:p w14:paraId="06FD2988" w14:textId="77777777" w:rsidR="00454B73" w:rsidRDefault="00000000">
      <w:pPr>
        <w:spacing w:after="140" w:line="276" w:lineRule="auto"/>
        <w:jc w:val="both"/>
      </w:pPr>
      <w:r>
        <w:rPr>
          <w:sz w:val="22"/>
          <w:szCs w:val="22"/>
        </w:rPr>
        <w:t xml:space="preserve">Leads statistical activities across the full lifecycle of complex clinical trials (Phase I, II, and III), covering protocol development, statistical analysis plan finalization, and clinical study report delivery. Serves as statistical partner to the Clinical Safety and Pharmacovigilance (CSPV) team on interstitial lung disease (ILD) analyses for the antibody-drug conjugates trastuzumab deruxtecan (T-DXd) and datopotamab deruxtecan (Dato-DXd). Co-developed the analysis plans and leads the statistical analysis for a two-phase ILD risk prediction program pooling breast and lung cancer trials. For Phase 2, proposed the validation strategy, including </w:t>
      </w:r>
      <w:proofErr w:type="gramStart"/>
      <w:r>
        <w:rPr>
          <w:sz w:val="22"/>
          <w:szCs w:val="22"/>
        </w:rPr>
        <w:t>a training</w:t>
      </w:r>
      <w:proofErr w:type="gramEnd"/>
      <w:r>
        <w:rPr>
          <w:sz w:val="22"/>
          <w:szCs w:val="22"/>
        </w:rPr>
        <w:t xml:space="preserve"> and test split, repeated 5-fold cross-validation, time-dependent AUC, and number-needed-to-treat by risk stratum. The work evaluates the serum biomarker IL1RL1 and refines a weighted composite risk score using mixed-effects Cox models, with external validation in two independent breast cancer trials. Co-authored three T-DXd safety posters for the 5th Annual Global Medical Safety (GMS) Meeting (2026). Spearheaded initiatives to harmonize data dictionaries and standardize operational definitions, improving the efficiency of global study reporting. Established quality benchmarks for programming and analysis files so that internal and CRO deliverables meet CDISC (SDTM/</w:t>
      </w:r>
      <w:proofErr w:type="spellStart"/>
      <w:r>
        <w:rPr>
          <w:sz w:val="22"/>
          <w:szCs w:val="22"/>
        </w:rPr>
        <w:t>ADaM</w:t>
      </w:r>
      <w:proofErr w:type="spellEnd"/>
      <w:r>
        <w:rPr>
          <w:sz w:val="22"/>
          <w:szCs w:val="22"/>
        </w:rPr>
        <w:t>) and regulatory standards.</w:t>
      </w:r>
    </w:p>
    <w:p w14:paraId="392F03C6" w14:textId="77777777" w:rsidR="00454B73" w:rsidRDefault="00000000">
      <w:pPr>
        <w:spacing w:before="220" w:after="80"/>
      </w:pPr>
      <w:r>
        <w:rPr>
          <w:b/>
          <w:bCs/>
          <w:i/>
          <w:iCs/>
          <w:sz w:val="22"/>
          <w:szCs w:val="22"/>
        </w:rPr>
        <w:t>Biostatistician, Fred Hutch Cancer Research, Seattle, WA (July 2022 – July 2024)</w:t>
      </w:r>
    </w:p>
    <w:p w14:paraId="5BB093B3" w14:textId="77777777" w:rsidR="00454B73" w:rsidRDefault="00000000">
      <w:pPr>
        <w:spacing w:after="140" w:line="276" w:lineRule="auto"/>
        <w:jc w:val="both"/>
      </w:pPr>
      <w:r>
        <w:rPr>
          <w:sz w:val="22"/>
          <w:szCs w:val="22"/>
        </w:rPr>
        <w:t xml:space="preserve">Served as lead statistician for multiple Phase 2 and 3 HIV/AIDS clinical trials, providing end-to-end statistical leadership from protocol design through final analysis, including study protocols, power calculations, and advanced </w:t>
      </w:r>
      <w:r>
        <w:rPr>
          <w:sz w:val="22"/>
          <w:szCs w:val="22"/>
        </w:rPr>
        <w:lastRenderedPageBreak/>
        <w:t>survival and mixed-effects analysis. Mentored junior team members on statistical methodology and regulatory best practices.</w:t>
      </w:r>
    </w:p>
    <w:p w14:paraId="201F32E4" w14:textId="77777777" w:rsidR="00454B73" w:rsidRDefault="00000000">
      <w:pPr>
        <w:spacing w:before="220" w:after="80"/>
      </w:pPr>
      <w:r>
        <w:rPr>
          <w:b/>
          <w:bCs/>
          <w:i/>
          <w:iCs/>
          <w:sz w:val="22"/>
          <w:szCs w:val="22"/>
        </w:rPr>
        <w:t xml:space="preserve">Senior Statistical Programmer, </w:t>
      </w:r>
      <w:proofErr w:type="spellStart"/>
      <w:r>
        <w:rPr>
          <w:b/>
          <w:bCs/>
          <w:i/>
          <w:iCs/>
          <w:sz w:val="22"/>
          <w:szCs w:val="22"/>
        </w:rPr>
        <w:t>Simulstat</w:t>
      </w:r>
      <w:proofErr w:type="spellEnd"/>
      <w:r>
        <w:rPr>
          <w:b/>
          <w:bCs/>
          <w:i/>
          <w:iCs/>
          <w:sz w:val="22"/>
          <w:szCs w:val="22"/>
        </w:rPr>
        <w:t xml:space="preserve"> / Amgen Pharmaceutical (September 2020 – September 2021)</w:t>
      </w:r>
    </w:p>
    <w:p w14:paraId="67F007C7" w14:textId="77777777" w:rsidR="00454B73" w:rsidRDefault="00000000">
      <w:pPr>
        <w:spacing w:after="140" w:line="276" w:lineRule="auto"/>
        <w:jc w:val="both"/>
      </w:pPr>
      <w:r>
        <w:rPr>
          <w:sz w:val="22"/>
          <w:szCs w:val="22"/>
        </w:rPr>
        <w:t xml:space="preserve">Programmed, validated, and managed analysis datasets for complex clinical projects, ensuring compliance with CDISC </w:t>
      </w:r>
      <w:proofErr w:type="spellStart"/>
      <w:r>
        <w:rPr>
          <w:sz w:val="22"/>
          <w:szCs w:val="22"/>
        </w:rPr>
        <w:t>ADaM</w:t>
      </w:r>
      <w:proofErr w:type="spellEnd"/>
      <w:r>
        <w:rPr>
          <w:sz w:val="22"/>
          <w:szCs w:val="22"/>
        </w:rPr>
        <w:t xml:space="preserve"> standards for regulatory submissions, and generated and reviewed Tables, Listings, and Figures (TLFs) for compound safety and efficacy analyses.</w:t>
      </w:r>
    </w:p>
    <w:p w14:paraId="7E674AE9" w14:textId="77777777" w:rsidR="00454B73" w:rsidRDefault="00000000">
      <w:pPr>
        <w:spacing w:before="220" w:after="80"/>
      </w:pPr>
      <w:r>
        <w:rPr>
          <w:b/>
          <w:bCs/>
          <w:i/>
          <w:iCs/>
          <w:sz w:val="22"/>
          <w:szCs w:val="22"/>
        </w:rPr>
        <w:t>Senior Data Manager / Data Scientist, University of Washington, Department of Psychiatry &amp; Behavioral Sciences, Seattle, WA (July 2017 – June 2020)</w:t>
      </w:r>
    </w:p>
    <w:p w14:paraId="5BB1C2E1" w14:textId="77777777" w:rsidR="00454B73" w:rsidRDefault="00000000">
      <w:pPr>
        <w:spacing w:after="140" w:line="276" w:lineRule="auto"/>
        <w:jc w:val="both"/>
      </w:pPr>
      <w:r>
        <w:rPr>
          <w:sz w:val="22"/>
          <w:szCs w:val="22"/>
        </w:rPr>
        <w:t xml:space="preserve">Led large-scale Real-World Data projects, using Python and SQL to manipulate claims and Epic EHR data for epidemiologic studies. Developed and deployed interactive R Shiny tools to streamline queries and visualize healthcare utilization and insurance claims metrics. Applied advanced statistical methods, including mixed-effects models, to longitudinal patient data. Redesigned national benchmarks for screening and diagnosing mental health </w:t>
      </w:r>
      <w:proofErr w:type="gramStart"/>
      <w:r>
        <w:rPr>
          <w:sz w:val="22"/>
          <w:szCs w:val="22"/>
        </w:rPr>
        <w:t>measures, and</w:t>
      </w:r>
      <w:proofErr w:type="gramEnd"/>
      <w:r>
        <w:rPr>
          <w:sz w:val="22"/>
          <w:szCs w:val="22"/>
        </w:rPr>
        <w:t xml:space="preserve"> partnered as statistical support on a Data and Safety Monitoring Board (DSMB).</w:t>
      </w:r>
    </w:p>
    <w:p w14:paraId="4D8E23DB" w14:textId="77777777" w:rsidR="00454B73" w:rsidRDefault="00000000">
      <w:pPr>
        <w:spacing w:before="220" w:after="80"/>
      </w:pPr>
      <w:r>
        <w:rPr>
          <w:b/>
          <w:bCs/>
          <w:i/>
          <w:iCs/>
          <w:sz w:val="22"/>
          <w:szCs w:val="22"/>
        </w:rPr>
        <w:t>Biostatistician, Kaiser Permanente Research Institute, Seattle, WA (April 2014 – November 2017)</w:t>
      </w:r>
    </w:p>
    <w:p w14:paraId="61025489" w14:textId="77777777" w:rsidR="00454B73" w:rsidRDefault="00000000">
      <w:pPr>
        <w:spacing w:after="140" w:line="276" w:lineRule="auto"/>
        <w:jc w:val="both"/>
      </w:pPr>
      <w:r>
        <w:rPr>
          <w:sz w:val="22"/>
          <w:szCs w:val="22"/>
        </w:rPr>
        <w:t>Provided expert statistical consultation and developed comprehensive analytical plans for clinical research using R and SAS. Developed and deployed interactive R Shiny applications for real-time visualization of clinical trial data, including bespoke tools for power calculations and feasibility analysis. Performed advanced analyses on large cancer registry and medical record datasets to support national health benchmarks. Served as site analyst for the San Francisco Mammography Registry. Authored peer-reviewed publications using real-world data and contributed statistical support for grant submissions.</w:t>
      </w:r>
    </w:p>
    <w:p w14:paraId="3171ECA7" w14:textId="77777777" w:rsidR="00454B73" w:rsidRDefault="00000000">
      <w:pPr>
        <w:spacing w:before="220" w:after="80"/>
      </w:pPr>
      <w:r>
        <w:rPr>
          <w:b/>
          <w:bCs/>
          <w:i/>
          <w:iCs/>
          <w:sz w:val="22"/>
          <w:szCs w:val="22"/>
        </w:rPr>
        <w:t>Epidemiologist / Research Analyst, Oregon Health Authority, Acute &amp; Communicable Disease, Portland, OR (July 2012 – March 2014)</w:t>
      </w:r>
    </w:p>
    <w:p w14:paraId="7A90972F" w14:textId="77777777" w:rsidR="00454B73" w:rsidRDefault="00000000">
      <w:pPr>
        <w:spacing w:after="140" w:line="276" w:lineRule="auto"/>
        <w:jc w:val="both"/>
      </w:pPr>
      <w:r>
        <w:rPr>
          <w:sz w:val="22"/>
          <w:szCs w:val="22"/>
        </w:rPr>
        <w:t>Developed new metrics and interactive dashboards (Tableau) to monitor hospital infections statewide, enhancing public health surveillance. Conducted time-series analysis, including ARIMA modeling, of trends in drug cost, drug usage, patient safety, and quality of care. Led investigations into foodborne outbreaks.</w:t>
      </w:r>
    </w:p>
    <w:p w14:paraId="1804E215" w14:textId="77777777" w:rsidR="00454B73" w:rsidRDefault="00000000">
      <w:pPr>
        <w:spacing w:before="220" w:after="80"/>
      </w:pPr>
      <w:r>
        <w:rPr>
          <w:b/>
          <w:bCs/>
          <w:i/>
          <w:iCs/>
          <w:sz w:val="22"/>
          <w:szCs w:val="22"/>
        </w:rPr>
        <w:t>Biostatistician, Casey Eye Institute, Pediatric Ophthalmology, Portland, OR (June 2011 – August 2013)</w:t>
      </w:r>
    </w:p>
    <w:p w14:paraId="0E620AC9" w14:textId="77777777" w:rsidR="00454B73" w:rsidRDefault="00000000">
      <w:pPr>
        <w:spacing w:after="140" w:line="276" w:lineRule="auto"/>
        <w:jc w:val="both"/>
      </w:pPr>
      <w:r>
        <w:rPr>
          <w:sz w:val="22"/>
          <w:szCs w:val="22"/>
        </w:rPr>
        <w:t xml:space="preserve">Compared vision screening modalities and determined optimal settings for vision screening </w:t>
      </w:r>
      <w:proofErr w:type="gramStart"/>
      <w:r>
        <w:rPr>
          <w:sz w:val="22"/>
          <w:szCs w:val="22"/>
        </w:rPr>
        <w:t>technologies, and</w:t>
      </w:r>
      <w:proofErr w:type="gramEnd"/>
      <w:r>
        <w:rPr>
          <w:sz w:val="22"/>
          <w:szCs w:val="22"/>
        </w:rPr>
        <w:t xml:space="preserve"> conveyed complex statistical concepts to physicians and clinical stakeholders.</w:t>
      </w:r>
    </w:p>
    <w:p w14:paraId="62447B9D" w14:textId="77777777" w:rsidR="00454B73" w:rsidRDefault="00000000">
      <w:pPr>
        <w:spacing w:before="220" w:after="80"/>
      </w:pPr>
      <w:r>
        <w:rPr>
          <w:b/>
          <w:bCs/>
          <w:i/>
          <w:iCs/>
          <w:sz w:val="22"/>
          <w:szCs w:val="22"/>
        </w:rPr>
        <w:t>Early Research Experience (2006 – 2010)</w:t>
      </w:r>
    </w:p>
    <w:p w14:paraId="78471185" w14:textId="77777777" w:rsidR="00454B73" w:rsidRDefault="00000000">
      <w:pPr>
        <w:spacing w:after="140" w:line="276" w:lineRule="auto"/>
        <w:jc w:val="both"/>
      </w:pPr>
      <w:r>
        <w:rPr>
          <w:sz w:val="22"/>
          <w:szCs w:val="22"/>
        </w:rPr>
        <w:t>Before moving into biostatistics and public health, built a foundation in bench science and bioinformatics. At the Oregon National Primate Center (Beaverton, OR)</w:t>
      </w:r>
      <w:proofErr w:type="gramStart"/>
      <w:r>
        <w:rPr>
          <w:sz w:val="22"/>
          <w:szCs w:val="22"/>
        </w:rPr>
        <w:t>, provided</w:t>
      </w:r>
      <w:proofErr w:type="gramEnd"/>
      <w:r>
        <w:rPr>
          <w:sz w:val="22"/>
          <w:szCs w:val="22"/>
        </w:rPr>
        <w:t xml:space="preserve"> bioinformatics support, preparing SNP data pipelines and uploading data to national repositories. As a Lab Specialist / Staff Scientist in the Viral Immunology Research Lab at the University of Utah (Salt Lake City, UT), performed T-cell proliferation assays, lymphocyte extraction, and genomic DNA analysis. As a Research Assistant in the Department of Experimental Oncology at the Cross Cancer Institute (Edmonton, AB), studied mitotic checkpoint regulation in cancerous cells.</w:t>
      </w:r>
    </w:p>
    <w:p w14:paraId="59781333" w14:textId="77777777" w:rsidR="00454B73" w:rsidRDefault="00000000">
      <w:pPr>
        <w:pBdr>
          <w:bottom w:val="single" w:sz="4" w:space="2" w:color="1A1A1A"/>
        </w:pBdr>
        <w:spacing w:before="300" w:after="100"/>
      </w:pPr>
      <w:r>
        <w:rPr>
          <w:b/>
          <w:bCs/>
          <w:sz w:val="24"/>
          <w:szCs w:val="24"/>
        </w:rPr>
        <w:t>ACADEMIC EXPERIENCE</w:t>
      </w:r>
    </w:p>
    <w:p w14:paraId="6E857D57" w14:textId="77777777" w:rsidR="00454B73" w:rsidRDefault="00000000">
      <w:pPr>
        <w:spacing w:before="220" w:after="80"/>
      </w:pPr>
      <w:r>
        <w:rPr>
          <w:b/>
          <w:bCs/>
          <w:i/>
          <w:iCs/>
          <w:sz w:val="22"/>
          <w:szCs w:val="22"/>
        </w:rPr>
        <w:t>Instructor of Record, INFO 4670: Data Analysis and Knowledge Discovery, University of North Texas (Spring 2022)</w:t>
      </w:r>
    </w:p>
    <w:p w14:paraId="12266F70" w14:textId="77777777" w:rsidR="00454B73" w:rsidRDefault="00000000">
      <w:pPr>
        <w:spacing w:after="140" w:line="276" w:lineRule="auto"/>
        <w:jc w:val="both"/>
      </w:pPr>
      <w:r>
        <w:rPr>
          <w:sz w:val="22"/>
          <w:szCs w:val="22"/>
        </w:rPr>
        <w:t xml:space="preserve">Served as instructor of record for this fully online, 3-credit-hour course (29 students; January 18 to May 13, 2022). The course introduces data analysis, data mining, text mining, and knowledge discovery, from core principles to </w:t>
      </w:r>
      <w:r>
        <w:rPr>
          <w:sz w:val="22"/>
          <w:szCs w:val="22"/>
        </w:rPr>
        <w:lastRenderedPageBreak/>
        <w:t>applied practice with suitable software and analytical tools. It also covers the theoretical foundations of data mining and knowledge discovery.</w:t>
      </w:r>
    </w:p>
    <w:p w14:paraId="678DE6D7" w14:textId="77777777" w:rsidR="00454B73" w:rsidRDefault="00000000">
      <w:pPr>
        <w:spacing w:before="220" w:after="80"/>
      </w:pPr>
      <w:r>
        <w:rPr>
          <w:b/>
          <w:bCs/>
          <w:i/>
          <w:iCs/>
          <w:sz w:val="22"/>
          <w:szCs w:val="22"/>
        </w:rPr>
        <w:t>Guest Lecture Series, "Measures of Data Accuracy: Performance Benchmarks," Group Health Epi 101 (November 2015)</w:t>
      </w:r>
    </w:p>
    <w:p w14:paraId="49DDA710" w14:textId="77777777" w:rsidR="00454B73" w:rsidRDefault="00000000">
      <w:pPr>
        <w:spacing w:after="140" w:line="276" w:lineRule="auto"/>
        <w:jc w:val="both"/>
      </w:pPr>
      <w:r>
        <w:rPr>
          <w:sz w:val="22"/>
          <w:szCs w:val="22"/>
        </w:rPr>
        <w:t>Delivered a one-week guest lecture series covering core diagnostic performance metrics: sensitivity, specificity, positive and negative predictive value, confusion matrices, and overall accuracy, as applied to the evaluation of screening and diagnostic tests.</w:t>
      </w:r>
    </w:p>
    <w:p w14:paraId="575EEC4D" w14:textId="77777777" w:rsidR="00454B73" w:rsidRDefault="00000000">
      <w:pPr>
        <w:spacing w:before="220" w:after="80"/>
      </w:pPr>
      <w:r>
        <w:rPr>
          <w:b/>
          <w:bCs/>
          <w:i/>
          <w:iCs/>
          <w:sz w:val="22"/>
          <w:szCs w:val="22"/>
        </w:rPr>
        <w:t>Teaching Assistant, Environmental Health (PHPM 518), Oregon Health &amp; Science University (Spring 2011)</w:t>
      </w:r>
    </w:p>
    <w:p w14:paraId="6F9C177E" w14:textId="77777777" w:rsidR="00454B73" w:rsidRDefault="00000000">
      <w:pPr>
        <w:spacing w:after="140" w:line="276" w:lineRule="auto"/>
        <w:jc w:val="both"/>
      </w:pPr>
      <w:r>
        <w:rPr>
          <w:sz w:val="22"/>
          <w:szCs w:val="22"/>
        </w:rPr>
        <w:t>Supported course content on environmental epidemiology, including exposure assessment and the methods used to link environmental hazards (air and water quality, occupational exposures) to population-level health outcomes.</w:t>
      </w:r>
    </w:p>
    <w:p w14:paraId="523E2E97" w14:textId="77777777" w:rsidR="00454B73" w:rsidRDefault="00000000">
      <w:pPr>
        <w:spacing w:before="220" w:after="80"/>
      </w:pPr>
      <w:r>
        <w:rPr>
          <w:b/>
          <w:bCs/>
          <w:i/>
          <w:iCs/>
          <w:sz w:val="22"/>
          <w:szCs w:val="22"/>
        </w:rPr>
        <w:t>Doctoral Research</w:t>
      </w:r>
    </w:p>
    <w:p w14:paraId="368E2D66" w14:textId="77777777" w:rsidR="00454B73" w:rsidRDefault="00000000">
      <w:pPr>
        <w:spacing w:after="140" w:line="276" w:lineRule="auto"/>
        <w:jc w:val="both"/>
      </w:pPr>
      <w:r>
        <w:rPr>
          <w:sz w:val="22"/>
          <w:szCs w:val="22"/>
        </w:rPr>
        <w:t>Completed a PhD in Information Science at the University of North Texas. The dissertation is titled "From Black Box to Glass Box: A Bayesian Framework for Precision Retention in Clinical Studies." The work develops a two-stage Bayesian framework for dynamic signal-to-noise detection in high-dimensional, multi-source clinical data. It applies directly to patient retention and workflow optimization across early- to late-stage clinical research. In a high-stakes, small-sample clinical setting, the framework raised detection sensitivity from 0.79 to 0.91 over a gold-standard baseline while keeping each prediction auditable. This work builds on 15-plus years working the statistical side of clinical trials. The throughline is turning messy, high-dimensional, multi-source clinical data into decisions that hold up under regulatory and scientific scrutiny.</w:t>
      </w:r>
    </w:p>
    <w:p w14:paraId="07707408" w14:textId="77777777" w:rsidR="00454B73" w:rsidRDefault="00000000">
      <w:r>
        <w:br w:type="page"/>
      </w:r>
    </w:p>
    <w:p w14:paraId="001FFF72" w14:textId="77777777" w:rsidR="00454B73" w:rsidRDefault="00000000">
      <w:pPr>
        <w:pBdr>
          <w:bottom w:val="single" w:sz="4" w:space="2" w:color="1A1A1A"/>
        </w:pBdr>
        <w:spacing w:before="300" w:after="100"/>
      </w:pPr>
      <w:r>
        <w:rPr>
          <w:b/>
          <w:bCs/>
          <w:sz w:val="24"/>
          <w:szCs w:val="24"/>
        </w:rPr>
        <w:lastRenderedPageBreak/>
        <w:t>RESEARCH AND PUBLICATIONS</w:t>
      </w:r>
    </w:p>
    <w:p w14:paraId="66977627" w14:textId="77777777" w:rsidR="00454B73" w:rsidRDefault="00000000">
      <w:pPr>
        <w:spacing w:after="140" w:line="276" w:lineRule="auto"/>
        <w:jc w:val="both"/>
      </w:pPr>
      <w:r>
        <w:rPr>
          <w:i/>
          <w:iCs/>
          <w:sz w:val="22"/>
          <w:szCs w:val="22"/>
        </w:rPr>
        <w:t>Google Scholar (2026): 1,500+ citations, h-index 12, i10-index 14.</w:t>
      </w:r>
    </w:p>
    <w:p w14:paraId="5B9CA9C8" w14:textId="77777777" w:rsidR="00454B73" w:rsidRDefault="00000000">
      <w:pPr>
        <w:spacing w:before="220" w:after="80"/>
      </w:pPr>
      <w:r>
        <w:rPr>
          <w:b/>
          <w:bCs/>
          <w:i/>
          <w:iCs/>
          <w:sz w:val="22"/>
          <w:szCs w:val="22"/>
        </w:rPr>
        <w:t>Books and Book Chapters</w:t>
      </w:r>
    </w:p>
    <w:p w14:paraId="242A504C" w14:textId="0623F928" w:rsidR="00454B73" w:rsidRDefault="00013365">
      <w:pPr>
        <w:spacing w:after="140" w:line="276" w:lineRule="auto"/>
        <w:jc w:val="both"/>
      </w:pPr>
      <w:r>
        <w:rPr>
          <w:sz w:val="22"/>
          <w:szCs w:val="22"/>
        </w:rPr>
        <w:t>Arao, R. F., Prybutok, V., &amp; Prybutok, G. Book on Explainable AI (XAI). Book proposal submitted to Springer Publishing Company, October 2, 2026.</w:t>
      </w:r>
    </w:p>
    <w:p w14:paraId="06574A01" w14:textId="77777777" w:rsidR="00454B73" w:rsidRDefault="00000000">
      <w:pPr>
        <w:spacing w:before="220" w:after="80"/>
      </w:pPr>
      <w:proofErr w:type="gramStart"/>
      <w:r>
        <w:rPr>
          <w:b/>
          <w:bCs/>
          <w:i/>
          <w:iCs/>
          <w:sz w:val="22"/>
          <w:szCs w:val="22"/>
        </w:rPr>
        <w:t>Refereed</w:t>
      </w:r>
      <w:proofErr w:type="gramEnd"/>
      <w:r>
        <w:rPr>
          <w:b/>
          <w:bCs/>
          <w:i/>
          <w:iCs/>
          <w:sz w:val="22"/>
          <w:szCs w:val="22"/>
        </w:rPr>
        <w:t xml:space="preserve"> Journal Publications (16)</w:t>
      </w:r>
    </w:p>
    <w:p w14:paraId="5DBECC66" w14:textId="77777777" w:rsidR="00454B73" w:rsidRDefault="00000000">
      <w:pPr>
        <w:spacing w:after="140"/>
        <w:ind w:left="360" w:hanging="360"/>
      </w:pPr>
      <w:r>
        <w:rPr>
          <w:sz w:val="22"/>
          <w:szCs w:val="22"/>
        </w:rPr>
        <w:t xml:space="preserve">1. Brown, T. T., Arao, R., Warsi, M., et al. (2025). Bone changes with </w:t>
      </w:r>
      <w:proofErr w:type="gramStart"/>
      <w:r>
        <w:rPr>
          <w:sz w:val="22"/>
          <w:szCs w:val="22"/>
        </w:rPr>
        <w:t>long-acting</w:t>
      </w:r>
      <w:proofErr w:type="gramEnd"/>
      <w:r>
        <w:rPr>
          <w:sz w:val="22"/>
          <w:szCs w:val="22"/>
        </w:rPr>
        <w:t xml:space="preserve"> cabotegravir or tenofovir disoproxil fumarate/emtricitabine for HIV prevention in cisgender men and transgender women: HPTN 083. Clinical Infectious Diseases, ciaf221. SJR Quartile 1 in Infectious Diseases, H-index 398. </w:t>
      </w:r>
      <w:hyperlink r:id="rId13" w:history="1">
        <w:r w:rsidR="00454B73">
          <w:rPr>
            <w:color w:val="1155CC"/>
            <w:sz w:val="22"/>
            <w:szCs w:val="22"/>
            <w:u w:val="single"/>
          </w:rPr>
          <w:t>https://doi.org/10.1093/cid/ciaf221</w:t>
        </w:r>
      </w:hyperlink>
    </w:p>
    <w:p w14:paraId="7BB43C31" w14:textId="77777777" w:rsidR="00454B73" w:rsidRDefault="00000000">
      <w:pPr>
        <w:spacing w:after="140"/>
        <w:ind w:left="360" w:hanging="360"/>
      </w:pPr>
      <w:r>
        <w:rPr>
          <w:sz w:val="22"/>
          <w:szCs w:val="22"/>
        </w:rPr>
        <w:t xml:space="preserve">2. Carlo, A., Chan, K., Arao, R. F., et al. (2021). Assessing the impact of different depression treatment success metrics on organizational performance. Psychiatric Services, 72(7), 830–834. SJR Quartile 1 in Psychiatry and Mental Health, H-index 174. </w:t>
      </w:r>
      <w:hyperlink r:id="rId14" w:history="1">
        <w:r w:rsidR="00454B73">
          <w:rPr>
            <w:color w:val="1155CC"/>
            <w:sz w:val="22"/>
            <w:szCs w:val="22"/>
            <w:u w:val="single"/>
          </w:rPr>
          <w:t>https://doi.org/10.1176/appi.ps.202000364</w:t>
        </w:r>
      </w:hyperlink>
    </w:p>
    <w:p w14:paraId="4C762D85" w14:textId="77777777" w:rsidR="00454B73" w:rsidRDefault="00000000">
      <w:pPr>
        <w:spacing w:after="140"/>
        <w:ind w:left="360" w:hanging="360"/>
      </w:pPr>
      <w:r>
        <w:rPr>
          <w:sz w:val="22"/>
          <w:szCs w:val="22"/>
        </w:rPr>
        <w:t xml:space="preserve">3. Bauer, A., Jakupcak, M., Hawrilenko, M., Bechtel, J., Arao, R., &amp; Fortney, J. (2021). Outcomes of a health informatics technology-supported behavioral activation training for care managers in a collaborative care program. Families, Systems, &amp; Health, 39(1), 89–100. SJR Quartile 3 in Family Studies, H-index 57. </w:t>
      </w:r>
      <w:hyperlink r:id="rId15" w:history="1">
        <w:r w:rsidR="00454B73">
          <w:rPr>
            <w:color w:val="1155CC"/>
            <w:sz w:val="22"/>
            <w:szCs w:val="22"/>
            <w:u w:val="single"/>
          </w:rPr>
          <w:t>https://doi.org/10.1037/fsh0000523</w:t>
        </w:r>
      </w:hyperlink>
    </w:p>
    <w:p w14:paraId="6CBD1BC2" w14:textId="77777777" w:rsidR="00454B73" w:rsidRDefault="00000000">
      <w:pPr>
        <w:spacing w:after="140"/>
        <w:ind w:left="360" w:hanging="360"/>
      </w:pPr>
      <w:r>
        <w:rPr>
          <w:sz w:val="22"/>
          <w:szCs w:val="22"/>
        </w:rPr>
        <w:t>4. Unutzer, J., Carlo, A. D., Arao, R. F., et al. (2020). Variation in the effectiveness of collaborative care (</w:t>
      </w:r>
      <w:proofErr w:type="spellStart"/>
      <w:r>
        <w:rPr>
          <w:sz w:val="22"/>
          <w:szCs w:val="22"/>
        </w:rPr>
        <w:t>CoCM</w:t>
      </w:r>
      <w:proofErr w:type="spellEnd"/>
      <w:r>
        <w:rPr>
          <w:sz w:val="22"/>
          <w:szCs w:val="22"/>
        </w:rPr>
        <w:t xml:space="preserve">) for depression: Does it matter where you get your care? Health Affairs, 39(11), 1943–1950. SJR Quartile 1 in Health Policy, H-index 224. </w:t>
      </w:r>
      <w:hyperlink r:id="rId16" w:history="1">
        <w:r w:rsidR="00454B73">
          <w:rPr>
            <w:color w:val="1155CC"/>
            <w:sz w:val="22"/>
            <w:szCs w:val="22"/>
            <w:u w:val="single"/>
          </w:rPr>
          <w:t>https://doi.org/10.1377/hlthaff.2019.01714</w:t>
        </w:r>
      </w:hyperlink>
    </w:p>
    <w:p w14:paraId="2DDED684" w14:textId="77777777" w:rsidR="00454B73" w:rsidRDefault="00000000">
      <w:pPr>
        <w:spacing w:after="140"/>
        <w:ind w:left="360" w:hanging="360"/>
      </w:pPr>
      <w:r>
        <w:rPr>
          <w:sz w:val="22"/>
          <w:szCs w:val="22"/>
        </w:rPr>
        <w:t xml:space="preserve">5. Bowen, D. J., Powers, D. M., Russo, J., Arao, R., et al. (2020). Implementing collaborative care to reduce depression for rural Native American/Alaska Native people. BMC Health Services Research, 20(1), 34. SJR Quartile 1 in Health Policy, H-index 157. </w:t>
      </w:r>
      <w:hyperlink r:id="rId17" w:history="1">
        <w:r w:rsidR="00454B73">
          <w:rPr>
            <w:color w:val="1155CC"/>
            <w:sz w:val="22"/>
            <w:szCs w:val="22"/>
            <w:u w:val="single"/>
          </w:rPr>
          <w:t>https://doi.org/10.1186/s12913-019-4875-6</w:t>
        </w:r>
      </w:hyperlink>
    </w:p>
    <w:p w14:paraId="58D8554D" w14:textId="77777777" w:rsidR="00454B73" w:rsidRDefault="00000000">
      <w:pPr>
        <w:spacing w:after="140"/>
        <w:ind w:left="360" w:hanging="360"/>
      </w:pPr>
      <w:r>
        <w:rPr>
          <w:sz w:val="22"/>
          <w:szCs w:val="22"/>
        </w:rPr>
        <w:t xml:space="preserve">6. Lee, J. M., Arao, R. F., Sprague, B. L., et al. (2019). Performance of screening ultrasonography as an adjunct to screening mammography in women across the spectrum of breast cancer risk. JAMA Internal Medicine, 179(5), 658–667. SJR Quartile 1 in Internal Medicine, H-index 403. </w:t>
      </w:r>
      <w:hyperlink r:id="rId18" w:history="1">
        <w:r w:rsidR="00454B73">
          <w:rPr>
            <w:color w:val="1155CC"/>
            <w:sz w:val="22"/>
            <w:szCs w:val="22"/>
            <w:u w:val="single"/>
          </w:rPr>
          <w:t>https://doi.org/10.1001/jamainternmed.2018.8372</w:t>
        </w:r>
      </w:hyperlink>
    </w:p>
    <w:p w14:paraId="7E4D5285" w14:textId="77777777" w:rsidR="00454B73" w:rsidRDefault="00000000">
      <w:pPr>
        <w:spacing w:after="140"/>
        <w:ind w:left="360" w:hanging="360"/>
      </w:pPr>
      <w:r>
        <w:rPr>
          <w:sz w:val="22"/>
          <w:szCs w:val="22"/>
        </w:rPr>
        <w:t xml:space="preserve">7. Sprague, B. L., Arao, R. F., Miglioretti, D. L., et al. (2017). National performance benchmarks for modern diagnostic digital mammography. Radiology, 283(1), 59–69. SJR Quartile 1 in Radiology, Nuclear Medicine and Imaging, H-index 346. </w:t>
      </w:r>
      <w:hyperlink r:id="rId19" w:history="1">
        <w:r w:rsidR="00454B73">
          <w:rPr>
            <w:color w:val="1155CC"/>
            <w:sz w:val="22"/>
            <w:szCs w:val="22"/>
            <w:u w:val="single"/>
          </w:rPr>
          <w:t>https://doi.org/10.1148/radiol.2017161519</w:t>
        </w:r>
      </w:hyperlink>
    </w:p>
    <w:p w14:paraId="7763B991" w14:textId="77777777" w:rsidR="00454B73" w:rsidRDefault="00000000">
      <w:pPr>
        <w:spacing w:after="140"/>
        <w:ind w:left="360" w:hanging="360"/>
      </w:pPr>
      <w:r>
        <w:rPr>
          <w:sz w:val="22"/>
          <w:szCs w:val="22"/>
        </w:rPr>
        <w:t xml:space="preserve">8. Lehman, C. D., Arao, R. F., Sprague, B. L., et al. (2017). National performance benchmarks for modern screening digital mammography. Radiology, 283(1), 49–58. SJR Quartile 1 in Radiology, Nuclear Medicine and Imaging, H-index 346. </w:t>
      </w:r>
      <w:hyperlink r:id="rId20" w:history="1">
        <w:r w:rsidR="00454B73">
          <w:rPr>
            <w:color w:val="1155CC"/>
            <w:sz w:val="22"/>
            <w:szCs w:val="22"/>
            <w:u w:val="single"/>
          </w:rPr>
          <w:t>https://doi.org/10.1148/radiol.2016161174</w:t>
        </w:r>
      </w:hyperlink>
    </w:p>
    <w:p w14:paraId="47D2D641" w14:textId="77777777" w:rsidR="00454B73" w:rsidRDefault="00000000">
      <w:pPr>
        <w:spacing w:after="140"/>
        <w:ind w:left="360" w:hanging="360"/>
      </w:pPr>
      <w:r>
        <w:rPr>
          <w:sz w:val="22"/>
          <w:szCs w:val="22"/>
        </w:rPr>
        <w:t xml:space="preserve">9. Yaghjyan, L., Arao, R. F., Brokamp, C., et al. (2017). Association between air pollution and mammographic breast density in the Breast Cancer Surveillance Consortium. Breast Cancer Research, 19(1), 36. SJR Quartile 1 in Cancer Research, H-index 182. </w:t>
      </w:r>
      <w:hyperlink r:id="rId21" w:history="1">
        <w:r w:rsidR="00454B73">
          <w:rPr>
            <w:color w:val="1155CC"/>
            <w:sz w:val="22"/>
            <w:szCs w:val="22"/>
            <w:u w:val="single"/>
          </w:rPr>
          <w:t>https://doi.org/10.1186/s13058-017-0828-3</w:t>
        </w:r>
      </w:hyperlink>
    </w:p>
    <w:p w14:paraId="7E7248B6" w14:textId="77777777" w:rsidR="00454B73" w:rsidRDefault="00000000">
      <w:pPr>
        <w:spacing w:after="140"/>
        <w:ind w:left="360" w:hanging="360"/>
      </w:pPr>
      <w:r>
        <w:rPr>
          <w:sz w:val="22"/>
          <w:szCs w:val="22"/>
        </w:rPr>
        <w:t xml:space="preserve">10. </w:t>
      </w:r>
      <w:proofErr w:type="spellStart"/>
      <w:r>
        <w:rPr>
          <w:sz w:val="22"/>
          <w:szCs w:val="22"/>
        </w:rPr>
        <w:t>Oyewale</w:t>
      </w:r>
      <w:proofErr w:type="spellEnd"/>
      <w:r>
        <w:rPr>
          <w:sz w:val="22"/>
          <w:szCs w:val="22"/>
        </w:rPr>
        <w:t xml:space="preserve">, O. S., Arao, R. F., Miglioretti, D., et al. (2017). Emerging trends in family history of breast cancer and associated risk. Cancer Epidemiology, Biomarkers &amp; Prevention, 26(12), 1753–1760. SJR Quartile 1 in Epidemiology, H-index 219. </w:t>
      </w:r>
      <w:hyperlink r:id="rId22" w:history="1">
        <w:r w:rsidR="00454B73">
          <w:rPr>
            <w:color w:val="1155CC"/>
            <w:sz w:val="22"/>
            <w:szCs w:val="22"/>
            <w:u w:val="single"/>
          </w:rPr>
          <w:t>https://doi.org/10.1158/1055-9965.EPI-17-0531</w:t>
        </w:r>
      </w:hyperlink>
    </w:p>
    <w:p w14:paraId="015C6ACD" w14:textId="77777777" w:rsidR="00454B73" w:rsidRDefault="00000000">
      <w:pPr>
        <w:spacing w:after="140"/>
        <w:ind w:left="360" w:hanging="360"/>
      </w:pPr>
      <w:r>
        <w:rPr>
          <w:sz w:val="22"/>
          <w:szCs w:val="22"/>
        </w:rPr>
        <w:t xml:space="preserve">11. Wernli, K. J., Arao, R. F., Hubbard, R. A., et al. (2017). Change in breast cancer screening intervals since the 2009 USPSTF Guideline. Journal of Women's Health, 26(8), 820–827. SJR Quartile 1 in Medicine, H-index 121. </w:t>
      </w:r>
      <w:hyperlink r:id="rId23" w:history="1">
        <w:r w:rsidR="00454B73">
          <w:rPr>
            <w:color w:val="1155CC"/>
            <w:sz w:val="22"/>
            <w:szCs w:val="22"/>
            <w:u w:val="single"/>
          </w:rPr>
          <w:t>https://doi.org/10.1089/jwh.2016.6076</w:t>
        </w:r>
      </w:hyperlink>
    </w:p>
    <w:p w14:paraId="5179F78A" w14:textId="77777777" w:rsidR="00454B73" w:rsidRDefault="00000000">
      <w:pPr>
        <w:spacing w:after="140"/>
        <w:ind w:left="360" w:hanging="360"/>
      </w:pPr>
      <w:r>
        <w:rPr>
          <w:sz w:val="22"/>
          <w:szCs w:val="22"/>
        </w:rPr>
        <w:t xml:space="preserve">12. Arao, R. F., Rosenberg, K. D., McWeeney, S., &amp; Hedberg, K. (2015). Influenza vaccination of pregnant women: Attitudes and behaviors of physician prenatal care providers. Maternal and Child Health Journal, </w:t>
      </w:r>
      <w:r>
        <w:rPr>
          <w:sz w:val="22"/>
          <w:szCs w:val="22"/>
        </w:rPr>
        <w:lastRenderedPageBreak/>
        <w:t xml:space="preserve">19(4), 783–789. First author. SJR Quartile 1 in Pediatrics, Perinatology and Child Health, H-index 109. </w:t>
      </w:r>
      <w:hyperlink r:id="rId24" w:history="1">
        <w:r w:rsidR="00454B73">
          <w:rPr>
            <w:color w:val="1155CC"/>
            <w:sz w:val="22"/>
            <w:szCs w:val="22"/>
            <w:u w:val="single"/>
          </w:rPr>
          <w:t>https://doi.org/10.1007/s10995-014-1569-x</w:t>
        </w:r>
      </w:hyperlink>
    </w:p>
    <w:p w14:paraId="4F1A4465" w14:textId="77777777" w:rsidR="00454B73" w:rsidRDefault="00000000">
      <w:pPr>
        <w:spacing w:after="140"/>
        <w:ind w:left="360" w:hanging="360"/>
      </w:pPr>
      <w:r>
        <w:rPr>
          <w:sz w:val="22"/>
          <w:szCs w:val="22"/>
        </w:rPr>
        <w:t xml:space="preserve">13. </w:t>
      </w:r>
      <w:proofErr w:type="spellStart"/>
      <w:r>
        <w:rPr>
          <w:sz w:val="22"/>
          <w:szCs w:val="22"/>
        </w:rPr>
        <w:t>Strasfeld</w:t>
      </w:r>
      <w:proofErr w:type="spellEnd"/>
      <w:r>
        <w:rPr>
          <w:sz w:val="22"/>
          <w:szCs w:val="22"/>
        </w:rPr>
        <w:t xml:space="preserve">, L., </w:t>
      </w:r>
      <w:proofErr w:type="spellStart"/>
      <w:r>
        <w:rPr>
          <w:sz w:val="22"/>
          <w:szCs w:val="22"/>
        </w:rPr>
        <w:t>Parkerton</w:t>
      </w:r>
      <w:proofErr w:type="spellEnd"/>
      <w:r>
        <w:rPr>
          <w:sz w:val="22"/>
          <w:szCs w:val="22"/>
        </w:rPr>
        <w:t xml:space="preserve">, M., Arao, R. F., et al. (2014). Changes in antimicrobial prescribing patterns following implementation of the Oregon Antimicrobial Stewardship Collaborative (OASC). Open Forum Infectious Diseases, 1(1), S95–S96. SJR Quartile 1 in Infectious Diseases, H-index 74. </w:t>
      </w:r>
      <w:hyperlink r:id="rId25" w:history="1">
        <w:r w:rsidR="00454B73">
          <w:rPr>
            <w:color w:val="1155CC"/>
            <w:sz w:val="22"/>
            <w:szCs w:val="22"/>
            <w:u w:val="single"/>
          </w:rPr>
          <w:t>https://doi.org/10.1093/ofid/ofu052.84</w:t>
        </w:r>
      </w:hyperlink>
    </w:p>
    <w:p w14:paraId="3DBEC523" w14:textId="77777777" w:rsidR="00454B73" w:rsidRDefault="00000000">
      <w:pPr>
        <w:spacing w:after="140"/>
        <w:ind w:left="360" w:hanging="360"/>
      </w:pPr>
      <w:r>
        <w:rPr>
          <w:sz w:val="22"/>
          <w:szCs w:val="22"/>
        </w:rPr>
        <w:t xml:space="preserve">14. Mohammadi, J., </w:t>
      </w:r>
      <w:proofErr w:type="spellStart"/>
      <w:r>
        <w:rPr>
          <w:sz w:val="22"/>
          <w:szCs w:val="22"/>
        </w:rPr>
        <w:t>Strasfeld</w:t>
      </w:r>
      <w:proofErr w:type="spellEnd"/>
      <w:r>
        <w:rPr>
          <w:sz w:val="22"/>
          <w:szCs w:val="22"/>
        </w:rPr>
        <w:t xml:space="preserve">, L., </w:t>
      </w:r>
      <w:proofErr w:type="spellStart"/>
      <w:r>
        <w:rPr>
          <w:sz w:val="22"/>
          <w:szCs w:val="22"/>
        </w:rPr>
        <w:t>Parkerton</w:t>
      </w:r>
      <w:proofErr w:type="spellEnd"/>
      <w:r>
        <w:rPr>
          <w:sz w:val="22"/>
          <w:szCs w:val="22"/>
        </w:rPr>
        <w:t xml:space="preserve">, M., </w:t>
      </w:r>
      <w:proofErr w:type="spellStart"/>
      <w:r>
        <w:rPr>
          <w:sz w:val="22"/>
          <w:szCs w:val="22"/>
        </w:rPr>
        <w:t>Beldavs</w:t>
      </w:r>
      <w:proofErr w:type="spellEnd"/>
      <w:r>
        <w:rPr>
          <w:sz w:val="22"/>
          <w:szCs w:val="22"/>
        </w:rPr>
        <w:t xml:space="preserve">, Z. G., Arao, R. F., &amp; Forrest, G. (2014). The Oregon Antimicrobial Stewardship Collaborative (OASIS): Statewide effectiveness on re-survey. Open Forum Infectious Diseases, 1(suppl_1), S95–S96. SJR Quartile 1 in Infectious Diseases, H-index 74. </w:t>
      </w:r>
      <w:hyperlink r:id="rId26" w:history="1">
        <w:r w:rsidR="00454B73">
          <w:rPr>
            <w:color w:val="1155CC"/>
            <w:sz w:val="22"/>
            <w:szCs w:val="22"/>
            <w:u w:val="single"/>
          </w:rPr>
          <w:t>https://doi.org/10.1093/ofid/ofu052.83</w:t>
        </w:r>
      </w:hyperlink>
    </w:p>
    <w:p w14:paraId="5A9D9F83" w14:textId="77777777" w:rsidR="00454B73" w:rsidRDefault="00000000">
      <w:pPr>
        <w:spacing w:after="140"/>
        <w:ind w:left="360" w:hanging="360"/>
      </w:pPr>
      <w:r>
        <w:rPr>
          <w:sz w:val="22"/>
          <w:szCs w:val="22"/>
        </w:rPr>
        <w:t xml:space="preserve">15. Pfeiffer, C. D., Cunningham, M. C., Poissant, T., et al., Arao, R. F., &amp; </w:t>
      </w:r>
      <w:proofErr w:type="spellStart"/>
      <w:r>
        <w:rPr>
          <w:sz w:val="22"/>
          <w:szCs w:val="22"/>
        </w:rPr>
        <w:t>Beldavs</w:t>
      </w:r>
      <w:proofErr w:type="spellEnd"/>
      <w:r>
        <w:rPr>
          <w:sz w:val="22"/>
          <w:szCs w:val="22"/>
        </w:rPr>
        <w:t xml:space="preserve">, Z. G. (2014). Establishment of a statewide network for carbapenem-resistant Enterobacteriaceae prevention in a low incidence region. Infection Control &amp; Hospital Epidemiology, 35(4), 356–361. SJR Quartile 1 in Infectious Diseases, H-index 156. </w:t>
      </w:r>
      <w:hyperlink r:id="rId27" w:history="1">
        <w:r w:rsidR="00454B73">
          <w:rPr>
            <w:color w:val="1155CC"/>
            <w:sz w:val="22"/>
            <w:szCs w:val="22"/>
            <w:u w:val="single"/>
          </w:rPr>
          <w:t>https://doi.org/10.1086/675605</w:t>
        </w:r>
      </w:hyperlink>
    </w:p>
    <w:p w14:paraId="6BFD4F96" w14:textId="77777777" w:rsidR="00454B73" w:rsidRDefault="00000000">
      <w:pPr>
        <w:spacing w:after="140"/>
        <w:ind w:left="360" w:hanging="360"/>
      </w:pPr>
      <w:r>
        <w:rPr>
          <w:sz w:val="22"/>
          <w:szCs w:val="22"/>
        </w:rPr>
        <w:t xml:space="preserve">16. Rosenberg, M. W., Kato, M. K., Carson, K. M., et al., Arao, R. F., et al. (2013). Circumferential or sectored beam arrangements for stereotactic body radiation therapy (SBRT) of primary lung tumors: Effect on target and normal-structure dose-volume metrics. Medical Dosimetry, 38(4), 407–412. SJR Quartile 3 in Radiological and Ultrasound Technology, H-index 48. </w:t>
      </w:r>
      <w:hyperlink r:id="rId28" w:history="1">
        <w:r w:rsidR="00454B73">
          <w:rPr>
            <w:color w:val="1155CC"/>
            <w:sz w:val="22"/>
            <w:szCs w:val="22"/>
            <w:u w:val="single"/>
          </w:rPr>
          <w:t>https://doi.org/10.1016/j.meddos.2013.05.002</w:t>
        </w:r>
      </w:hyperlink>
    </w:p>
    <w:p w14:paraId="6FE31604" w14:textId="77777777" w:rsidR="00454B73" w:rsidRDefault="00000000">
      <w:pPr>
        <w:spacing w:before="220" w:after="80"/>
      </w:pPr>
      <w:r>
        <w:rPr>
          <w:b/>
          <w:bCs/>
          <w:i/>
          <w:iCs/>
          <w:sz w:val="22"/>
          <w:szCs w:val="22"/>
        </w:rPr>
        <w:t>Intellectual Contributions in Progress</w:t>
      </w:r>
    </w:p>
    <w:p w14:paraId="75D08046" w14:textId="77777777" w:rsidR="00454B73" w:rsidRPr="00437A2F" w:rsidRDefault="00000000" w:rsidP="00437A2F">
      <w:pPr>
        <w:spacing w:after="140"/>
        <w:ind w:left="360" w:hanging="360"/>
        <w:rPr>
          <w:sz w:val="22"/>
          <w:szCs w:val="22"/>
        </w:rPr>
      </w:pPr>
      <w:r>
        <w:rPr>
          <w:sz w:val="22"/>
          <w:szCs w:val="22"/>
        </w:rPr>
        <w:t>17. Arao, R. F., &amp; Prybutok, V. Pricing Structure, Not Competition, Drives Cost Growth: Evidence of Reversed Competition Effects Across Air Force, Navy, and Army Definitive Contracts, FY2016 to FY2019. Decision Sciences. Status: under review.</w:t>
      </w:r>
    </w:p>
    <w:p w14:paraId="5AD60220" w14:textId="77777777" w:rsidR="00454B73" w:rsidRDefault="00000000">
      <w:pPr>
        <w:spacing w:after="140"/>
        <w:ind w:left="360" w:hanging="360"/>
        <w:rPr>
          <w:sz w:val="22"/>
          <w:szCs w:val="22"/>
        </w:rPr>
      </w:pPr>
      <w:r>
        <w:rPr>
          <w:sz w:val="22"/>
          <w:szCs w:val="22"/>
        </w:rPr>
        <w:t>18. Arao, R. F., &amp; Prybutok, V. Reconnecting Satisfaction and Knowledge to Predict Participant Retention: A PLS-SEM Validation of the “Procedural Assent” Framework. Journal of Clinical Epidemiology. Status: under review.</w:t>
      </w:r>
    </w:p>
    <w:p w14:paraId="5F1C79D6" w14:textId="128A5432" w:rsidR="00437A2F" w:rsidRDefault="00437A2F" w:rsidP="00437A2F">
      <w:pPr>
        <w:spacing w:after="140"/>
        <w:ind w:left="360" w:hanging="360"/>
        <w:rPr>
          <w:sz w:val="22"/>
          <w:szCs w:val="22"/>
        </w:rPr>
      </w:pPr>
      <w:r>
        <w:rPr>
          <w:sz w:val="22"/>
          <w:szCs w:val="22"/>
        </w:rPr>
        <w:t>19. Arao, R. F., Prybutok, V., Mpofu, E., &amp; O’Connor, B. Information Signaling and Service Process Stability: A Structural Framework for Mitigating Latent Churn. Status: in revision for submission.</w:t>
      </w:r>
    </w:p>
    <w:p w14:paraId="4EE1FDE6" w14:textId="1D3D28BF" w:rsidR="002931AC" w:rsidRPr="002931AC" w:rsidRDefault="002931AC" w:rsidP="00437A2F">
      <w:pPr>
        <w:spacing w:after="140"/>
        <w:ind w:left="360" w:hanging="360"/>
        <w:rPr>
          <w:sz w:val="22"/>
          <w:szCs w:val="22"/>
        </w:rPr>
      </w:pPr>
      <w:r>
        <w:rPr>
          <w:sz w:val="22"/>
          <w:szCs w:val="22"/>
        </w:rPr>
        <w:t>20. Arao, R. F., Prybutok, V., &amp; Prybutok, G. Book on Explainable AI (XAI). Book proposal submitted to Springer Publishing Company, October 2, 2026.</w:t>
      </w:r>
    </w:p>
    <w:p w14:paraId="2853584D" w14:textId="77777777" w:rsidR="00454B73" w:rsidRDefault="00000000">
      <w:pPr>
        <w:pBdr>
          <w:bottom w:val="single" w:sz="4" w:space="2" w:color="1A1A1A"/>
        </w:pBdr>
        <w:spacing w:before="300" w:after="100"/>
      </w:pPr>
      <w:r>
        <w:rPr>
          <w:b/>
          <w:bCs/>
          <w:sz w:val="24"/>
          <w:szCs w:val="24"/>
        </w:rPr>
        <w:t>PRESENTATIONS</w:t>
      </w:r>
    </w:p>
    <w:p w14:paraId="206F41BD" w14:textId="77777777" w:rsidR="00454B73" w:rsidRDefault="00000000">
      <w:pPr>
        <w:spacing w:before="220" w:after="80"/>
      </w:pPr>
      <w:r>
        <w:rPr>
          <w:b/>
          <w:bCs/>
          <w:i/>
          <w:iCs/>
          <w:sz w:val="22"/>
          <w:szCs w:val="22"/>
        </w:rPr>
        <w:t>Academic Conference Presentations</w:t>
      </w:r>
    </w:p>
    <w:p w14:paraId="6739B93D" w14:textId="77777777" w:rsidR="00454B73" w:rsidRDefault="00000000">
      <w:pPr>
        <w:spacing w:after="140"/>
        <w:ind w:left="360" w:hanging="360"/>
      </w:pPr>
      <w:r>
        <w:rPr>
          <w:sz w:val="22"/>
          <w:szCs w:val="22"/>
        </w:rPr>
        <w:t xml:space="preserve">1. Arao, R. F. (Author), Forrest, G. M. (Author), </w:t>
      </w:r>
      <w:proofErr w:type="spellStart"/>
      <w:r>
        <w:rPr>
          <w:sz w:val="22"/>
          <w:szCs w:val="22"/>
        </w:rPr>
        <w:t>Beldavs</w:t>
      </w:r>
      <w:proofErr w:type="spellEnd"/>
      <w:r>
        <w:rPr>
          <w:sz w:val="22"/>
          <w:szCs w:val="22"/>
        </w:rPr>
        <w:t>, A. (Author), Ellingson, K. (Author), Mohammadi, J. (Author), Thomas, A. (Author), “Answering the Call for Antimicrobial Stewardship in Oregon,” Infectious Disease (ID) Week 2013, San Francisco, CA (October 4, 2013).</w:t>
      </w:r>
    </w:p>
    <w:p w14:paraId="2C84413D" w14:textId="77777777" w:rsidR="00454B73" w:rsidRDefault="00000000">
      <w:pPr>
        <w:spacing w:after="140"/>
        <w:ind w:left="360" w:hanging="360"/>
      </w:pPr>
      <w:r>
        <w:rPr>
          <w:sz w:val="22"/>
          <w:szCs w:val="22"/>
        </w:rPr>
        <w:t>2. “Physician Barriers to Recommending Flu Vaccine to Healthy Pregnant Women,” Oregon Public Health Association (OPHA) Annual Conference, Corvallis, OR (October 8, 2012).</w:t>
      </w:r>
    </w:p>
    <w:p w14:paraId="68C78019" w14:textId="77777777" w:rsidR="00454B73" w:rsidRDefault="00000000">
      <w:pPr>
        <w:spacing w:after="140"/>
        <w:ind w:left="360" w:hanging="360"/>
      </w:pPr>
      <w:r>
        <w:rPr>
          <w:sz w:val="22"/>
          <w:szCs w:val="22"/>
        </w:rPr>
        <w:t xml:space="preserve">3. “How Effective Is the </w:t>
      </w:r>
      <w:proofErr w:type="spellStart"/>
      <w:r>
        <w:rPr>
          <w:sz w:val="22"/>
          <w:szCs w:val="22"/>
        </w:rPr>
        <w:t>PediaVision</w:t>
      </w:r>
      <w:proofErr w:type="spellEnd"/>
      <w:r>
        <w:rPr>
          <w:sz w:val="22"/>
          <w:szCs w:val="22"/>
        </w:rPr>
        <w:t xml:space="preserve"> S09 in Detecting Amblyopic Risk Factors in Children, Ages 3–5 Years?” American Association for Pediatric Ophthalmology and Strabismus (AAPOS) International Meeting, San Antonio, TX (March 25, 2012).</w:t>
      </w:r>
    </w:p>
    <w:p w14:paraId="488A2F1A" w14:textId="77777777" w:rsidR="00454B73" w:rsidRDefault="00000000">
      <w:pPr>
        <w:spacing w:after="140"/>
        <w:ind w:left="360" w:hanging="360"/>
      </w:pPr>
      <w:r>
        <w:rPr>
          <w:sz w:val="22"/>
          <w:szCs w:val="22"/>
        </w:rPr>
        <w:t>4. (Author &amp; Presenter), “Application of Data Enhanced Diagnostics to Improve Rapid Diagnostic Test Performance,” North American Primary Care Research Group (NAPCRG), San Francisco, CA (November 22, 2020).</w:t>
      </w:r>
    </w:p>
    <w:p w14:paraId="783DC11F" w14:textId="77777777" w:rsidR="00454B73" w:rsidRDefault="00000000">
      <w:pPr>
        <w:spacing w:before="220" w:after="80"/>
      </w:pPr>
      <w:r>
        <w:rPr>
          <w:b/>
          <w:bCs/>
          <w:i/>
          <w:iCs/>
          <w:sz w:val="22"/>
          <w:szCs w:val="22"/>
        </w:rPr>
        <w:t>Invited Talks / Guest Lectures</w:t>
      </w:r>
    </w:p>
    <w:p w14:paraId="7426C9CE" w14:textId="77777777" w:rsidR="00454B73" w:rsidRDefault="00000000">
      <w:pPr>
        <w:spacing w:after="140"/>
        <w:ind w:left="360" w:hanging="360"/>
      </w:pPr>
      <w:r>
        <w:rPr>
          <w:sz w:val="22"/>
          <w:szCs w:val="22"/>
        </w:rPr>
        <w:lastRenderedPageBreak/>
        <w:t>1. “Antimicrobial Stewardship: Practical Approaches Learning Seminars,” invited seminar series delivered at three Oregon venues: Lane Community College, Eugene, OR (May 24, 2013); Ambridge Event Center, Portland, OR (March 15, 2013); Salem Conference Center, Salem, OR (March 8, 2013).</w:t>
      </w:r>
    </w:p>
    <w:p w14:paraId="0F18D44E" w14:textId="77777777" w:rsidR="00454B73" w:rsidRDefault="00000000">
      <w:pPr>
        <w:spacing w:after="140"/>
        <w:ind w:left="360" w:hanging="360"/>
      </w:pPr>
      <w:r>
        <w:rPr>
          <w:sz w:val="22"/>
          <w:szCs w:val="22"/>
        </w:rPr>
        <w:t>2. Guest lecture series, “Measures of Data Accuracy: Performance Benchmarks,” Group Health Epi 101 (November 9, 2015).</w:t>
      </w:r>
    </w:p>
    <w:p w14:paraId="4695808A" w14:textId="77777777" w:rsidR="00454B73" w:rsidRDefault="00000000">
      <w:pPr>
        <w:spacing w:before="220" w:after="80"/>
      </w:pPr>
      <w:r>
        <w:rPr>
          <w:b/>
          <w:bCs/>
          <w:i/>
          <w:iCs/>
          <w:sz w:val="22"/>
          <w:szCs w:val="22"/>
        </w:rPr>
        <w:t>Posters</w:t>
      </w:r>
    </w:p>
    <w:p w14:paraId="7070FD8E" w14:textId="77777777" w:rsidR="00454B73" w:rsidRDefault="00000000">
      <w:pPr>
        <w:spacing w:after="140"/>
        <w:ind w:left="360" w:hanging="360"/>
      </w:pPr>
      <w:r>
        <w:rPr>
          <w:sz w:val="22"/>
          <w:szCs w:val="22"/>
        </w:rPr>
        <w:t xml:space="preserve">1. Reed, S. (Author), </w:t>
      </w:r>
      <w:proofErr w:type="spellStart"/>
      <w:r>
        <w:rPr>
          <w:sz w:val="22"/>
          <w:szCs w:val="22"/>
        </w:rPr>
        <w:t>Onchee</w:t>
      </w:r>
      <w:proofErr w:type="spellEnd"/>
      <w:r>
        <w:rPr>
          <w:sz w:val="22"/>
          <w:szCs w:val="22"/>
        </w:rPr>
        <w:t>, Y. (Author), Arao, R. F. (Author), et al., “A US Study of Endometriosis and Adenomyosis: Incidence, Prevalence and Secular Trends in a Population-Based Cohort, 2006–2015,” submitted to the 13th World Congress on Endometriosis.</w:t>
      </w:r>
    </w:p>
    <w:p w14:paraId="575FDC3C" w14:textId="77777777" w:rsidR="00454B73" w:rsidRDefault="00000000">
      <w:pPr>
        <w:spacing w:after="140"/>
        <w:ind w:left="360" w:hanging="360"/>
      </w:pPr>
      <w:r>
        <w:rPr>
          <w:sz w:val="22"/>
          <w:szCs w:val="22"/>
        </w:rPr>
        <w:t>2. Shrestha, P., Yonemochi, R., Ouyang, G., Henderson, M., &amp; Arao, R. F., “Adjudicated Drug-Related ILD Toxicity Profile in Chinese Patients Treated with Trastuzumab Deruxtecan (T-DXd),” 5th Annual Global Medical Safety (GMS) Meeting, FY2026, Daiichi Sankyo (September 29–30, 2026).</w:t>
      </w:r>
    </w:p>
    <w:p w14:paraId="1390C7C3" w14:textId="77777777" w:rsidR="00454B73" w:rsidRDefault="00000000">
      <w:pPr>
        <w:spacing w:after="140"/>
        <w:ind w:left="360" w:hanging="360"/>
      </w:pPr>
      <w:r>
        <w:rPr>
          <w:sz w:val="22"/>
          <w:szCs w:val="22"/>
        </w:rPr>
        <w:t>3. Kandil, M., Chen, X., Drinkwater, C., &amp; Arao, R. F., “Effectiveness of Steroid Pulse Therapy in Managing Severe Adjudicated Drug-Related ILD,” 5th Annual Global Medical Safety (GMS) Meeting, FY2026, Daiichi Sankyo (September 29–30, 2026).</w:t>
      </w:r>
    </w:p>
    <w:p w14:paraId="344C2EC6" w14:textId="77777777" w:rsidR="00454B73" w:rsidRDefault="00000000">
      <w:pPr>
        <w:spacing w:after="140"/>
        <w:ind w:left="360" w:hanging="360"/>
      </w:pPr>
      <w:r>
        <w:rPr>
          <w:sz w:val="22"/>
          <w:szCs w:val="22"/>
        </w:rPr>
        <w:t>4. Zhang, D., Cavalera, F., Haraguchi, M., Yang, J., Doherty, B., &amp; Arao, R. F., “Conducting Safety Analyses in Practice: The Fatigue Analysis Experience,” 5th Annual Global Medical Safety (GMS) Meeting, FY2026, Daiichi Sankyo (September 29–30, 2026).</w:t>
      </w:r>
    </w:p>
    <w:p w14:paraId="39BC1F1B" w14:textId="77777777" w:rsidR="00454B73" w:rsidRDefault="00000000">
      <w:pPr>
        <w:pBdr>
          <w:bottom w:val="single" w:sz="4" w:space="2" w:color="1A1A1A"/>
        </w:pBdr>
        <w:spacing w:before="300" w:after="100"/>
      </w:pPr>
      <w:r>
        <w:rPr>
          <w:b/>
          <w:bCs/>
          <w:sz w:val="24"/>
          <w:szCs w:val="24"/>
        </w:rPr>
        <w:t>GRANTS AND FELLOWSHIPS</w:t>
      </w:r>
    </w:p>
    <w:p w14:paraId="010225A8" w14:textId="77777777" w:rsidR="00454B73" w:rsidRDefault="00000000">
      <w:pPr>
        <w:spacing w:after="140" w:line="276" w:lineRule="auto"/>
        <w:jc w:val="both"/>
      </w:pPr>
      <w:r>
        <w:rPr>
          <w:sz w:val="22"/>
          <w:szCs w:val="22"/>
        </w:rPr>
        <w:t xml:space="preserve">Bayesian Signal Detection for Early Warning of Cost Growth and Schedule Risk in Defense Acquisition. White paper submitted to the Naval Postgraduate School Acquisition Research Program, FOA N00244-26-S-NPS-F001 (September 2026). Role: Key Personnel and lead author of the white paper. Victor R. Prybutok, PhD, is Principal Investigator, since PI eligibility required a faculty appointment. </w:t>
      </w:r>
      <w:proofErr w:type="gramStart"/>
      <w:r>
        <w:rPr>
          <w:sz w:val="22"/>
          <w:szCs w:val="22"/>
        </w:rPr>
        <w:t>Requested</w:t>
      </w:r>
      <w:proofErr w:type="gramEnd"/>
      <w:r>
        <w:rPr>
          <w:sz w:val="22"/>
          <w:szCs w:val="22"/>
        </w:rPr>
        <w:t>: $245,726 for 12 months (November 2026 to October 2027). Status: under review.</w:t>
      </w:r>
    </w:p>
    <w:p w14:paraId="4A6B3F26" w14:textId="77777777" w:rsidR="00454B73" w:rsidRDefault="00000000">
      <w:pPr>
        <w:spacing w:after="140" w:line="276" w:lineRule="auto"/>
        <w:jc w:val="both"/>
      </w:pPr>
      <w:r>
        <w:rPr>
          <w:sz w:val="22"/>
          <w:szCs w:val="22"/>
        </w:rPr>
        <w:t>PhD Fellowship in Biosimilar Development, U.S. Food &amp; Drug Administration. Applied statistical equivalence testing and real-world evidence synthesis to support regulatory evaluation of biosimilar interchangeability, including an IL-5 pathway biosimilar in eosinophilic asthma. May 2023 – May 2024.</w:t>
      </w:r>
    </w:p>
    <w:p w14:paraId="0F627996" w14:textId="77777777" w:rsidR="00454B73" w:rsidRDefault="00000000">
      <w:pPr>
        <w:spacing w:after="140" w:line="276" w:lineRule="auto"/>
        <w:jc w:val="both"/>
      </w:pPr>
      <w:r>
        <w:rPr>
          <w:sz w:val="22"/>
          <w:szCs w:val="22"/>
        </w:rPr>
        <w:t>2016 Summer Institute of Biostatistics: Mathematical Models of Infectious Diseases; Stochastic Epidemic Models with Inference.</w:t>
      </w:r>
    </w:p>
    <w:p w14:paraId="4FDF3A32" w14:textId="77777777" w:rsidR="00454B73" w:rsidRDefault="00000000">
      <w:pPr>
        <w:pBdr>
          <w:bottom w:val="single" w:sz="4" w:space="2" w:color="1A1A1A"/>
        </w:pBdr>
        <w:spacing w:before="300" w:after="100"/>
      </w:pPr>
      <w:r>
        <w:rPr>
          <w:b/>
          <w:bCs/>
          <w:sz w:val="24"/>
          <w:szCs w:val="24"/>
        </w:rPr>
        <w:t>PROFESSIONAL DEVELOPMENT ACTIVITIES</w:t>
      </w:r>
    </w:p>
    <w:p w14:paraId="41C86DAD" w14:textId="77777777" w:rsidR="00454B73" w:rsidRDefault="00000000">
      <w:pPr>
        <w:pStyle w:val="ListParagraph"/>
        <w:numPr>
          <w:ilvl w:val="0"/>
          <w:numId w:val="1"/>
        </w:numPr>
        <w:spacing w:after="60"/>
      </w:pPr>
      <w:r>
        <w:rPr>
          <w:sz w:val="22"/>
          <w:szCs w:val="22"/>
        </w:rPr>
        <w:t>Python Institute: Certified Associate in Python Programming (2019)</w:t>
      </w:r>
    </w:p>
    <w:p w14:paraId="412453B3" w14:textId="77777777" w:rsidR="00454B73" w:rsidRDefault="00000000">
      <w:pPr>
        <w:pStyle w:val="ListParagraph"/>
        <w:numPr>
          <w:ilvl w:val="0"/>
          <w:numId w:val="1"/>
        </w:numPr>
        <w:spacing w:after="60"/>
      </w:pPr>
      <w:r>
        <w:rPr>
          <w:sz w:val="22"/>
          <w:szCs w:val="22"/>
        </w:rPr>
        <w:t>Springboard Intermediate Data Science: Python (2018), capstone machine learning project reviewed by an independent industry expert</w:t>
      </w:r>
    </w:p>
    <w:p w14:paraId="29ABC94E" w14:textId="77777777" w:rsidR="00454B73" w:rsidRDefault="00000000">
      <w:pPr>
        <w:pBdr>
          <w:bottom w:val="single" w:sz="4" w:space="2" w:color="1A1A1A"/>
        </w:pBdr>
        <w:spacing w:before="300" w:after="100"/>
      </w:pPr>
      <w:r>
        <w:rPr>
          <w:b/>
          <w:bCs/>
          <w:sz w:val="24"/>
          <w:szCs w:val="24"/>
        </w:rPr>
        <w:t>SELECTED TECHNICAL PROJECTS</w:t>
      </w:r>
    </w:p>
    <w:p w14:paraId="3E566F8E" w14:textId="77777777" w:rsidR="00454B73" w:rsidRDefault="00000000">
      <w:pPr>
        <w:spacing w:after="140" w:line="276" w:lineRule="auto"/>
        <w:jc w:val="both"/>
      </w:pPr>
      <w:r>
        <w:rPr>
          <w:i/>
          <w:iCs/>
          <w:sz w:val="22"/>
          <w:szCs w:val="22"/>
        </w:rPr>
        <w:t>Alongside formal biostatistics and data science work, maintains an active interest in applied hardware and voice-interface projects:</w:t>
      </w:r>
    </w:p>
    <w:p w14:paraId="15027999" w14:textId="77777777" w:rsidR="00454B73" w:rsidRDefault="00000000">
      <w:pPr>
        <w:pStyle w:val="ListParagraph"/>
        <w:numPr>
          <w:ilvl w:val="0"/>
          <w:numId w:val="1"/>
        </w:numPr>
        <w:spacing w:after="60"/>
      </w:pPr>
      <w:r>
        <w:rPr>
          <w:sz w:val="22"/>
          <w:szCs w:val="22"/>
        </w:rPr>
        <w:t>MORA (Mobile Robotic Arm): a Bluetooth- and voice-controlled robotic arm built on Arduino. Phase I Winner, World's Largest Arduino Maker Challenge 2016 (February 2016).</w:t>
      </w:r>
    </w:p>
    <w:p w14:paraId="1AFFA259" w14:textId="77777777" w:rsidR="00454B73" w:rsidRDefault="00000000">
      <w:pPr>
        <w:pStyle w:val="ListParagraph"/>
        <w:numPr>
          <w:ilvl w:val="0"/>
          <w:numId w:val="1"/>
        </w:numPr>
        <w:spacing w:after="60"/>
      </w:pPr>
      <w:r>
        <w:rPr>
          <w:sz w:val="22"/>
          <w:szCs w:val="22"/>
        </w:rPr>
        <w:t>Gauge: a biped walking robot built on an Arduino Mega, with servo-actuated legs, spring-loaded joints for shock absorption, and an ultrasonic sensor for obstacle detection.</w:t>
      </w:r>
    </w:p>
    <w:p w14:paraId="5C03F9E9" w14:textId="77777777" w:rsidR="00454B73" w:rsidRDefault="00000000">
      <w:pPr>
        <w:pStyle w:val="ListParagraph"/>
        <w:numPr>
          <w:ilvl w:val="0"/>
          <w:numId w:val="1"/>
        </w:numPr>
        <w:spacing w:after="60"/>
      </w:pPr>
      <w:r>
        <w:rPr>
          <w:sz w:val="22"/>
          <w:szCs w:val="22"/>
        </w:rPr>
        <w:t>Alexa Magic Mirror: a smart mirror with an integrated, voice-controlled Alexa skill. Runner-Up, Alexa Skill Building 101, Seattle, WA (June 2016).</w:t>
      </w:r>
    </w:p>
    <w:p w14:paraId="1F9747B9" w14:textId="77777777" w:rsidR="00454B73" w:rsidRDefault="00000000">
      <w:pPr>
        <w:pStyle w:val="ListParagraph"/>
        <w:numPr>
          <w:ilvl w:val="0"/>
          <w:numId w:val="1"/>
        </w:numPr>
        <w:spacing w:after="60"/>
      </w:pPr>
      <w:r>
        <w:rPr>
          <w:sz w:val="22"/>
          <w:szCs w:val="22"/>
        </w:rPr>
        <w:lastRenderedPageBreak/>
        <w:t>Alexa Skills, “Professor Shark” and “Water Facts”: two custom educational Alexa skills built as follow-on projects from Alexa Skill Building 101, sharing facts about sharks and the unique chemical properties of water, respectively.</w:t>
      </w:r>
    </w:p>
    <w:p w14:paraId="09A74327" w14:textId="77777777" w:rsidR="00454B73" w:rsidRDefault="00000000">
      <w:pPr>
        <w:pStyle w:val="ListParagraph"/>
        <w:numPr>
          <w:ilvl w:val="0"/>
          <w:numId w:val="1"/>
        </w:numPr>
        <w:spacing w:after="60"/>
      </w:pPr>
      <w:r>
        <w:rPr>
          <w:sz w:val="22"/>
          <w:szCs w:val="22"/>
        </w:rPr>
        <w:t>Spartan Trifecta: completed the Sprint, Super, and Beast obstacle course races within the same season (August 2022).</w:t>
      </w:r>
    </w:p>
    <w:p w14:paraId="70C7D275" w14:textId="77777777" w:rsidR="00454B73" w:rsidRDefault="00000000">
      <w:pPr>
        <w:pBdr>
          <w:bottom w:val="single" w:sz="4" w:space="2" w:color="1A1A1A"/>
        </w:pBdr>
        <w:spacing w:before="300" w:after="100"/>
      </w:pPr>
      <w:r>
        <w:rPr>
          <w:b/>
          <w:bCs/>
          <w:sz w:val="24"/>
          <w:szCs w:val="24"/>
        </w:rPr>
        <w:t>SERVICE ACTIVITIES</w:t>
      </w:r>
    </w:p>
    <w:p w14:paraId="3CE1C18C" w14:textId="77777777" w:rsidR="00454B73" w:rsidRDefault="00000000">
      <w:pPr>
        <w:spacing w:after="140" w:line="276" w:lineRule="auto"/>
        <w:jc w:val="both"/>
      </w:pPr>
      <w:r>
        <w:rPr>
          <w:sz w:val="22"/>
          <w:szCs w:val="22"/>
        </w:rPr>
        <w:t>Member, American Statistical Association (2016 – present).</w:t>
      </w:r>
    </w:p>
    <w:p w14:paraId="3BCAF931" w14:textId="77777777" w:rsidR="00454B73" w:rsidRDefault="00000000">
      <w:pPr>
        <w:spacing w:after="140" w:line="276" w:lineRule="auto"/>
        <w:jc w:val="both"/>
      </w:pPr>
      <w:r>
        <w:rPr>
          <w:sz w:val="22"/>
          <w:szCs w:val="22"/>
        </w:rPr>
        <w:t>Serve as a peer reviewer for three academic journals: Maternal &amp; Child Health Journal, Journal of Perinatology, and Vaccine (2015 – present).</w:t>
      </w:r>
    </w:p>
    <w:p w14:paraId="74C6A4C4" w14:textId="77777777" w:rsidR="00454B73" w:rsidRDefault="00000000">
      <w:pPr>
        <w:pBdr>
          <w:bottom w:val="single" w:sz="4" w:space="2" w:color="1A1A1A"/>
        </w:pBdr>
        <w:spacing w:before="300" w:after="100"/>
      </w:pPr>
      <w:r>
        <w:rPr>
          <w:b/>
          <w:bCs/>
          <w:sz w:val="24"/>
          <w:szCs w:val="24"/>
        </w:rPr>
        <w:t>MANUSCRIPT REVIEW ACTIVITIES</w:t>
      </w:r>
    </w:p>
    <w:p w14:paraId="03ABD67D" w14:textId="77777777" w:rsidR="00454B73" w:rsidRDefault="00000000">
      <w:pPr>
        <w:spacing w:after="140" w:line="276" w:lineRule="auto"/>
        <w:jc w:val="both"/>
      </w:pPr>
      <w:r>
        <w:rPr>
          <w:sz w:val="22"/>
          <w:szCs w:val="22"/>
        </w:rPr>
        <w:t>Peer Reviewer, Maternal &amp; Child Health Journal (2015 – present).</w:t>
      </w:r>
    </w:p>
    <w:p w14:paraId="72502072" w14:textId="77777777" w:rsidR="00454B73" w:rsidRDefault="00000000">
      <w:pPr>
        <w:spacing w:after="140" w:line="276" w:lineRule="auto"/>
        <w:jc w:val="both"/>
      </w:pPr>
      <w:r>
        <w:rPr>
          <w:sz w:val="22"/>
          <w:szCs w:val="22"/>
        </w:rPr>
        <w:t>Peer Reviewer, Journal of Perinatology (2015 – present).</w:t>
      </w:r>
    </w:p>
    <w:p w14:paraId="06F9A79C" w14:textId="77777777" w:rsidR="00454B73" w:rsidRDefault="00000000">
      <w:pPr>
        <w:spacing w:after="140" w:line="276" w:lineRule="auto"/>
        <w:jc w:val="both"/>
      </w:pPr>
      <w:r>
        <w:rPr>
          <w:sz w:val="22"/>
          <w:szCs w:val="22"/>
        </w:rPr>
        <w:t>Peer Reviewer, Vaccine (2015 – present).</w:t>
      </w:r>
    </w:p>
    <w:p w14:paraId="329FB841" w14:textId="77777777" w:rsidR="00454B73" w:rsidRDefault="00000000">
      <w:r>
        <w:br w:type="page"/>
      </w:r>
    </w:p>
    <w:p w14:paraId="346C7260" w14:textId="77777777" w:rsidR="00454B73" w:rsidRDefault="00000000">
      <w:pPr>
        <w:spacing w:after="200"/>
        <w:jc w:val="center"/>
      </w:pPr>
      <w:r>
        <w:rPr>
          <w:b/>
          <w:bCs/>
          <w:sz w:val="26"/>
          <w:szCs w:val="26"/>
        </w:rPr>
        <w:lastRenderedPageBreak/>
        <w:t>Research Statement</w:t>
      </w:r>
    </w:p>
    <w:p w14:paraId="3F6CA1C5" w14:textId="77777777" w:rsidR="00454B73" w:rsidRDefault="00000000">
      <w:pPr>
        <w:spacing w:after="140" w:line="276" w:lineRule="auto"/>
        <w:jc w:val="both"/>
      </w:pPr>
      <w:r>
        <w:rPr>
          <w:sz w:val="22"/>
          <w:szCs w:val="22"/>
        </w:rPr>
        <w:t>My research sits at the intersection of biostatistics, clinical trial methodology, and data science. It is grounded in fifteen-plus years on the statistical side of drug development. That work runs from Phase I through III trials at Daiichi Sankyo and Fred Hutch Cancer Research to a PhD Fellowship at the U.S. Food and Drug Administration. That applied foundation shaped my dissertation directly. It develops a Bayesian framework for dynamic signal-to-noise detection in high-dimensional, multi-source clinical data, built to integrate data sources rather than treat each stream in isolation. The motivating problem is one I have met repeatedly in industry. Clinical research generates data from many sources, including EHR, claims, trial case report forms, and patient-reported outcomes. The signal that matters for retention and workflow decisions is often buried in noise that spans those sources rather than living in any one of them. In a small-sample clinical setting, my framework raised detection sensitivity from 0.79 to 0.91 over a gold-standard baseline while keeping every prediction auditable.</w:t>
      </w:r>
    </w:p>
    <w:p w14:paraId="4586D4B0" w14:textId="77777777" w:rsidR="00454B73" w:rsidRDefault="00000000">
      <w:pPr>
        <w:spacing w:after="140" w:line="276" w:lineRule="auto"/>
        <w:jc w:val="both"/>
      </w:pPr>
      <w:r>
        <w:rPr>
          <w:sz w:val="22"/>
          <w:szCs w:val="22"/>
        </w:rPr>
        <w:t>This research stream builds on a substantive record of applied biostatistical work. I was first author on a study of influenza vaccination attitudes among prenatal care providers (Maternal and Child Health Journal, 2015). I also served as a contributing biostatistician on national mammography performance benchmark studies published in Radiology and JAMA Internal Medicine. That work taught me to turn large observational and registry datasets into benchmarks that inform clinical practice and public health guidance. My recent work extends this in an interdisciplinary direction through two manuscripts under review. One applies PLS-SEM structural equation modeling to participant retention in clinical research (Journal of Clinical Epidemiology). The other analyzes Air Force, Navy, and Army definitive contracts and shows that pricing structure, not competition, drives cost growth (Decision Sciences). Both carry methods built for clinical trials into the information science and decision sciences literatures, reflecting the interdisciplinary training of my doctoral program.</w:t>
      </w:r>
    </w:p>
    <w:p w14:paraId="609A40C6" w14:textId="77777777" w:rsidR="00454B73" w:rsidRDefault="00000000">
      <w:pPr>
        <w:spacing w:after="140" w:line="276" w:lineRule="auto"/>
        <w:jc w:val="both"/>
      </w:pPr>
      <w:r>
        <w:rPr>
          <w:sz w:val="22"/>
          <w:szCs w:val="22"/>
        </w:rPr>
        <w:t xml:space="preserve">A second, closely related research stream examines how information and risk move through organizational and service-delivery systems. The central question is not only how to detect </w:t>
      </w:r>
      <w:proofErr w:type="gramStart"/>
      <w:r>
        <w:rPr>
          <w:sz w:val="22"/>
          <w:szCs w:val="22"/>
        </w:rPr>
        <w:t>signal</w:t>
      </w:r>
      <w:proofErr w:type="gramEnd"/>
      <w:r>
        <w:rPr>
          <w:sz w:val="22"/>
          <w:szCs w:val="22"/>
        </w:rPr>
        <w:t xml:space="preserve"> within a single dataset. It is also how information moves, degrades, or gets reconstructed as it passes between teams, systems, and organizational boundaries. My manuscript on information signaling and service process stability develops a structural framework for explaining and mitigating latent customer and patient churn. I am now revising it for submission to a new journal. My defense contracting work applies the same lens to public-sector acquisition. Building on it, I am Key Personnel and lead author on a white paper under review with the Naval Postgraduate School Acquisition Research Program. It proposes adapting my dissertation framework into an auditable early-warning tool for cost growth and schedule risk in defense contracts. This is not a departure from my clinical work; it is its natural extension. The thinking that finds where signal gets lost across clinical data sources applies equally to the clinical, regulatory, and operational boundaries every complex organization must manage. This stream reflects a PhD housed in Information Science rather than Biostatistics, and it is the part of my agenda I most want to grow. It also grounds my teaching in management science and decision sciences.</w:t>
      </w:r>
    </w:p>
    <w:p w14:paraId="18B3C7CB" w14:textId="77777777" w:rsidR="00454B73" w:rsidRDefault="00000000">
      <w:pPr>
        <w:spacing w:after="140" w:line="276" w:lineRule="auto"/>
        <w:jc w:val="both"/>
      </w:pPr>
      <w:r>
        <w:rPr>
          <w:sz w:val="22"/>
          <w:szCs w:val="22"/>
        </w:rPr>
        <w:t xml:space="preserve">Going forward, I will keep developing signal-detection and data-integration methods with direct application to clinical trial operations. Priorities include patient retention modeling, adaptive dose-finding designs, and real-world evidence synthesis for regulatory submissions. I am also co-authoring a book on explainable AI (XAI), now under proposal review at Springer Publishing Company, which carries the glass-box principle of my dissertation to a broader audience. The Acquisition Research Program white paper is my first step toward extramural funding for this agenda. I will continue publishing in clinical and biostatistical journals and in the information science and management science </w:t>
      </w:r>
      <w:proofErr w:type="gramStart"/>
      <w:r>
        <w:rPr>
          <w:sz w:val="22"/>
          <w:szCs w:val="22"/>
        </w:rPr>
        <w:t>literatures</w:t>
      </w:r>
      <w:proofErr w:type="gramEnd"/>
      <w:r>
        <w:rPr>
          <w:sz w:val="22"/>
          <w:szCs w:val="22"/>
        </w:rPr>
        <w:t xml:space="preserve"> that shaped my doctoral training. I am most committed to collaborative research at the boundary between rigorous quantitative methods and how clinical research, and the organizations behind it, </w:t>
      </w:r>
      <w:proofErr w:type="gramStart"/>
      <w:r>
        <w:rPr>
          <w:sz w:val="22"/>
          <w:szCs w:val="22"/>
        </w:rPr>
        <w:t>actually function</w:t>
      </w:r>
      <w:proofErr w:type="gramEnd"/>
      <w:r>
        <w:rPr>
          <w:sz w:val="22"/>
          <w:szCs w:val="22"/>
        </w:rPr>
        <w:t>.</w:t>
      </w:r>
    </w:p>
    <w:p w14:paraId="440484BF" w14:textId="77777777" w:rsidR="00454B73" w:rsidRDefault="00000000">
      <w:r>
        <w:br w:type="page"/>
      </w:r>
    </w:p>
    <w:p w14:paraId="7C657098" w14:textId="77777777" w:rsidR="00454B73" w:rsidRDefault="00000000">
      <w:pPr>
        <w:spacing w:after="200"/>
        <w:jc w:val="center"/>
      </w:pPr>
      <w:r>
        <w:rPr>
          <w:b/>
          <w:bCs/>
          <w:sz w:val="26"/>
          <w:szCs w:val="26"/>
        </w:rPr>
        <w:lastRenderedPageBreak/>
        <w:t>Teaching Philosophy</w:t>
      </w:r>
    </w:p>
    <w:p w14:paraId="5A9D75EC" w14:textId="77777777" w:rsidR="00454B73" w:rsidRDefault="00000000">
      <w:pPr>
        <w:spacing w:after="140" w:line="276" w:lineRule="auto"/>
        <w:jc w:val="both"/>
      </w:pPr>
      <w:r>
        <w:rPr>
          <w:sz w:val="22"/>
          <w:szCs w:val="22"/>
        </w:rPr>
        <w:t xml:space="preserve">My approach to teaching is shaped by the same instinct that drives my research. Theory earns its place in the classroom only when students can see exactly how it connects to a problem they might </w:t>
      </w:r>
      <w:proofErr w:type="gramStart"/>
      <w:r>
        <w:rPr>
          <w:sz w:val="22"/>
          <w:szCs w:val="22"/>
        </w:rPr>
        <w:t>actually face</w:t>
      </w:r>
      <w:proofErr w:type="gramEnd"/>
      <w:r>
        <w:rPr>
          <w:sz w:val="22"/>
          <w:szCs w:val="22"/>
        </w:rPr>
        <w:t>. As Instructor of Record for INFO 4670, Data Analysis and Knowledge Discovery, at the University of North Texas, I built the course around this principle. I introduced data mining and knowledge discovery concepts alongside the software and analytical tools students need to use them, rather than as separate tracks. Having spent over a decade applying these techniques in pharmaceutical, public health, and academic research, I bring real analytical problems, not just textbook exercises, into the classroom.</w:t>
      </w:r>
    </w:p>
    <w:p w14:paraId="65C1BE91" w14:textId="77777777" w:rsidR="00454B73" w:rsidRDefault="00000000">
      <w:pPr>
        <w:spacing w:after="140" w:line="276" w:lineRule="auto"/>
        <w:jc w:val="both"/>
      </w:pPr>
      <w:r>
        <w:rPr>
          <w:sz w:val="22"/>
          <w:szCs w:val="22"/>
        </w:rPr>
        <w:t>Students learn data analysis best when they work with data that carries the messiness of real research. Missing values, inconsistent formats, and ambiguous signal are the hardest and most instructive parts of the work, and pre-cleaned exercises hide them. Two earlier experiences confirmed this: my guest lecture series on data accuracy for Group Health’s Epi 101 course, and my teaching assistant work in environmental epidemiology at Oregon Health &amp; Science University. In both, technical material landed best when anchored to a concrete decision the data was meant to inform. At Group Health, that meant framing sensitivity, specificity, and predictive value as the actual criteria for deciding whether a screening test is good enough to act on.</w:t>
      </w:r>
    </w:p>
    <w:p w14:paraId="54B8A6BA" w14:textId="77777777" w:rsidR="00454B73" w:rsidRDefault="00000000">
      <w:pPr>
        <w:spacing w:after="140" w:line="276" w:lineRule="auto"/>
        <w:jc w:val="both"/>
      </w:pPr>
      <w:r>
        <w:rPr>
          <w:sz w:val="22"/>
          <w:szCs w:val="22"/>
        </w:rPr>
        <w:t xml:space="preserve">In an academic teaching role, I will keep building courses that pair statistical and data science methods with applied, industry-grounded case material. Clinical trial design, biostatistics, and applied machine learning should feel like tools students can immediately see themselves using, not isolated technical skills. My research on information signaling, service process stability, and defense acquisition also prepares me to </w:t>
      </w:r>
      <w:proofErr w:type="gramStart"/>
      <w:r>
        <w:rPr>
          <w:sz w:val="22"/>
          <w:szCs w:val="22"/>
        </w:rPr>
        <w:t>teach in</w:t>
      </w:r>
      <w:proofErr w:type="gramEnd"/>
      <w:r>
        <w:rPr>
          <w:sz w:val="22"/>
          <w:szCs w:val="22"/>
        </w:rPr>
        <w:t xml:space="preserve"> management science and decision sciences. That includes courses on organizational information flow, service quality, explainable AI, and data-driven decision-making. This range lets me contribute to biostatistics and public health programs as well as information science and business analytics departments.</w:t>
      </w:r>
    </w:p>
    <w:p w14:paraId="4AE1168B" w14:textId="77777777" w:rsidR="00454B73" w:rsidRDefault="00000000">
      <w:r>
        <w:br w:type="page"/>
      </w:r>
    </w:p>
    <w:p w14:paraId="382ABEB1" w14:textId="77777777" w:rsidR="00454B73" w:rsidRDefault="00000000">
      <w:pPr>
        <w:spacing w:after="200"/>
        <w:jc w:val="center"/>
      </w:pPr>
      <w:r>
        <w:rPr>
          <w:b/>
          <w:bCs/>
          <w:sz w:val="26"/>
          <w:szCs w:val="26"/>
        </w:rPr>
        <w:lastRenderedPageBreak/>
        <w:t>Service Statement</w:t>
      </w:r>
    </w:p>
    <w:p w14:paraId="5AE2713A" w14:textId="77777777" w:rsidR="00454B73" w:rsidRDefault="00000000">
      <w:pPr>
        <w:spacing w:after="140" w:line="276" w:lineRule="auto"/>
        <w:jc w:val="both"/>
      </w:pPr>
      <w:r>
        <w:rPr>
          <w:sz w:val="22"/>
          <w:szCs w:val="22"/>
        </w:rPr>
        <w:t xml:space="preserve">My service contributions to date center on peer review and professional society engagement, built while balancing full-time industry work with doctoral training. Since 2015, I have served as a peer reviewer for three journals: Maternal &amp; Child Health Journal, Journal of Perinatology, and Vaccine. I take that role seriously </w:t>
      </w:r>
      <w:proofErr w:type="gramStart"/>
      <w:r>
        <w:rPr>
          <w:sz w:val="22"/>
          <w:szCs w:val="22"/>
        </w:rPr>
        <w:t>as a way to</w:t>
      </w:r>
      <w:proofErr w:type="gramEnd"/>
      <w:r>
        <w:rPr>
          <w:sz w:val="22"/>
          <w:szCs w:val="22"/>
        </w:rPr>
        <w:t xml:space="preserve"> protect the rigor of the biostatistical and public health literature I also publish in. I have been a member of the American Statistical Association since 2016. That membership has helped me stay current as biostatistics and data science have evolved rapidly over the past decade.</w:t>
      </w:r>
    </w:p>
    <w:p w14:paraId="3C1EB19C" w14:textId="77777777" w:rsidR="00454B73" w:rsidRDefault="00000000">
      <w:pPr>
        <w:spacing w:after="140" w:line="276" w:lineRule="auto"/>
        <w:jc w:val="both"/>
      </w:pPr>
      <w:r>
        <w:rPr>
          <w:sz w:val="22"/>
          <w:szCs w:val="22"/>
        </w:rPr>
        <w:t>Having completed my PhD, I will expand my service in directions that match my expertise as I move further into academia. These include editorial and review work in biostatistics and clinical trial methodology, and mentoring students who bridge quantitative training with applied industry experience. My own path across pharmaceutical, public health, and academic settings gives me a perspective I believe is useful to students facing similar choices.</w:t>
      </w:r>
    </w:p>
    <w:sectPr w:rsidR="00454B73">
      <w:headerReference w:type="default" r:id="rId29"/>
      <w:footerReference w:type="default" r:id="rId30"/>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4DD8E" w14:textId="77777777" w:rsidR="00396553" w:rsidRDefault="00396553">
      <w:r>
        <w:separator/>
      </w:r>
    </w:p>
  </w:endnote>
  <w:endnote w:type="continuationSeparator" w:id="0">
    <w:p w14:paraId="17067456" w14:textId="77777777" w:rsidR="00396553" w:rsidRDefault="00396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DDEC7" w14:textId="77777777" w:rsidR="004C3674" w:rsidRDefault="004C36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AD72" w14:textId="77777777" w:rsidR="00396553" w:rsidRDefault="00396553">
      <w:r>
        <w:separator/>
      </w:r>
    </w:p>
  </w:footnote>
  <w:footnote w:type="continuationSeparator" w:id="0">
    <w:p w14:paraId="710A2E07" w14:textId="77777777" w:rsidR="00396553" w:rsidRDefault="003965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BF44" w14:textId="77777777" w:rsidR="004C3674" w:rsidRDefault="004C367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247858"/>
    <w:multiLevelType w:val="hybridMultilevel"/>
    <w:tmpl w:val="4DFAD73E"/>
    <w:lvl w:ilvl="0" w:tplc="F6888426">
      <w:start w:val="1"/>
      <w:numFmt w:val="bullet"/>
      <w:lvlText w:val="●"/>
      <w:lvlJc w:val="left"/>
      <w:pPr>
        <w:ind w:left="720" w:hanging="360"/>
      </w:pPr>
    </w:lvl>
    <w:lvl w:ilvl="1" w:tplc="1CF8D34E">
      <w:start w:val="1"/>
      <w:numFmt w:val="bullet"/>
      <w:lvlText w:val="○"/>
      <w:lvlJc w:val="left"/>
      <w:pPr>
        <w:ind w:left="1440" w:hanging="360"/>
      </w:pPr>
    </w:lvl>
    <w:lvl w:ilvl="2" w:tplc="FAB0C986">
      <w:start w:val="1"/>
      <w:numFmt w:val="bullet"/>
      <w:lvlText w:val="■"/>
      <w:lvlJc w:val="left"/>
      <w:pPr>
        <w:ind w:left="2160" w:hanging="360"/>
      </w:pPr>
    </w:lvl>
    <w:lvl w:ilvl="3" w:tplc="B7722186">
      <w:start w:val="1"/>
      <w:numFmt w:val="bullet"/>
      <w:lvlText w:val="●"/>
      <w:lvlJc w:val="left"/>
      <w:pPr>
        <w:ind w:left="2880" w:hanging="360"/>
      </w:pPr>
    </w:lvl>
    <w:lvl w:ilvl="4" w:tplc="61624C52">
      <w:start w:val="1"/>
      <w:numFmt w:val="bullet"/>
      <w:lvlText w:val="○"/>
      <w:lvlJc w:val="left"/>
      <w:pPr>
        <w:ind w:left="3600" w:hanging="360"/>
      </w:pPr>
    </w:lvl>
    <w:lvl w:ilvl="5" w:tplc="35F8EFC2">
      <w:start w:val="1"/>
      <w:numFmt w:val="bullet"/>
      <w:lvlText w:val="■"/>
      <w:lvlJc w:val="left"/>
      <w:pPr>
        <w:ind w:left="4320" w:hanging="360"/>
      </w:pPr>
    </w:lvl>
    <w:lvl w:ilvl="6" w:tplc="663C6462">
      <w:start w:val="1"/>
      <w:numFmt w:val="bullet"/>
      <w:lvlText w:val="●"/>
      <w:lvlJc w:val="left"/>
      <w:pPr>
        <w:ind w:left="5040" w:hanging="360"/>
      </w:pPr>
    </w:lvl>
    <w:lvl w:ilvl="7" w:tplc="5E3A59B8">
      <w:start w:val="1"/>
      <w:numFmt w:val="bullet"/>
      <w:lvlText w:val="●"/>
      <w:lvlJc w:val="left"/>
      <w:pPr>
        <w:ind w:left="5760" w:hanging="360"/>
      </w:pPr>
    </w:lvl>
    <w:lvl w:ilvl="8" w:tplc="7CE6ED68">
      <w:start w:val="1"/>
      <w:numFmt w:val="bullet"/>
      <w:lvlText w:val="●"/>
      <w:lvlJc w:val="left"/>
      <w:pPr>
        <w:ind w:left="6480" w:hanging="360"/>
      </w:pPr>
    </w:lvl>
  </w:abstractNum>
  <w:num w:numId="1" w16cid:durableId="5315798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B73"/>
    <w:rsid w:val="00013365"/>
    <w:rsid w:val="00065516"/>
    <w:rsid w:val="001C4F47"/>
    <w:rsid w:val="0025307E"/>
    <w:rsid w:val="002931AC"/>
    <w:rsid w:val="002D3047"/>
    <w:rsid w:val="00357F43"/>
    <w:rsid w:val="00396553"/>
    <w:rsid w:val="003D0452"/>
    <w:rsid w:val="003E5A8F"/>
    <w:rsid w:val="004236D6"/>
    <w:rsid w:val="00437A2F"/>
    <w:rsid w:val="00454B73"/>
    <w:rsid w:val="004C3674"/>
    <w:rsid w:val="005624F4"/>
    <w:rsid w:val="00570EB1"/>
    <w:rsid w:val="0072381A"/>
    <w:rsid w:val="00AD0031"/>
    <w:rsid w:val="00B9124E"/>
    <w:rsid w:val="00E6665E"/>
    <w:rsid w:val="00F73DAB"/>
    <w:rsid w:val="00FB1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CD12D"/>
  <w15:docId w15:val="{9DE2D529-6770-438F-9436-E66A1B3FE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robarao" TargetMode="External"/><Relationship Id="rId13" Type="http://schemas.openxmlformats.org/officeDocument/2006/relationships/hyperlink" Target="https://doi.org/10.1093/cid/ciaf221" TargetMode="External"/><Relationship Id="rId18" Type="http://schemas.openxmlformats.org/officeDocument/2006/relationships/hyperlink" Target="https://doi.org/10.1001/jamainternmed.2018.8372" TargetMode="External"/><Relationship Id="rId26" Type="http://schemas.openxmlformats.org/officeDocument/2006/relationships/hyperlink" Target="https://doi.org/10.1093/ofid/ofu052.83" TargetMode="External"/><Relationship Id="rId3" Type="http://schemas.openxmlformats.org/officeDocument/2006/relationships/settings" Target="settings.xml"/><Relationship Id="rId21" Type="http://schemas.openxmlformats.org/officeDocument/2006/relationships/hyperlink" Target="https://doi.org/10.1186/s13058-017-0828-3" TargetMode="External"/><Relationship Id="rId7" Type="http://schemas.openxmlformats.org/officeDocument/2006/relationships/hyperlink" Target="https://robarao.github.io" TargetMode="External"/><Relationship Id="rId12" Type="http://schemas.openxmlformats.org/officeDocument/2006/relationships/hyperlink" Target="https://orcid.org/0000-0002-4935-338X" TargetMode="External"/><Relationship Id="rId17" Type="http://schemas.openxmlformats.org/officeDocument/2006/relationships/hyperlink" Target="https://doi.org/10.1186/s12913-019-4875-6" TargetMode="External"/><Relationship Id="rId25" Type="http://schemas.openxmlformats.org/officeDocument/2006/relationships/hyperlink" Target="https://doi.org/10.1093/ofid/ofu052.84" TargetMode="External"/><Relationship Id="rId2" Type="http://schemas.openxmlformats.org/officeDocument/2006/relationships/styles" Target="styles.xml"/><Relationship Id="rId16" Type="http://schemas.openxmlformats.org/officeDocument/2006/relationships/hyperlink" Target="https://doi.org/10.1377/hlthaff.2019.01714" TargetMode="External"/><Relationship Id="rId20" Type="http://schemas.openxmlformats.org/officeDocument/2006/relationships/hyperlink" Target="https://doi.org/10.1148/radiol.2016161174"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ublic.tableau.com/app/profile/robert.arao5352/vizzes" TargetMode="External"/><Relationship Id="rId24" Type="http://schemas.openxmlformats.org/officeDocument/2006/relationships/hyperlink" Target="https://doi.org/10.1007/s10995-014-1569-x"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037/fsh0000523" TargetMode="External"/><Relationship Id="rId23" Type="http://schemas.openxmlformats.org/officeDocument/2006/relationships/hyperlink" Target="https://doi.org/10.1089/jwh.2016.6076" TargetMode="External"/><Relationship Id="rId28" Type="http://schemas.openxmlformats.org/officeDocument/2006/relationships/hyperlink" Target="https://doi.org/10.1016/j.meddos.2013.05.002" TargetMode="External"/><Relationship Id="rId10" Type="http://schemas.openxmlformats.org/officeDocument/2006/relationships/hyperlink" Target="https://www.researchgate.net/profile/Robert-Arao-3" TargetMode="External"/><Relationship Id="rId19" Type="http://schemas.openxmlformats.org/officeDocument/2006/relationships/hyperlink" Target="https://doi.org/10.1148/radiol.2017161519"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cholar.google.com/citations?hl=en&amp;user=I-EKBqkAAAAJ" TargetMode="External"/><Relationship Id="rId14" Type="http://schemas.openxmlformats.org/officeDocument/2006/relationships/hyperlink" Target="https://doi.org/10.1176/appi.ps.202000364" TargetMode="External"/><Relationship Id="rId22" Type="http://schemas.openxmlformats.org/officeDocument/2006/relationships/hyperlink" Target="https://doi.org/10.1158/1055-9965.EPI-17-0531" TargetMode="External"/><Relationship Id="rId27" Type="http://schemas.openxmlformats.org/officeDocument/2006/relationships/hyperlink" Target="https://doi.org/10.1086/675605"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4893</Words>
  <Characters>27894</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 Arao</cp:lastModifiedBy>
  <cp:revision>2</cp:revision>
  <dcterms:created xsi:type="dcterms:W3CDTF">2026-10-06T06:16:00Z</dcterms:created>
  <dcterms:modified xsi:type="dcterms:W3CDTF">2026-10-06T06:16:00Z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bb6d039e-f535-4afe-ab5c-655a9ef1b072</vt:lpwstr>
  </property>
</Properties>
</file>