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0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ECOSSISTEMA GENIUS — COLEÇÃO DE APOSTILAS</w:t>
      </w:r>
    </w:p>
    <w:p>
      <w:pPr>
        <w:spacing w:after="80" w:before="320"/>
        <w:jc w:val="center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Volume 03 de 11</w:t>
      </w:r>
    </w:p>
    <w:p>
      <w:pPr>
        <w:spacing w:after="400" w:before="400"/>
      </w:pPr>
      <w:r>
        <w:t xml:space="preserve"/>
      </w:r>
    </w:p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1A3C5E"/>
          <w:sz w:val="56"/>
          <w:szCs w:val="56"/>
        </w:rPr>
        <w:t xml:space="preserve">Genius HUB</w:t>
      </w:r>
    </w:p>
    <w:p>
      <w:pPr>
        <w:spacing w:after="80" w:before="80"/>
        <w:jc w:val="center"/>
      </w:pPr>
      <w:r>
        <w:rPr>
          <w:rFonts w:ascii="Arial" w:cs="Arial" w:eastAsia="Arial" w:hAnsi="Arial"/>
          <w:color w:val="2E6DA4"/>
          <w:sz w:val="28"/>
          <w:szCs w:val="28"/>
        </w:rPr>
        <w:t xml:space="preserve">O núcleo central — onde o ecossistema pensa e decide</w:t>
      </w:r>
    </w:p>
    <w:p>
      <w:pPr>
        <w:spacing w:after="600" w:before="600"/>
      </w:pPr>
      <w:r>
        <w:t xml:space="preserve"/>
      </w:r>
    </w:p>
    <w:p>
      <w:pPr>
        <w:pBdr>
          <w:bottom w:val="single" w:color="2E6DA4" w:sz="6" w:space="1"/>
        </w:pBdr>
        <w:spacing w:after="160" w:before="0"/>
      </w:pPr>
      <w:r>
        <w:t xml:space="preserv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8F5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2E6DA4"/>
                <w:sz w:val="20"/>
                <w:szCs w:val="20"/>
              </w:rPr>
              <w:t xml:space="preserve">Apostila 03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3C5E"/>
                <w:sz w:val="36"/>
                <w:szCs w:val="36"/>
              </w:rPr>
              <w:t xml:space="preserve">Genius HUB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22"/>
                <w:szCs w:val="22"/>
              </w:rPr>
              <w:t xml:space="preserve">O núcleo central — onde o ecossistema pensa e decide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3.1 O que é o Genius HUB</w:t>
      </w:r>
    </w:p>
    <w:p>
      <w:pPr>
        <w:spacing w:after="10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O Genius HUB é o núcleo do ecossistema — onde o processamento centralizado acontece, onde decisões de roteamento são tomadas, onde a memória compartilhada vive e onde as políticas de governança global são aplicadas.</w:t>
      </w:r>
    </w:p>
    <w:p>
      <w:pPr>
        <w:spacing w:after="10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Se o Genius IN é a recepção e os Genius Systems são as equipes de execução, o HUB é a liderança central: ele não executa o trabalho diretamente, mas garante que o trabalho certo seja feito pelo agente certo, com o contexto certo, dentro dos limites corretos.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6DA4" w:sz="6"/>
              <w:left w:val="single" w:color="2E6DA4" w:sz="12"/>
              <w:bottom w:val="single" w:color="CCCCCC" w:sz="1"/>
              <w:right w:val="single" w:color="CCCCCC" w:sz="1"/>
            </w:tcBorders>
            <w:shd w:fill="EFF6FB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HUB não é gargalo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Um HUB mal projetado vira gargalo. Um HUB bem projetado é multiplicador. A diferença está em quanto processamento acontece no HUB versus nos Systems. O HUB deve decidir e rotear — não executar. Execução fica nos Systems.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As quatro funções centrais do HUB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Roteamento inteligente — recebe do IN e decide qual System, Módulo ou Agente processa cada demanda.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Memória compartilhada — mantém o RAG central e o contexto que todos os agentes podem acessar.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Governança global — aplica os guardrails que valem para todo o ecossistema, independente do agente.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Observabilidade centralizada — agrega logs e métricas de todos os Systems para visão unificada.</w:t>
      </w:r>
    </w:p>
    <w:p>
      <w:pPr>
        <w:spacing w:after="120" w:before="12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3.2 Arquitetura do HUB — visão geral</w:t>
      </w:r>
    </w:p>
    <w:p>
      <w:pPr>
        <w:spacing w:after="10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O HUB é composto por quatro componentes internos que operam em conjunto. Cada componente tem responsabilidade exclusiva — sem sobreposição de função.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1"/>
                <w:szCs w:val="21"/>
              </w:rPr>
              <w:t xml:space="preserve">Componente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1"/>
                <w:szCs w:val="21"/>
              </w:rPr>
              <w:t xml:space="preserve">Responsabilidade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Roteador Central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Recebe demandas do IN e decide para qual System encaminhar, com qual prioridade e qual pacote de contexto.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Memória Compartilhada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RAG central com conhecimento acessível por todos os agentes. Atualizado por consolidações dos Systems.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Motor de Governança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Avalia cada demanda contra as políticas globais antes de rotear. Bloqueia, escala ou modifica conforme as regras.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Central de Observabilidade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Agrega logs, métricas e traces de todos os Systems. Gera alertas e relatórios de saúde do ecossistema.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3.3 Roteamento e priorização de tarefas</w:t>
      </w:r>
    </w:p>
    <w:p>
      <w:pPr>
        <w:spacing w:after="10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O roteamento é a função mais crítica do HUB. Uma decisão de roteamento errada — encaminhar para o agente errado, com prioridade errada ou sem o contexto adequado — compromete a qualidade de toda a entrega.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Como o HUB decide para onde rotear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Classifica a demanda por tipo, domínio e urgência com base no pacote entregue pelo Genius IN.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Verifica disponibilidade e carga atual dos Systems candidatos.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Aplica as regras de prioridade configuradas (urgência, tipo, usuário, SLA).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Monta o pacote de contexto para o System destino e executa o handoff.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1"/>
                <w:szCs w:val="21"/>
              </w:rPr>
              <w:t xml:space="preserve">Critério de roteamento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1"/>
                <w:szCs w:val="21"/>
              </w:rPr>
              <w:t xml:space="preserve">Como configurar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Por tipo de demanda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Mapa de tipos → System responsável. Ex: pesquisa → Atlas, atendimento → Echo.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Por urgência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Threshold de urgência que eleva a prioridade independente do tipo.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Por usuário/origem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Regras específicas para usuários VIP, sistemas críticos ou fontes confiáveis.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Por carga do System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Circuit breaker automático quando um System está sobrecarregado — rota para alternativa ou fila.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3.4 Memória compartilhada do HUB</w:t>
      </w:r>
    </w:p>
    <w:p>
      <w:pPr>
        <w:spacing w:after="10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O RAG central do HUB é diferente do RAG individual de cada agente. Enquanto o RAG do agente contém conhecimento do seu domínio específico, o RAG central contém conhecimento que todos os agentes precisam: políticas do ecossistema, contexto do cliente, histórico de interações, decisões estratégicas.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1"/>
                <w:szCs w:val="21"/>
              </w:rPr>
              <w:t xml:space="preserve">RAG individual do agente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1"/>
                <w:szCs w:val="21"/>
              </w:rPr>
              <w:t xml:space="preserve">RAG central do HUB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Conhecimento do domínio específico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Conhecimento transversal a todos os domínios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Atualizado pelo próprio agente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Atualizado por consolidações de todos os Systems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Acessível apenas pelo agente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Acessível por qualquer agente com permissão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Volume: domínio específico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Volume: visão institucional completa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6DA4" w:sz="6"/>
              <w:left w:val="single" w:color="2E6DA4" w:sz="12"/>
              <w:bottom w:val="single" w:color="CCCCCC" w:sz="1"/>
              <w:right w:val="single" w:color="CCCCCC" w:sz="1"/>
            </w:tcBorders>
            <w:shd w:fill="EFF6FB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Segundo Cérebro do HUB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Em ecossistemas maduros, o HUB pode ter seu próprio Segundo Cérebro — uma camada de síntese que conecta padrões de múltiplos Systems, identifica oportunidades de melhoria e gera insights que nenhum agente individual produziria. Esta é a implementação mais avançada da arquitetura.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3.5 Governança centralizada</w:t>
      </w:r>
    </w:p>
    <w:p>
      <w:pPr>
        <w:spacing w:after="10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O Motor de Governança do HUB aplica as políticas que valem para todo o ecossistema — independente de qual agente ou System está processando a demanda. São os guardrails globais que nenhum agente pode sobrescrever.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1"/>
                <w:szCs w:val="21"/>
              </w:rPr>
              <w:t xml:space="preserve">Tipo de guardrail global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1"/>
                <w:szCs w:val="21"/>
              </w:rPr>
              <w:t xml:space="preserve">Exemplos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Segurança e compliance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Nenhuma informação classificada sai do ecossistema sem aprovação humana explícita.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Privacidade de dados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Dados pessoais identificáveis são mascarados antes de qualquer processamento por LLM.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Limites de autonomia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Ações irreversíveis acima de determinado impacto exigem aprovação humana.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Qualidade mínima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Respostas abaixo do threshold de confiança são retidas para revisão antes da entrega.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3.6 Observabilidade do HUB</w:t>
      </w:r>
    </w:p>
    <w:p>
      <w:pPr>
        <w:spacing w:after="10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 Central de Observabilidade do HUB é o painel de controle do ecossistema. Ela agrega dados de todos os Systems e oferece uma visão unificada da saúde operacional, da performance e dos riscos do ecossistema como um todo.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1"/>
                <w:szCs w:val="21"/>
              </w:rPr>
              <w:t xml:space="preserve">O que monitorar no HUB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1"/>
                <w:szCs w:val="21"/>
              </w:rPr>
              <w:t xml:space="preserve">Por que importa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Tempo médio de roteamento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Roteamento lento indica sobrecarga no HUB ou critérios complexos demais.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Taxa de acertos de roteamento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Demandas encaminhadas para o agente errado geram retrabalho e erro.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Ativações de guardrail global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Alta frequência pode indicar problema no IN ou comportamento anômalo de um System.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Latência do RAG central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RAG lento trava o roteamento e degrada a experiência de todos os agentes.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Volume por System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Desequilíbrio de volume entre Systems pode indicar roteamento incorreto.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Checklist do Genius HUB</w:t>
      </w:r>
    </w:p>
    <w:p>
      <w:pPr>
        <w:spacing w:after="60" w:before="60"/>
      </w:pPr>
      <w:r>
        <w:rPr>
          <w:rFonts w:ascii="Arial" w:cs="Arial" w:eastAsia="Arial" w:hAnsi="Arial"/>
          <w:color w:val="2E6DA4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O Roteador Central tem critérios de roteamento documentados e testados com casos reais.</w:t>
      </w:r>
    </w:p>
    <w:p>
      <w:pPr>
        <w:spacing w:after="60" w:before="60"/>
      </w:pPr>
      <w:r>
        <w:rPr>
          <w:rFonts w:ascii="Arial" w:cs="Arial" w:eastAsia="Arial" w:hAnsi="Arial"/>
          <w:color w:val="2E6DA4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O RAG central tem política de atualização definida e frequência configurada.</w:t>
      </w:r>
    </w:p>
    <w:p>
      <w:pPr>
        <w:spacing w:after="60" w:before="60"/>
      </w:pPr>
      <w:r>
        <w:rPr>
          <w:rFonts w:ascii="Arial" w:cs="Arial" w:eastAsia="Arial" w:hAnsi="Arial"/>
          <w:color w:val="2E6DA4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O Motor de Governança tem todos os guardrails globais documentados e priorizados.</w:t>
      </w:r>
    </w:p>
    <w:p>
      <w:pPr>
        <w:spacing w:after="60" w:before="60"/>
      </w:pPr>
      <w:r>
        <w:rPr>
          <w:rFonts w:ascii="Arial" w:cs="Arial" w:eastAsia="Arial" w:hAnsi="Arial"/>
          <w:color w:val="2E6DA4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A Central de Observabilidade agrega dados de todos os Systems com alertas configurados.</w:t>
      </w:r>
    </w:p>
    <w:p>
      <w:pPr>
        <w:spacing w:after="60" w:before="60"/>
      </w:pPr>
      <w:r>
        <w:rPr>
          <w:rFonts w:ascii="Arial" w:cs="Arial" w:eastAsia="Arial" w:hAnsi="Arial"/>
          <w:color w:val="2E6DA4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O comportamento do HUB em sobrecarga está definido: filas, circuit breakers, fallbacks.</w:t>
      </w:r>
    </w:p>
    <w:p>
      <w:pPr>
        <w:spacing w:after="120" w:before="120"/>
      </w:pPr>
      <w:r>
        <w:t xml:space="preserve"/>
      </w:r>
    </w:p>
    <w:p>
      <w:pPr>
        <w:pBdr>
          <w:bottom w:val="single" w:color="2E6DA4" w:sz="6" w:space="1"/>
        </w:pBdr>
        <w:spacing w:after="160" w:before="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Ecossistema Genius  •  Apostila 03  •  Genius HUB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6DA4" w:sz="4" w:space="1"/>
      </w:pBdr>
      <w:tabs>
        <w:tab w:val="right" w:pos="9360"/>
      </w:tabs>
      <w:spacing w:after="0" w:before="120"/>
    </w:pPr>
    <w:r>
      <w:rPr>
        <w:rFonts w:ascii="Arial" w:cs="Arial" w:eastAsia="Arial" w:hAnsi="Arial"/>
        <w:color w:val="888888"/>
        <w:sz w:val="18"/>
        <w:szCs w:val="18"/>
      </w:rPr>
      <w:t xml:space="preserve">Coleção de Apostilas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6DA4" w:sz="4" w:space="1"/>
      </w:pBdr>
      <w:tabs>
        <w:tab w:val="right" w:pos="9360"/>
      </w:tabs>
      <w:spacing w:after="120" w:before="0"/>
    </w:pPr>
    <w:r>
      <w:rPr>
        <w:rFonts w:ascii="Arial" w:cs="Arial" w:eastAsia="Arial" w:hAnsi="Arial"/>
        <w:color w:val="888888"/>
        <w:sz w:val="18"/>
        <w:szCs w:val="18"/>
      </w:rPr>
      <w:t xml:space="preserve">Ecossistema Genius</w:t>
    </w:r>
    <w:r>
      <w:rPr>
        <w:rFonts w:ascii="Arial" w:cs="Arial" w:eastAsia="Arial" w:hAnsi="Arial"/>
        <w:color w:val="888888"/>
        <w:sz w:val="18"/>
        <w:szCs w:val="18"/>
      </w:rPr>
      <w:t xml:space="preserve">	Apostila 03 — Genius HUB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A3C5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6DA4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A3C5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2026-04-13T03:31:06.234Z</dcterms:created>
  <dcterms:modified xsi:type="dcterms:W3CDTF">2026-04-13T03:31:06.235Z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