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51D1D" w14:textId="77777777" w:rsidR="004301D3" w:rsidRDefault="00000000">
      <w:pPr>
        <w:spacing w:before="800" w:after="80"/>
      </w:pPr>
      <w:r>
        <w:rPr>
          <w:b/>
          <w:bCs/>
          <w:color w:val="0F6E56"/>
          <w:spacing w:val="200"/>
          <w:sz w:val="20"/>
          <w:szCs w:val="20"/>
        </w:rPr>
        <w:t>ECOSSISTEMA GENIUS</w:t>
      </w:r>
    </w:p>
    <w:p w14:paraId="7FDAC842" w14:textId="77777777" w:rsidR="004301D3" w:rsidRDefault="00000000">
      <w:pPr>
        <w:spacing w:after="80"/>
      </w:pPr>
      <w:r>
        <w:rPr>
          <w:b/>
          <w:bCs/>
          <w:color w:val="1A1A2E"/>
          <w:sz w:val="52"/>
          <w:szCs w:val="52"/>
        </w:rPr>
        <w:t>Capítulo 13</w:t>
      </w:r>
    </w:p>
    <w:p w14:paraId="07418D4E" w14:textId="77777777" w:rsidR="004301D3" w:rsidRDefault="00000000">
      <w:pPr>
        <w:spacing w:after="40"/>
      </w:pPr>
      <w:r>
        <w:rPr>
          <w:color w:val="888780"/>
          <w:sz w:val="20"/>
          <w:szCs w:val="20"/>
        </w:rPr>
        <w:t>Camada 11 do DNA — Grupo Memória</w:t>
      </w:r>
    </w:p>
    <w:p w14:paraId="78D6B097" w14:textId="77777777" w:rsidR="004301D3" w:rsidRDefault="004301D3">
      <w:pPr>
        <w:pBdr>
          <w:bottom w:val="single" w:sz="4" w:space="1" w:color="0F6E56"/>
        </w:pBdr>
        <w:spacing w:before="160" w:after="160"/>
      </w:pPr>
    </w:p>
    <w:p w14:paraId="5F418717" w14:textId="77777777" w:rsidR="004301D3" w:rsidRDefault="00000000">
      <w:pPr>
        <w:spacing w:before="120" w:after="600"/>
      </w:pPr>
      <w:r>
        <w:rPr>
          <w:i/>
          <w:iCs/>
          <w:color w:val="0F6E56"/>
          <w:sz w:val="30"/>
          <w:szCs w:val="30"/>
        </w:rPr>
        <w:t>Segundo Cérebro: A Sabedoria que Emerge do Conhecimento</w:t>
      </w:r>
    </w:p>
    <w:p w14:paraId="6FE86F78" w14:textId="77777777" w:rsidR="004301D3" w:rsidRDefault="00000000">
      <w:pPr>
        <w:pBdr>
          <w:left w:val="single" w:sz="6" w:space="12" w:color="0F6E56"/>
        </w:pBdr>
        <w:spacing w:before="200" w:after="200" w:line="320" w:lineRule="auto"/>
        <w:ind w:left="800" w:right="800"/>
        <w:jc w:val="center"/>
      </w:pPr>
      <w:r>
        <w:rPr>
          <w:b/>
          <w:bCs/>
          <w:i/>
          <w:iCs/>
          <w:color w:val="0F6E56"/>
          <w:sz w:val="24"/>
          <w:szCs w:val="24"/>
        </w:rPr>
        <w:t>O RAG armazena o que o agente sabe. O Segundo Cérebro sintetiza o que o agente compreende. É a diferença entre ter uma biblioteca e ser um especialista que leu tudo e sabe o que conectar.</w:t>
      </w:r>
    </w:p>
    <w:p w14:paraId="430940EF" w14:textId="77777777" w:rsidR="004301D3" w:rsidRDefault="004301D3">
      <w:pPr>
        <w:spacing w:after="200"/>
      </w:pPr>
    </w:p>
    <w:p w14:paraId="550CF1DB" w14:textId="77777777" w:rsidR="004301D3" w:rsidRDefault="00000000">
      <w:pPr>
        <w:pStyle w:val="Ttulo2"/>
      </w:pPr>
      <w:r>
        <w:t>O que é a camada Segundo Cérebro</w:t>
      </w:r>
    </w:p>
    <w:p w14:paraId="6CA74103" w14:textId="77777777" w:rsidR="004301D3" w:rsidRDefault="00000000">
      <w:pPr>
        <w:spacing w:before="80" w:after="120" w:line="340" w:lineRule="auto"/>
        <w:jc w:val="both"/>
      </w:pPr>
      <w:r>
        <w:t>O Segundo Cérebro é a camada mais sofisticada do Grupo Memória — e a mais mal compreendida. Não é um banco de dados maior. Não é um RAG mais avançado. É uma camada de síntese cognitiva: o processo pelo qual o agente conecta informações dispersas, identifica padrões não óbvios e gera insights que nenhuma das outras camadas produziria sozinha.</w:t>
      </w:r>
    </w:p>
    <w:p w14:paraId="677603DA" w14:textId="77777777" w:rsidR="004301D3" w:rsidRDefault="004301D3">
      <w:pPr>
        <w:spacing w:after="100"/>
      </w:pPr>
    </w:p>
    <w:p w14:paraId="357EB476" w14:textId="77777777" w:rsidR="004301D3" w:rsidRDefault="00000000">
      <w:pPr>
        <w:spacing w:before="80" w:after="120" w:line="340" w:lineRule="auto"/>
        <w:jc w:val="both"/>
      </w:pPr>
      <w:r>
        <w:t>Enquanto o RAG recupera o que está explicitamente armazenado, o Segundo Cérebro produz o que está implícito — conexões entre domínios, padrões que emergem de múltiplas fontes, contradições que precisam ser resolvidas, tendências que só ficam visíveis quando se olha para o conjunto.</w:t>
      </w:r>
    </w:p>
    <w:p w14:paraId="58DDECC8" w14:textId="77777777" w:rsidR="004301D3" w:rsidRDefault="004301D3">
      <w:pPr>
        <w:spacing w:after="100"/>
      </w:pPr>
    </w:p>
    <w:p w14:paraId="54D18D4C" w14:textId="77777777" w:rsidR="004301D3" w:rsidRDefault="00000000">
      <w:pPr>
        <w:spacing w:before="80" w:after="120" w:line="340" w:lineRule="auto"/>
        <w:jc w:val="both"/>
      </w:pPr>
      <w:r>
        <w:t xml:space="preserve">A analogia mais precisa é a diferença entre um arquivo e um especialista. </w:t>
      </w:r>
      <w:r>
        <w:rPr>
          <w:b/>
          <w:bCs/>
        </w:rPr>
        <w:t>O RAG é o arquivo — organizado, indexado, recuperável.</w:t>
      </w:r>
      <w:r>
        <w:t xml:space="preserve"> O Segundo Cérebro é o especialista que leu o arquivo inteiro, trabalhou com aquele domínio por anos e consegue dizer: 'Esse padrão que está aparecendo nos dados de março é o mesmo que vimos em 2022, e naquela vez levou a X. Atenção.'</w:t>
      </w:r>
    </w:p>
    <w:p w14:paraId="062671E2" w14:textId="77777777" w:rsidR="004301D3" w:rsidRDefault="004301D3">
      <w:pPr>
        <w:spacing w:after="200"/>
      </w:pPr>
    </w:p>
    <w:p w14:paraId="0BEB9357" w14:textId="77777777" w:rsidR="004301D3" w:rsidRDefault="004301D3">
      <w:pPr>
        <w:pBdr>
          <w:bottom w:val="single" w:sz="4" w:space="1" w:color="E0E0E0"/>
        </w:pBdr>
        <w:spacing w:before="160" w:after="160"/>
      </w:pPr>
    </w:p>
    <w:p w14:paraId="678038D6" w14:textId="77777777" w:rsidR="004301D3" w:rsidRDefault="004301D3">
      <w:pPr>
        <w:spacing w:after="100"/>
      </w:pPr>
    </w:p>
    <w:p w14:paraId="3D11477A" w14:textId="77777777" w:rsidR="004301D3" w:rsidRDefault="00000000">
      <w:pPr>
        <w:pStyle w:val="Ttulo2"/>
      </w:pPr>
      <w:r>
        <w:lastRenderedPageBreak/>
        <w:t>O Segundo Cérebro no Grupo Memória</w:t>
      </w:r>
    </w:p>
    <w:p w14:paraId="5AEFF613" w14:textId="77777777" w:rsidR="004301D3" w:rsidRDefault="00000000">
      <w:pPr>
        <w:spacing w:before="80" w:after="120" w:line="340" w:lineRule="auto"/>
        <w:jc w:val="both"/>
      </w:pPr>
      <w:r>
        <w:t>O Segundo Cérebro é o destino final do fluxo de memória — recebe de ambas as camadas anteriores e gera valor que nenhuma das duas produziria sozinha:</w:t>
      </w:r>
    </w:p>
    <w:p w14:paraId="42C0202D" w14:textId="77777777" w:rsidR="004301D3" w:rsidRDefault="004301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13"/>
        <w:gridCol w:w="2213"/>
      </w:tblGrid>
      <w:tr w:rsidR="004301D3" w14:paraId="16EA9360" w14:textId="77777777">
        <w:tblPrEx>
          <w:tblCellMar>
            <w:top w:w="0" w:type="dxa"/>
            <w:bottom w:w="0" w:type="dxa"/>
          </w:tblCellMar>
        </w:tblPrEx>
        <w:trPr>
          <w:tblHeader/>
        </w:trPr>
        <w:tc>
          <w:tcPr>
            <w:tcW w:w="24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F9F400D" w14:textId="77777777" w:rsidR="004301D3" w:rsidRDefault="00000000">
            <w:r>
              <w:rPr>
                <w:b/>
                <w:bCs/>
                <w:color w:val="FFFFFF"/>
                <w:sz w:val="20"/>
                <w:szCs w:val="20"/>
              </w:rPr>
              <w:t>Camada</w:t>
            </w:r>
          </w:p>
        </w:tc>
        <w:tc>
          <w:tcPr>
            <w:tcW w:w="22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B692D87" w14:textId="77777777" w:rsidR="004301D3" w:rsidRDefault="00000000">
            <w:r>
              <w:rPr>
                <w:b/>
                <w:bCs/>
                <w:color w:val="FFFFFF"/>
                <w:sz w:val="20"/>
                <w:szCs w:val="20"/>
              </w:rPr>
              <w:t>Armazena</w:t>
            </w:r>
          </w:p>
        </w:tc>
        <w:tc>
          <w:tcPr>
            <w:tcW w:w="22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0D048916" w14:textId="77777777" w:rsidR="004301D3" w:rsidRDefault="00000000">
            <w:r>
              <w:rPr>
                <w:b/>
                <w:bCs/>
                <w:color w:val="FFFFFF"/>
                <w:sz w:val="20"/>
                <w:szCs w:val="20"/>
              </w:rPr>
              <w:t>Produz</w:t>
            </w:r>
          </w:p>
        </w:tc>
        <w:tc>
          <w:tcPr>
            <w:tcW w:w="22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020BB9FB" w14:textId="77777777" w:rsidR="004301D3" w:rsidRDefault="00000000">
            <w:r>
              <w:rPr>
                <w:b/>
                <w:bCs/>
                <w:color w:val="FFFFFF"/>
                <w:sz w:val="20"/>
                <w:szCs w:val="20"/>
              </w:rPr>
              <w:t>Relação com SC</w:t>
            </w:r>
          </w:p>
        </w:tc>
      </w:tr>
      <w:tr w:rsidR="004301D3" w14:paraId="461DD0AA"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A02860"/>
            <w:tcMar>
              <w:top w:w="100" w:type="dxa"/>
              <w:left w:w="140" w:type="dxa"/>
              <w:bottom w:w="100" w:type="dxa"/>
              <w:right w:w="120" w:type="dxa"/>
            </w:tcMar>
          </w:tcPr>
          <w:p w14:paraId="40247E67" w14:textId="77777777" w:rsidR="004301D3" w:rsidRDefault="00000000">
            <w:r>
              <w:rPr>
                <w:b/>
                <w:bCs/>
                <w:color w:val="FFFFFF"/>
                <w:sz w:val="19"/>
                <w:szCs w:val="19"/>
              </w:rPr>
              <w:t>MCP (C.9)</w:t>
            </w:r>
          </w:p>
        </w:tc>
        <w:tc>
          <w:tcPr>
            <w:tcW w:w="2200" w:type="dxa"/>
            <w:tcBorders>
              <w:top w:val="single" w:sz="1" w:space="0" w:color="E0E0E0"/>
              <w:left w:val="single" w:sz="1" w:space="0" w:color="E0E0E0"/>
              <w:bottom w:val="single" w:sz="1" w:space="0" w:color="E0E0E0"/>
              <w:right w:val="single" w:sz="1" w:space="0" w:color="E0E0E0"/>
            </w:tcBorders>
            <w:shd w:val="clear" w:color="auto" w:fill="FBEAF0"/>
            <w:tcMar>
              <w:top w:w="100" w:type="dxa"/>
              <w:left w:w="140" w:type="dxa"/>
              <w:bottom w:w="100" w:type="dxa"/>
              <w:right w:w="120" w:type="dxa"/>
            </w:tcMar>
          </w:tcPr>
          <w:p w14:paraId="53120C8F" w14:textId="77777777" w:rsidR="004301D3" w:rsidRDefault="00000000">
            <w:r>
              <w:rPr>
                <w:sz w:val="19"/>
                <w:szCs w:val="19"/>
              </w:rPr>
              <w:t>Contexto vivo da sessão atual</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678AD4D" w14:textId="77777777" w:rsidR="004301D3" w:rsidRDefault="00000000">
            <w:r>
              <w:rPr>
                <w:sz w:val="19"/>
                <w:szCs w:val="19"/>
              </w:rPr>
              <w:t>Dados para o RAG via Buffer de Transição</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E9D5DA2" w14:textId="77777777" w:rsidR="004301D3" w:rsidRDefault="00000000">
            <w:r>
              <w:rPr>
                <w:i/>
                <w:iCs/>
                <w:sz w:val="19"/>
                <w:szCs w:val="19"/>
              </w:rPr>
              <w:t>Alimenta o SC com padrões de interação observados em tempo real</w:t>
            </w:r>
          </w:p>
        </w:tc>
      </w:tr>
      <w:tr w:rsidR="004301D3" w14:paraId="1245CB55"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00DAE82C" w14:textId="77777777" w:rsidR="004301D3" w:rsidRDefault="00000000">
            <w:r>
              <w:rPr>
                <w:b/>
                <w:bCs/>
                <w:color w:val="FFFFFF"/>
                <w:sz w:val="19"/>
                <w:szCs w:val="19"/>
              </w:rPr>
              <w:t>RAG (C.10)</w:t>
            </w:r>
          </w:p>
        </w:tc>
        <w:tc>
          <w:tcPr>
            <w:tcW w:w="2200" w:type="dxa"/>
            <w:tcBorders>
              <w:top w:val="single" w:sz="1" w:space="0" w:color="E0E0E0"/>
              <w:left w:val="single" w:sz="1" w:space="0" w:color="E0E0E0"/>
              <w:bottom w:val="single" w:sz="1" w:space="0" w:color="E0E0E0"/>
              <w:right w:val="single" w:sz="1" w:space="0" w:color="E0E0E0"/>
            </w:tcBorders>
            <w:shd w:val="clear" w:color="auto" w:fill="E1F5EE"/>
            <w:tcMar>
              <w:top w:w="100" w:type="dxa"/>
              <w:left w:w="140" w:type="dxa"/>
              <w:bottom w:w="100" w:type="dxa"/>
              <w:right w:w="120" w:type="dxa"/>
            </w:tcMar>
          </w:tcPr>
          <w:p w14:paraId="69098E5D" w14:textId="77777777" w:rsidR="004301D3" w:rsidRDefault="00000000">
            <w:r>
              <w:rPr>
                <w:sz w:val="19"/>
                <w:szCs w:val="19"/>
              </w:rPr>
              <w:t>Conhecimento do domínio indexado e recuperável</w:t>
            </w:r>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EA77056" w14:textId="77777777" w:rsidR="004301D3" w:rsidRDefault="00000000">
            <w:r>
              <w:rPr>
                <w:sz w:val="19"/>
                <w:szCs w:val="19"/>
              </w:rPr>
              <w:t>Chunks relevantes para a resposta do agente</w:t>
            </w:r>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88D5D6B" w14:textId="77777777" w:rsidR="004301D3" w:rsidRDefault="00000000">
            <w:r>
              <w:rPr>
                <w:i/>
                <w:iCs/>
                <w:sz w:val="19"/>
                <w:szCs w:val="19"/>
              </w:rPr>
              <w:t>A principal fonte de matéria-prima do SC — o SC sintetiza o que o RAG armazena</w:t>
            </w:r>
          </w:p>
        </w:tc>
      </w:tr>
      <w:tr w:rsidR="004301D3" w14:paraId="363BDF04"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1A964037" w14:textId="77777777" w:rsidR="004301D3" w:rsidRDefault="00000000">
            <w:r>
              <w:rPr>
                <w:b/>
                <w:bCs/>
                <w:color w:val="FFFFFF"/>
                <w:sz w:val="19"/>
                <w:szCs w:val="19"/>
              </w:rPr>
              <w:t>Segundo C. (C.11)</w:t>
            </w:r>
          </w:p>
        </w:tc>
        <w:tc>
          <w:tcPr>
            <w:tcW w:w="2200" w:type="dxa"/>
            <w:tcBorders>
              <w:top w:val="single" w:sz="1" w:space="0" w:color="E0E0E0"/>
              <w:left w:val="single" w:sz="1" w:space="0" w:color="E0E0E0"/>
              <w:bottom w:val="single" w:sz="1" w:space="0" w:color="E0E0E0"/>
              <w:right w:val="single" w:sz="1" w:space="0" w:color="E0E0E0"/>
            </w:tcBorders>
            <w:shd w:val="clear" w:color="auto" w:fill="EEEDFE"/>
            <w:tcMar>
              <w:top w:w="100" w:type="dxa"/>
              <w:left w:w="140" w:type="dxa"/>
              <w:bottom w:w="100" w:type="dxa"/>
              <w:right w:w="120" w:type="dxa"/>
            </w:tcMar>
          </w:tcPr>
          <w:p w14:paraId="112A4AA3" w14:textId="77777777" w:rsidR="004301D3" w:rsidRDefault="00000000">
            <w:r>
              <w:rPr>
                <w:sz w:val="19"/>
                <w:szCs w:val="19"/>
              </w:rPr>
              <w:t>Insights, padrões e conexões entre conhecimentos</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E7DFBBA" w14:textId="77777777" w:rsidR="004301D3" w:rsidRDefault="00000000">
            <w:r>
              <w:rPr>
                <w:sz w:val="19"/>
                <w:szCs w:val="19"/>
              </w:rPr>
              <w:t>Sínteses, alertas, frameworks e previsões</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22EBE00" w14:textId="77777777" w:rsidR="004301D3" w:rsidRDefault="00000000">
            <w:r>
              <w:rPr>
                <w:i/>
                <w:iCs/>
                <w:sz w:val="19"/>
                <w:szCs w:val="19"/>
              </w:rPr>
              <w:t>É o destino final — recebe de ambas e gera valor que nenhuma das duas produziria</w:t>
            </w:r>
          </w:p>
        </w:tc>
      </w:tr>
    </w:tbl>
    <w:p w14:paraId="31E76E33" w14:textId="77777777" w:rsidR="004301D3" w:rsidRDefault="004301D3">
      <w:pPr>
        <w:spacing w:after="200"/>
      </w:pPr>
    </w:p>
    <w:tbl>
      <w:tblPr>
        <w:tblW w:w="9026" w:type="dxa"/>
        <w:tblBorders>
          <w:top w:val="single" w:sz="4" w:space="0" w:color="0F6E56"/>
          <w:left w:val="single" w:sz="8"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301D3" w14:paraId="43BC4D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1F5EE"/>
            <w:tcMar>
              <w:top w:w="160" w:type="dxa"/>
              <w:left w:w="220" w:type="dxa"/>
              <w:bottom w:w="160" w:type="dxa"/>
              <w:right w:w="220" w:type="dxa"/>
            </w:tcMar>
          </w:tcPr>
          <w:p w14:paraId="167B7AE3" w14:textId="77777777" w:rsidR="004301D3" w:rsidRDefault="00000000">
            <w:pPr>
              <w:spacing w:after="80"/>
            </w:pPr>
            <w:r>
              <w:rPr>
                <w:b/>
                <w:bCs/>
                <w:color w:val="0F6E56"/>
                <w:sz w:val="20"/>
                <w:szCs w:val="20"/>
              </w:rPr>
              <w:t>Quando o Segundo Cérebro começa a ter valor</w:t>
            </w:r>
          </w:p>
          <w:p w14:paraId="1A262092" w14:textId="77777777" w:rsidR="004301D3" w:rsidRDefault="00000000">
            <w:pPr>
              <w:jc w:val="both"/>
            </w:pPr>
            <w:r>
              <w:rPr>
                <w:sz w:val="21"/>
                <w:szCs w:val="21"/>
              </w:rPr>
              <w:t>O Segundo Cérebro só tem valor quando há massa crítica de conhecimento no RAG. Um agente recém-criado com RAG vazio não tem o que sintetizar. A regra prática: invista no Segundo Cérebro depois que o RAG já tem pelo menos 3 meses de conteúdo relevante e o agente já realizou pelo menos algumas centenas de interações. Antes disso, o Segundo Cérebro é um artefato vazio.</w:t>
            </w:r>
          </w:p>
        </w:tc>
      </w:tr>
    </w:tbl>
    <w:p w14:paraId="29E93314" w14:textId="77777777" w:rsidR="004301D3" w:rsidRDefault="004301D3">
      <w:pPr>
        <w:spacing w:after="200"/>
      </w:pPr>
    </w:p>
    <w:p w14:paraId="7259528A" w14:textId="77777777" w:rsidR="004301D3" w:rsidRDefault="004301D3">
      <w:pPr>
        <w:pBdr>
          <w:bottom w:val="single" w:sz="4" w:space="1" w:color="E0E0E0"/>
        </w:pBdr>
        <w:spacing w:before="160" w:after="160"/>
      </w:pPr>
    </w:p>
    <w:p w14:paraId="67C074E3" w14:textId="77777777" w:rsidR="004301D3" w:rsidRDefault="004301D3">
      <w:pPr>
        <w:spacing w:after="100"/>
      </w:pPr>
    </w:p>
    <w:p w14:paraId="5D5112F0" w14:textId="77777777" w:rsidR="004301D3" w:rsidRDefault="00000000">
      <w:pPr>
        <w:pStyle w:val="Ttulo2"/>
      </w:pPr>
      <w:r>
        <w:t>As 5 funções do Segundo Cérebro</w:t>
      </w:r>
    </w:p>
    <w:p w14:paraId="0A505F4D" w14:textId="77777777" w:rsidR="004301D3" w:rsidRDefault="00000000">
      <w:pPr>
        <w:spacing w:before="80" w:after="120" w:line="340" w:lineRule="auto"/>
        <w:jc w:val="both"/>
      </w:pPr>
      <w:r>
        <w:t>O Segundo Cérebro não tem uma função única — ele opera em cinco modos distintos, cada um gerando um tipo diferente de valor cognitivo para o agente.</w:t>
      </w:r>
    </w:p>
    <w:p w14:paraId="4864C5D8" w14:textId="77777777" w:rsidR="004301D3" w:rsidRDefault="004301D3">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301D3" w14:paraId="66BE64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5D06C423" w14:textId="77777777" w:rsidR="004301D3" w:rsidRDefault="00000000">
            <w:r>
              <w:rPr>
                <w:color w:val="FFFFFF"/>
                <w:sz w:val="18"/>
                <w:szCs w:val="18"/>
              </w:rPr>
              <w:t xml:space="preserve">Função 1  —  </w:t>
            </w:r>
            <w:r>
              <w:rPr>
                <w:b/>
                <w:bCs/>
                <w:color w:val="FFFFFF"/>
                <w:sz w:val="24"/>
                <w:szCs w:val="24"/>
              </w:rPr>
              <w:t>Síntese de Padrões</w:t>
            </w:r>
          </w:p>
          <w:p w14:paraId="679F564B" w14:textId="77777777" w:rsidR="004301D3" w:rsidRDefault="00000000">
            <w:pPr>
              <w:spacing w:before="40"/>
            </w:pPr>
            <w:r>
              <w:rPr>
                <w:i/>
                <w:iCs/>
                <w:color w:val="FFFFFF"/>
                <w:sz w:val="18"/>
                <w:szCs w:val="18"/>
              </w:rPr>
              <w:t>Identificar o que se repete através de múltiplas fontes e períodos</w:t>
            </w:r>
          </w:p>
        </w:tc>
      </w:tr>
      <w:tr w:rsidR="004301D3" w14:paraId="305C6B73"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1F5EE"/>
            <w:tcMar>
              <w:top w:w="140" w:type="dxa"/>
              <w:left w:w="220" w:type="dxa"/>
              <w:bottom w:w="60" w:type="dxa"/>
              <w:right w:w="220" w:type="dxa"/>
            </w:tcMar>
          </w:tcPr>
          <w:p w14:paraId="31204427" w14:textId="77777777" w:rsidR="004301D3" w:rsidRDefault="00000000">
            <w:pPr>
              <w:spacing w:after="60"/>
            </w:pPr>
            <w:r>
              <w:rPr>
                <w:b/>
                <w:bCs/>
                <w:color w:val="0F6E56"/>
                <w:sz w:val="20"/>
                <w:szCs w:val="20"/>
              </w:rPr>
              <w:t>O que é:</w:t>
            </w:r>
          </w:p>
          <w:p w14:paraId="3DE364BC" w14:textId="77777777" w:rsidR="004301D3" w:rsidRDefault="00000000">
            <w:pPr>
              <w:spacing w:after="120"/>
            </w:pPr>
            <w:r>
              <w:rPr>
                <w:sz w:val="20"/>
                <w:szCs w:val="20"/>
              </w:rPr>
              <w:t>A capacidade de reconhecer que um padrão observado em múltiplos pontos de dados — separados por tempo, fonte ou contexto — representa algo significativo que merece atenção ou ação.</w:t>
            </w:r>
          </w:p>
          <w:p w14:paraId="579C4E99" w14:textId="77777777" w:rsidR="004301D3" w:rsidRDefault="00000000">
            <w:pPr>
              <w:spacing w:after="60"/>
            </w:pPr>
            <w:r>
              <w:rPr>
                <w:b/>
                <w:bCs/>
                <w:color w:val="0F6E56"/>
                <w:sz w:val="20"/>
                <w:szCs w:val="20"/>
              </w:rPr>
              <w:t>Como opera:</w:t>
            </w:r>
          </w:p>
          <w:p w14:paraId="2280164E" w14:textId="77777777" w:rsidR="004301D3" w:rsidRDefault="00000000">
            <w:pPr>
              <w:spacing w:after="120"/>
            </w:pPr>
            <w:r>
              <w:rPr>
                <w:sz w:val="20"/>
                <w:szCs w:val="20"/>
              </w:rPr>
              <w:t xml:space="preserve">Periodicamente (ou por gatilho), o Segundo Cérebro varre o RAG buscando recorrências: temas que aparecem em múltiplos documentos, problemas que se repetem em diferentes </w:t>
            </w:r>
            <w:r>
              <w:rPr>
                <w:sz w:val="20"/>
                <w:szCs w:val="20"/>
              </w:rPr>
              <w:lastRenderedPageBreak/>
              <w:t>atendimentos, métricas que seguem trajetórias similares a períodos anteriores. Quando um padrão atinge o threshold de relevância definido, gera um alerta ou síntese.</w:t>
            </w:r>
          </w:p>
          <w:p w14:paraId="26E47632" w14:textId="77777777" w:rsidR="004301D3" w:rsidRDefault="00000000">
            <w:pPr>
              <w:spacing w:after="60"/>
            </w:pPr>
            <w:r>
              <w:rPr>
                <w:b/>
                <w:bCs/>
                <w:color w:val="0F6E56"/>
                <w:sz w:val="20"/>
                <w:szCs w:val="20"/>
              </w:rPr>
              <w:t>Exemplo no ecossistema:</w:t>
            </w:r>
          </w:p>
          <w:p w14:paraId="2597170F" w14:textId="77777777" w:rsidR="004301D3" w:rsidRDefault="00000000">
            <w:r>
              <w:rPr>
                <w:i/>
                <w:iCs/>
                <w:sz w:val="20"/>
                <w:szCs w:val="20"/>
              </w:rPr>
              <w:t>Atlas detecta que 'prazo de entrega' aparece como tema em 68% das pesquisas realizadas no último mês — muito acima da média histórica de 23%. Gera alerta: 'Padrão emergente detectado: preocupação com prazo de entrega pode ser sinal de problema operacional ou de mercado. Recomendo investigação aprofundada.'</w:t>
            </w:r>
          </w:p>
        </w:tc>
      </w:tr>
    </w:tbl>
    <w:p w14:paraId="6492DBD0" w14:textId="77777777" w:rsidR="004301D3" w:rsidRDefault="004301D3">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301D3" w14:paraId="5EB5BF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7107ADE0" w14:textId="77777777" w:rsidR="004301D3" w:rsidRDefault="00000000">
            <w:r>
              <w:rPr>
                <w:color w:val="FFFFFF"/>
                <w:sz w:val="18"/>
                <w:szCs w:val="18"/>
              </w:rPr>
              <w:t xml:space="preserve">Função 2  —  </w:t>
            </w:r>
            <w:r>
              <w:rPr>
                <w:b/>
                <w:bCs/>
                <w:color w:val="FFFFFF"/>
                <w:sz w:val="24"/>
                <w:szCs w:val="24"/>
              </w:rPr>
              <w:t>Conexão entre Domínios</w:t>
            </w:r>
          </w:p>
          <w:p w14:paraId="4EA6591E" w14:textId="77777777" w:rsidR="004301D3" w:rsidRDefault="00000000">
            <w:pPr>
              <w:spacing w:before="40"/>
            </w:pPr>
            <w:r>
              <w:rPr>
                <w:i/>
                <w:iCs/>
                <w:color w:val="FFFFFF"/>
                <w:sz w:val="18"/>
                <w:szCs w:val="18"/>
              </w:rPr>
              <w:t>Ligar conhecimentos de áreas aparentemente não relacionadas</w:t>
            </w:r>
          </w:p>
        </w:tc>
      </w:tr>
      <w:tr w:rsidR="004301D3" w14:paraId="3847B5D3"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6F1FB"/>
            <w:tcMar>
              <w:top w:w="140" w:type="dxa"/>
              <w:left w:w="220" w:type="dxa"/>
              <w:bottom w:w="60" w:type="dxa"/>
              <w:right w:w="220" w:type="dxa"/>
            </w:tcMar>
          </w:tcPr>
          <w:p w14:paraId="7D88DE4A" w14:textId="77777777" w:rsidR="004301D3" w:rsidRDefault="00000000">
            <w:pPr>
              <w:spacing w:after="60"/>
            </w:pPr>
            <w:r>
              <w:rPr>
                <w:b/>
                <w:bCs/>
                <w:color w:val="2D6BE4"/>
                <w:sz w:val="20"/>
                <w:szCs w:val="20"/>
              </w:rPr>
              <w:t>O que é:</w:t>
            </w:r>
          </w:p>
          <w:p w14:paraId="06C4C508" w14:textId="77777777" w:rsidR="004301D3" w:rsidRDefault="00000000">
            <w:pPr>
              <w:spacing w:after="120"/>
            </w:pPr>
            <w:r>
              <w:rPr>
                <w:sz w:val="20"/>
                <w:szCs w:val="20"/>
              </w:rPr>
              <w:t>A capacidade de identificar conexões significativas entre informações de domínios distintos — onde cada domínio isoladamente não revela o insight, mas a combinação sim.</w:t>
            </w:r>
          </w:p>
          <w:p w14:paraId="45C77908" w14:textId="77777777" w:rsidR="004301D3" w:rsidRDefault="00000000">
            <w:pPr>
              <w:spacing w:after="60"/>
            </w:pPr>
            <w:r>
              <w:rPr>
                <w:b/>
                <w:bCs/>
                <w:color w:val="2D6BE4"/>
                <w:sz w:val="20"/>
                <w:szCs w:val="20"/>
              </w:rPr>
              <w:t>Como opera:</w:t>
            </w:r>
          </w:p>
          <w:p w14:paraId="107AF96E" w14:textId="77777777" w:rsidR="004301D3" w:rsidRDefault="00000000">
            <w:pPr>
              <w:spacing w:after="120"/>
            </w:pPr>
            <w:r>
              <w:rPr>
                <w:sz w:val="20"/>
                <w:szCs w:val="20"/>
              </w:rPr>
              <w:t>O Segundo Cérebro mantém um mapa de relacionamentos entre conceitos, entidades e eventos do RAG. Quando um novo dado é indexado, verifica se ele cria ou reforça conexões com dados de outros domínios. Conexões com alta relevância são sinalizadas como insights de cruzamento de domínio.</w:t>
            </w:r>
          </w:p>
          <w:p w14:paraId="58BFBC6A" w14:textId="77777777" w:rsidR="004301D3" w:rsidRDefault="00000000">
            <w:pPr>
              <w:spacing w:after="60"/>
            </w:pPr>
            <w:r>
              <w:rPr>
                <w:b/>
                <w:bCs/>
                <w:color w:val="2D6BE4"/>
                <w:sz w:val="20"/>
                <w:szCs w:val="20"/>
              </w:rPr>
              <w:t>Exemplo no ecossistema:</w:t>
            </w:r>
          </w:p>
          <w:p w14:paraId="4EAC04F9" w14:textId="77777777" w:rsidR="004301D3" w:rsidRDefault="00000000">
            <w:r>
              <w:rPr>
                <w:i/>
                <w:iCs/>
                <w:sz w:val="20"/>
                <w:szCs w:val="20"/>
              </w:rPr>
              <w:t>Sage detecta conexão entre dado de RH (aumento de rotatividade na equipe de vendas) e dado financeiro (queda de receita recorrente no mesmo período). Gera insight: 'Correlação entre rotatividade em vendas e queda de MRR — possível relação de causa. Dado histórico de 2021 confirma padrão similar. Recomendo análise de impacto por vendedor.'</w:t>
            </w:r>
          </w:p>
        </w:tc>
      </w:tr>
    </w:tbl>
    <w:p w14:paraId="321732AD" w14:textId="77777777" w:rsidR="004301D3" w:rsidRDefault="004301D3">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301D3" w14:paraId="144548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3EFFD437" w14:textId="77777777" w:rsidR="004301D3" w:rsidRDefault="00000000">
            <w:r>
              <w:rPr>
                <w:color w:val="FFFFFF"/>
                <w:sz w:val="18"/>
                <w:szCs w:val="18"/>
              </w:rPr>
              <w:t xml:space="preserve">Função 3  —  </w:t>
            </w:r>
            <w:r>
              <w:rPr>
                <w:b/>
                <w:bCs/>
                <w:color w:val="FFFFFF"/>
                <w:sz w:val="24"/>
                <w:szCs w:val="24"/>
              </w:rPr>
              <w:t>Detecção de Contradições</w:t>
            </w:r>
          </w:p>
          <w:p w14:paraId="777D12C0" w14:textId="77777777" w:rsidR="004301D3" w:rsidRDefault="00000000">
            <w:pPr>
              <w:spacing w:before="40"/>
            </w:pPr>
            <w:r>
              <w:rPr>
                <w:i/>
                <w:iCs/>
                <w:color w:val="FFFFFF"/>
                <w:sz w:val="18"/>
                <w:szCs w:val="18"/>
              </w:rPr>
              <w:t>Identificar quando o conhecimento atual conflita com o que foi aprendido</w:t>
            </w:r>
          </w:p>
        </w:tc>
      </w:tr>
      <w:tr w:rsidR="004301D3" w14:paraId="3460961D"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AECE7"/>
            <w:tcMar>
              <w:top w:w="140" w:type="dxa"/>
              <w:left w:w="220" w:type="dxa"/>
              <w:bottom w:w="60" w:type="dxa"/>
              <w:right w:w="220" w:type="dxa"/>
            </w:tcMar>
          </w:tcPr>
          <w:p w14:paraId="40FF6210" w14:textId="77777777" w:rsidR="004301D3" w:rsidRDefault="00000000">
            <w:pPr>
              <w:spacing w:after="60"/>
            </w:pPr>
            <w:r>
              <w:rPr>
                <w:b/>
                <w:bCs/>
                <w:color w:val="C0442A"/>
                <w:sz w:val="20"/>
                <w:szCs w:val="20"/>
              </w:rPr>
              <w:t>O que é:</w:t>
            </w:r>
          </w:p>
          <w:p w14:paraId="2061CE0A" w14:textId="77777777" w:rsidR="004301D3" w:rsidRDefault="00000000">
            <w:pPr>
              <w:spacing w:after="120"/>
            </w:pPr>
            <w:r>
              <w:rPr>
                <w:sz w:val="20"/>
                <w:szCs w:val="20"/>
              </w:rPr>
              <w:t>A capacidade de detectar quando novas informações contradizem conhecimento estabelecido no RAG — sinalizando que algo mudou, que uma fonte está errada, ou que o modelo mental precisa ser atualizado.</w:t>
            </w:r>
          </w:p>
          <w:p w14:paraId="632A2162" w14:textId="77777777" w:rsidR="004301D3" w:rsidRDefault="00000000">
            <w:pPr>
              <w:spacing w:after="60"/>
            </w:pPr>
            <w:r>
              <w:rPr>
                <w:b/>
                <w:bCs/>
                <w:color w:val="C0442A"/>
                <w:sz w:val="20"/>
                <w:szCs w:val="20"/>
              </w:rPr>
              <w:t>Como opera:</w:t>
            </w:r>
          </w:p>
          <w:p w14:paraId="624F9EF1" w14:textId="77777777" w:rsidR="004301D3" w:rsidRDefault="00000000">
            <w:pPr>
              <w:spacing w:after="120"/>
            </w:pPr>
            <w:r>
              <w:rPr>
                <w:sz w:val="20"/>
                <w:szCs w:val="20"/>
              </w:rPr>
              <w:t>Cada novo dado indexado no RAG é verificado contra o conhecimento estabelecido pelo Segundo Cérebro. Quando há contradição, gera um alerta de conflito com a identificação das fontes em conflito e o impacto potencial da contradição para as respostas do agente.</w:t>
            </w:r>
          </w:p>
          <w:p w14:paraId="2391646F" w14:textId="77777777" w:rsidR="004301D3" w:rsidRDefault="00000000">
            <w:pPr>
              <w:spacing w:after="60"/>
            </w:pPr>
            <w:r>
              <w:rPr>
                <w:b/>
                <w:bCs/>
                <w:color w:val="C0442A"/>
                <w:sz w:val="20"/>
                <w:szCs w:val="20"/>
              </w:rPr>
              <w:t>Exemplo no ecossistema:</w:t>
            </w:r>
          </w:p>
          <w:p w14:paraId="1BC6CAD9" w14:textId="77777777" w:rsidR="004301D3" w:rsidRDefault="00000000">
            <w:r>
              <w:rPr>
                <w:i/>
                <w:iCs/>
                <w:sz w:val="20"/>
                <w:szCs w:val="20"/>
              </w:rPr>
              <w:t>Echo detecta que uma nova versão da política de reembolso (indexada ontem) contradiz a versão anterior em dois pontos críticos. Alerta gerado: 'Contradição detectada na política de reembolso entre versão de jan/24 e out/24. Pontos em conflito: prazo de solicitação e valor máximo. Requer clarificação antes de ser usada em atendimentos.'</w:t>
            </w:r>
          </w:p>
        </w:tc>
      </w:tr>
    </w:tbl>
    <w:p w14:paraId="786BA19C" w14:textId="77777777" w:rsidR="004301D3" w:rsidRDefault="004301D3">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301D3" w14:paraId="277BD5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5423DE06" w14:textId="77777777" w:rsidR="004301D3" w:rsidRDefault="00000000">
            <w:r>
              <w:rPr>
                <w:color w:val="FFFFFF"/>
                <w:sz w:val="18"/>
                <w:szCs w:val="18"/>
              </w:rPr>
              <w:t xml:space="preserve">Função 4  —  </w:t>
            </w:r>
            <w:r>
              <w:rPr>
                <w:b/>
                <w:bCs/>
                <w:color w:val="FFFFFF"/>
                <w:sz w:val="24"/>
                <w:szCs w:val="24"/>
              </w:rPr>
              <w:t>Previsão e Antecipação</w:t>
            </w:r>
          </w:p>
          <w:p w14:paraId="7F096BDC" w14:textId="77777777" w:rsidR="004301D3" w:rsidRDefault="00000000">
            <w:pPr>
              <w:spacing w:before="40"/>
            </w:pPr>
            <w:r>
              <w:rPr>
                <w:i/>
                <w:iCs/>
                <w:color w:val="FFFFFF"/>
                <w:sz w:val="18"/>
                <w:szCs w:val="18"/>
              </w:rPr>
              <w:t>Gerar projeções baseadas em padrões históricos identificados</w:t>
            </w:r>
          </w:p>
        </w:tc>
      </w:tr>
      <w:tr w:rsidR="004301D3" w14:paraId="435F7A01"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EEDFE"/>
            <w:tcMar>
              <w:top w:w="140" w:type="dxa"/>
              <w:left w:w="220" w:type="dxa"/>
              <w:bottom w:w="60" w:type="dxa"/>
              <w:right w:w="220" w:type="dxa"/>
            </w:tcMar>
          </w:tcPr>
          <w:p w14:paraId="54B69B45" w14:textId="77777777" w:rsidR="004301D3" w:rsidRDefault="00000000">
            <w:pPr>
              <w:spacing w:after="60"/>
            </w:pPr>
            <w:r>
              <w:rPr>
                <w:b/>
                <w:bCs/>
                <w:color w:val="3C3489"/>
                <w:sz w:val="20"/>
                <w:szCs w:val="20"/>
              </w:rPr>
              <w:t>O que é:</w:t>
            </w:r>
          </w:p>
          <w:p w14:paraId="7C6F9183" w14:textId="77777777" w:rsidR="004301D3" w:rsidRDefault="00000000">
            <w:pPr>
              <w:spacing w:after="120"/>
            </w:pPr>
            <w:r>
              <w:rPr>
                <w:sz w:val="20"/>
                <w:szCs w:val="20"/>
              </w:rPr>
              <w:lastRenderedPageBreak/>
              <w:t>A capacidade de usar padrões históricos identificados para antecipar situações futuras prováveis — não como certeza, mas como hipóteses fundamentadas que permitem ao agente ser proativo.</w:t>
            </w:r>
          </w:p>
          <w:p w14:paraId="5F2E3A8F" w14:textId="77777777" w:rsidR="004301D3" w:rsidRDefault="00000000">
            <w:pPr>
              <w:spacing w:after="60"/>
            </w:pPr>
            <w:r>
              <w:rPr>
                <w:b/>
                <w:bCs/>
                <w:color w:val="3C3489"/>
                <w:sz w:val="20"/>
                <w:szCs w:val="20"/>
              </w:rPr>
              <w:t>Como opera:</w:t>
            </w:r>
          </w:p>
          <w:p w14:paraId="0B89766A" w14:textId="77777777" w:rsidR="004301D3" w:rsidRDefault="00000000">
            <w:pPr>
              <w:spacing w:after="120"/>
            </w:pPr>
            <w:r>
              <w:rPr>
                <w:sz w:val="20"/>
                <w:szCs w:val="20"/>
              </w:rPr>
              <w:t>Com base nos padrões identificados e nas séries temporais disponíveis no RAG, o Segundo Cérebro gera projeções com grau de confiança explícito. Projeções de alta confiança (baseadas em padrões bem estabelecidos) são disponibilizadas proativamente. Projeções de baixa confiança são registradas para validação futura.</w:t>
            </w:r>
          </w:p>
          <w:p w14:paraId="33907AA7" w14:textId="77777777" w:rsidR="004301D3" w:rsidRDefault="00000000">
            <w:pPr>
              <w:spacing w:after="60"/>
            </w:pPr>
            <w:r>
              <w:rPr>
                <w:b/>
                <w:bCs/>
                <w:color w:val="3C3489"/>
                <w:sz w:val="20"/>
                <w:szCs w:val="20"/>
              </w:rPr>
              <w:t>Exemplo no ecossistema:</w:t>
            </w:r>
          </w:p>
          <w:p w14:paraId="48BE30B5" w14:textId="77777777" w:rsidR="004301D3" w:rsidRDefault="00000000">
            <w:r>
              <w:rPr>
                <w:i/>
                <w:iCs/>
                <w:sz w:val="20"/>
                <w:szCs w:val="20"/>
              </w:rPr>
              <w:t>Flow detecta que o volume de webhooks recebidos nas últimas 6 horas está seguindo exatamente o padrão observado nas 3 semanas anteriores nos dias que precederam picos de processamento. Antecipação gerada: 'Alta probabilidade de pico de volume nas próximas 2-4 horas. Recomendo pré-alocar capacidade de processamento.'</w:t>
            </w:r>
          </w:p>
        </w:tc>
      </w:tr>
    </w:tbl>
    <w:p w14:paraId="40D84192" w14:textId="77777777" w:rsidR="004301D3" w:rsidRDefault="004301D3">
      <w:pPr>
        <w:spacing w:after="200"/>
      </w:pPr>
    </w:p>
    <w:tbl>
      <w:tblPr>
        <w:tblW w:w="9026" w:type="dxa"/>
        <w:tblBorders>
          <w:top w:val="single" w:sz="4" w:space="0" w:color="A02860"/>
          <w:left w:val="single" w:sz="6" w:space="0" w:color="A02860"/>
          <w:bottom w:val="single" w:sz="1" w:space="0" w:color="A02860"/>
          <w:right w:val="single" w:sz="1" w:space="0" w:color="A0286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301D3" w14:paraId="6F4DE9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A02860"/>
            <w:tcMar>
              <w:top w:w="140" w:type="dxa"/>
              <w:left w:w="220" w:type="dxa"/>
              <w:bottom w:w="140" w:type="dxa"/>
              <w:right w:w="220" w:type="dxa"/>
            </w:tcMar>
          </w:tcPr>
          <w:p w14:paraId="43584346" w14:textId="77777777" w:rsidR="004301D3" w:rsidRDefault="00000000">
            <w:r>
              <w:rPr>
                <w:color w:val="FFFFFF"/>
                <w:sz w:val="18"/>
                <w:szCs w:val="18"/>
              </w:rPr>
              <w:t xml:space="preserve">Função 5  —  </w:t>
            </w:r>
            <w:r>
              <w:rPr>
                <w:b/>
                <w:bCs/>
                <w:color w:val="FFFFFF"/>
                <w:sz w:val="24"/>
                <w:szCs w:val="24"/>
              </w:rPr>
              <w:t>Curadoria do Conhecimento</w:t>
            </w:r>
          </w:p>
          <w:p w14:paraId="2C19A7FA" w14:textId="77777777" w:rsidR="004301D3" w:rsidRDefault="00000000">
            <w:pPr>
              <w:spacing w:before="40"/>
            </w:pPr>
            <w:r>
              <w:rPr>
                <w:i/>
                <w:iCs/>
                <w:color w:val="FFFFFF"/>
                <w:sz w:val="18"/>
                <w:szCs w:val="18"/>
              </w:rPr>
              <w:t>Identificar o que no RAG ainda tem valor e o que está obsoleto</w:t>
            </w:r>
          </w:p>
        </w:tc>
      </w:tr>
      <w:tr w:rsidR="004301D3" w14:paraId="102371C9"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BEAF0"/>
            <w:tcMar>
              <w:top w:w="140" w:type="dxa"/>
              <w:left w:w="220" w:type="dxa"/>
              <w:bottom w:w="60" w:type="dxa"/>
              <w:right w:w="220" w:type="dxa"/>
            </w:tcMar>
          </w:tcPr>
          <w:p w14:paraId="1B07933D" w14:textId="77777777" w:rsidR="004301D3" w:rsidRDefault="00000000">
            <w:pPr>
              <w:spacing w:after="60"/>
            </w:pPr>
            <w:r>
              <w:rPr>
                <w:b/>
                <w:bCs/>
                <w:color w:val="A02860"/>
                <w:sz w:val="20"/>
                <w:szCs w:val="20"/>
              </w:rPr>
              <w:t>O que é:</w:t>
            </w:r>
          </w:p>
          <w:p w14:paraId="0CA839FE" w14:textId="77777777" w:rsidR="004301D3" w:rsidRDefault="00000000">
            <w:pPr>
              <w:spacing w:after="120"/>
            </w:pPr>
            <w:r>
              <w:rPr>
                <w:sz w:val="20"/>
                <w:szCs w:val="20"/>
              </w:rPr>
              <w:t>A capacidade de avaliar continuamente a relevância e a qualidade do conhecimento armazenado no RAG — identificando o que ainda agrega valor, o que ficou desatualizado e o que pode ser arquivado.</w:t>
            </w:r>
          </w:p>
          <w:p w14:paraId="2CC58CE8" w14:textId="77777777" w:rsidR="004301D3" w:rsidRDefault="00000000">
            <w:pPr>
              <w:spacing w:after="60"/>
            </w:pPr>
            <w:r>
              <w:rPr>
                <w:b/>
                <w:bCs/>
                <w:color w:val="A02860"/>
                <w:sz w:val="20"/>
                <w:szCs w:val="20"/>
              </w:rPr>
              <w:t>Como opera:</w:t>
            </w:r>
          </w:p>
          <w:p w14:paraId="31BB6CA2" w14:textId="77777777" w:rsidR="004301D3" w:rsidRDefault="00000000">
            <w:pPr>
              <w:spacing w:after="120"/>
            </w:pPr>
            <w:r>
              <w:rPr>
                <w:sz w:val="20"/>
                <w:szCs w:val="20"/>
              </w:rPr>
              <w:t>Periodicamente, o Segundo Cérebro analisa o padrão de uso dos chunks do RAG: quais são recuperados frequentemente, quais nunca são recuperados, quais geraram respostas bem avaliadas e quais geraram insatisfação. Com base nessa análise, gera recomendações de curadoria para revisão humana.</w:t>
            </w:r>
          </w:p>
          <w:p w14:paraId="7E436035" w14:textId="77777777" w:rsidR="004301D3" w:rsidRDefault="00000000">
            <w:pPr>
              <w:spacing w:after="60"/>
            </w:pPr>
            <w:r>
              <w:rPr>
                <w:b/>
                <w:bCs/>
                <w:color w:val="A02860"/>
                <w:sz w:val="20"/>
                <w:szCs w:val="20"/>
              </w:rPr>
              <w:t>Exemplo no ecossistema:</w:t>
            </w:r>
          </w:p>
          <w:p w14:paraId="79CEDDE4" w14:textId="77777777" w:rsidR="004301D3" w:rsidRDefault="00000000">
            <w:r>
              <w:rPr>
                <w:i/>
                <w:iCs/>
                <w:sz w:val="20"/>
                <w:szCs w:val="20"/>
              </w:rPr>
              <w:t>Atlas detecta que 847 chunks de documentos de 2021-2022 nunca foram recuperados em 6 meses de operação, e que 3 documentos de política revisados em 2023 ainda têm suas versões antigas ativas no RAG. Recomendação: 'Sugestão de arquivamento de 847 chunks inativos e atualização de 3 documentos de política com versões contraditórias.'</w:t>
            </w:r>
          </w:p>
        </w:tc>
      </w:tr>
    </w:tbl>
    <w:p w14:paraId="3AD0EC89" w14:textId="77777777" w:rsidR="004301D3" w:rsidRDefault="004301D3">
      <w:pPr>
        <w:spacing w:after="200"/>
      </w:pPr>
    </w:p>
    <w:p w14:paraId="7C0F064D" w14:textId="77777777" w:rsidR="004301D3" w:rsidRDefault="004301D3">
      <w:pPr>
        <w:pBdr>
          <w:bottom w:val="single" w:sz="4" w:space="1" w:color="E0E0E0"/>
        </w:pBdr>
        <w:spacing w:before="160" w:after="160"/>
      </w:pPr>
    </w:p>
    <w:p w14:paraId="6771C390" w14:textId="77777777" w:rsidR="004301D3" w:rsidRDefault="004301D3">
      <w:pPr>
        <w:spacing w:after="100"/>
      </w:pPr>
    </w:p>
    <w:p w14:paraId="12685471" w14:textId="77777777" w:rsidR="004301D3" w:rsidRDefault="00000000">
      <w:pPr>
        <w:pStyle w:val="Ttulo2"/>
      </w:pPr>
      <w:r>
        <w:t>Modelos de implementação do Segundo Cérebro</w:t>
      </w:r>
    </w:p>
    <w:p w14:paraId="477C2075" w14:textId="77777777" w:rsidR="004301D3" w:rsidRDefault="00000000">
      <w:pPr>
        <w:spacing w:before="80" w:after="120" w:line="340" w:lineRule="auto"/>
        <w:jc w:val="both"/>
      </w:pPr>
      <w:r>
        <w:t>O Segundo Cérebro pode ser implementado com diferentes graus de sofisticação e automação. A escolha do modelo depende da maturidade do ecossistema, do volume de dados e do tipo de insight que o agente precisa gerar.</w:t>
      </w:r>
    </w:p>
    <w:p w14:paraId="7FF60530" w14:textId="77777777" w:rsidR="004301D3" w:rsidRDefault="004301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213"/>
        <w:gridCol w:w="2213"/>
      </w:tblGrid>
      <w:tr w:rsidR="004301D3" w14:paraId="2CD2AEEB" w14:textId="77777777">
        <w:tblPrEx>
          <w:tblCellMar>
            <w:top w:w="0" w:type="dxa"/>
            <w:bottom w:w="0" w:type="dxa"/>
          </w:tblCellMar>
        </w:tblPrEx>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C31F6BB" w14:textId="77777777" w:rsidR="004301D3" w:rsidRDefault="00000000">
            <w:r>
              <w:rPr>
                <w:b/>
                <w:bCs/>
                <w:color w:val="FFFFFF"/>
                <w:sz w:val="20"/>
                <w:szCs w:val="20"/>
              </w:rPr>
              <w:t>Modelo</w:t>
            </w:r>
          </w:p>
        </w:tc>
        <w:tc>
          <w:tcPr>
            <w:tcW w:w="26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3D313D0" w14:textId="77777777" w:rsidR="004301D3" w:rsidRDefault="00000000">
            <w:r>
              <w:rPr>
                <w:b/>
                <w:bCs/>
                <w:color w:val="FFFFFF"/>
                <w:sz w:val="20"/>
                <w:szCs w:val="20"/>
              </w:rPr>
              <w:t>Como funciona</w:t>
            </w:r>
          </w:p>
        </w:tc>
        <w:tc>
          <w:tcPr>
            <w:tcW w:w="22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3ABEF07" w14:textId="77777777" w:rsidR="004301D3" w:rsidRDefault="00000000">
            <w:r>
              <w:rPr>
                <w:b/>
                <w:bCs/>
                <w:color w:val="FFFFFF"/>
                <w:sz w:val="20"/>
                <w:szCs w:val="20"/>
              </w:rPr>
              <w:t>Melhor para</w:t>
            </w:r>
          </w:p>
        </w:tc>
        <w:tc>
          <w:tcPr>
            <w:tcW w:w="22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5FD9890" w14:textId="77777777" w:rsidR="004301D3" w:rsidRDefault="00000000">
            <w:r>
              <w:rPr>
                <w:b/>
                <w:bCs/>
                <w:color w:val="FFFFFF"/>
                <w:sz w:val="20"/>
                <w:szCs w:val="20"/>
              </w:rPr>
              <w:t>Limitação</w:t>
            </w:r>
          </w:p>
        </w:tc>
      </w:tr>
      <w:tr w:rsidR="004301D3" w14:paraId="7AA2FF2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298D48B6" w14:textId="77777777" w:rsidR="004301D3" w:rsidRDefault="00000000">
            <w:r>
              <w:rPr>
                <w:b/>
                <w:bCs/>
                <w:color w:val="FFFFFF"/>
                <w:sz w:val="19"/>
                <w:szCs w:val="19"/>
              </w:rPr>
              <w:t>Síntese periódica</w:t>
            </w:r>
          </w:p>
        </w:tc>
        <w:tc>
          <w:tcPr>
            <w:tcW w:w="26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C2B31B4" w14:textId="77777777" w:rsidR="004301D3" w:rsidRDefault="00000000">
            <w:r>
              <w:rPr>
                <w:sz w:val="19"/>
                <w:szCs w:val="19"/>
              </w:rPr>
              <w:t xml:space="preserve">Em intervalos definidos (diário, semanal, mensal), o agente processa o conteúdo novo do RAG e </w:t>
            </w:r>
            <w:r>
              <w:rPr>
                <w:sz w:val="19"/>
                <w:szCs w:val="19"/>
              </w:rPr>
              <w:lastRenderedPageBreak/>
              <w:t>atualiza suas sínteses e padrões</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01E9A17" w14:textId="77777777" w:rsidR="004301D3" w:rsidRDefault="00000000">
            <w:r>
              <w:rPr>
                <w:color w:val="3B6D11"/>
                <w:sz w:val="19"/>
                <w:szCs w:val="19"/>
              </w:rPr>
              <w:lastRenderedPageBreak/>
              <w:t xml:space="preserve">Domínios estáveis com volume moderado de novos dados. Agentes analíticos </w:t>
            </w:r>
            <w:r>
              <w:rPr>
                <w:color w:val="3B6D11"/>
                <w:sz w:val="19"/>
                <w:szCs w:val="19"/>
              </w:rPr>
              <w:lastRenderedPageBreak/>
              <w:t>com ciclo de atualização previsível.</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10A13B7" w14:textId="77777777" w:rsidR="004301D3" w:rsidRDefault="00000000">
            <w:r>
              <w:rPr>
                <w:color w:val="A32D2D"/>
                <w:sz w:val="19"/>
                <w:szCs w:val="19"/>
              </w:rPr>
              <w:lastRenderedPageBreak/>
              <w:t xml:space="preserve">Lag entre acumulação de dados e atualização das sínteses — insights </w:t>
            </w:r>
            <w:r>
              <w:rPr>
                <w:color w:val="A32D2D"/>
                <w:sz w:val="19"/>
                <w:szCs w:val="19"/>
              </w:rPr>
              <w:lastRenderedPageBreak/>
              <w:t>podem demorar a emergir</w:t>
            </w:r>
          </w:p>
        </w:tc>
      </w:tr>
      <w:tr w:rsidR="004301D3" w14:paraId="214862DB"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185FA5"/>
            <w:tcMar>
              <w:top w:w="100" w:type="dxa"/>
              <w:left w:w="140" w:type="dxa"/>
              <w:bottom w:w="100" w:type="dxa"/>
              <w:right w:w="120" w:type="dxa"/>
            </w:tcMar>
          </w:tcPr>
          <w:p w14:paraId="5A23C420" w14:textId="77777777" w:rsidR="004301D3" w:rsidRDefault="00000000">
            <w:r>
              <w:rPr>
                <w:b/>
                <w:bCs/>
                <w:color w:val="FFFFFF"/>
                <w:sz w:val="19"/>
                <w:szCs w:val="19"/>
              </w:rPr>
              <w:lastRenderedPageBreak/>
              <w:t>Síntese por gatilho</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927EB26" w14:textId="77777777" w:rsidR="004301D3" w:rsidRDefault="00000000">
            <w:r>
              <w:rPr>
                <w:sz w:val="19"/>
                <w:szCs w:val="19"/>
              </w:rPr>
              <w:t>A síntese é disparada quando um evento específico ocorre: volume de dados novo acima de threshold, chegada de novo tipo de documento, conclusão de ciclo de processo</w:t>
            </w:r>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B74DD61" w14:textId="77777777" w:rsidR="004301D3" w:rsidRDefault="00000000">
            <w:r>
              <w:rPr>
                <w:color w:val="3B6D11"/>
                <w:sz w:val="19"/>
                <w:szCs w:val="19"/>
              </w:rPr>
              <w:t>Domínios dinâmicos onde insights dependem de eventos específicos. Agentes de atendimento e orquestração.</w:t>
            </w:r>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D5DC481" w14:textId="77777777" w:rsidR="004301D3" w:rsidRDefault="00000000">
            <w:r>
              <w:rPr>
                <w:color w:val="A32D2D"/>
                <w:sz w:val="19"/>
                <w:szCs w:val="19"/>
              </w:rPr>
              <w:t>Requer definição precisa dos gatilhos — gatilhos vagos geram sínteses desnecessárias ou atrasadas</w:t>
            </w:r>
          </w:p>
        </w:tc>
      </w:tr>
      <w:tr w:rsidR="004301D3" w14:paraId="1F49553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710524CD" w14:textId="77777777" w:rsidR="004301D3" w:rsidRDefault="00000000">
            <w:r>
              <w:rPr>
                <w:b/>
                <w:bCs/>
                <w:color w:val="FFFFFF"/>
                <w:sz w:val="19"/>
                <w:szCs w:val="19"/>
              </w:rPr>
              <w:t>Síntese sob demanda</w:t>
            </w:r>
          </w:p>
        </w:tc>
        <w:tc>
          <w:tcPr>
            <w:tcW w:w="26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D61C3FB" w14:textId="77777777" w:rsidR="004301D3" w:rsidRDefault="00000000">
            <w:r>
              <w:rPr>
                <w:sz w:val="19"/>
                <w:szCs w:val="19"/>
              </w:rPr>
              <w:t>O agente sintetiza quando recebe uma query que requer insight além do que o RAG oferece diretamente. A síntese é gerada em tempo real para aquela query específica.</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AA86998" w14:textId="77777777" w:rsidR="004301D3" w:rsidRDefault="00000000">
            <w:r>
              <w:rPr>
                <w:color w:val="3B6D11"/>
                <w:sz w:val="19"/>
                <w:szCs w:val="19"/>
              </w:rPr>
              <w:t>Agentes com consultas imprevisíveis e domínios amplos onde pré-computar todas as sínteses é inviável.</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9E7DE57" w14:textId="77777777" w:rsidR="004301D3" w:rsidRDefault="00000000">
            <w:r>
              <w:rPr>
                <w:color w:val="A32D2D"/>
                <w:sz w:val="19"/>
                <w:szCs w:val="19"/>
              </w:rPr>
              <w:t>Maior latência por resposta — síntese em tempo real é mais lenta que recuperar síntese pré-computada</w:t>
            </w:r>
          </w:p>
        </w:tc>
      </w:tr>
      <w:tr w:rsidR="004301D3" w14:paraId="146FC1C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40" w:type="dxa"/>
              <w:bottom w:w="100" w:type="dxa"/>
              <w:right w:w="120" w:type="dxa"/>
            </w:tcMar>
          </w:tcPr>
          <w:p w14:paraId="5B57263A" w14:textId="77777777" w:rsidR="004301D3" w:rsidRDefault="00000000">
            <w:r>
              <w:rPr>
                <w:b/>
                <w:bCs/>
                <w:color w:val="FFFFFF"/>
                <w:sz w:val="19"/>
                <w:szCs w:val="19"/>
              </w:rPr>
              <w:t>Síntese contínua (streaming)</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9625397" w14:textId="77777777" w:rsidR="004301D3" w:rsidRDefault="00000000">
            <w:r>
              <w:rPr>
                <w:sz w:val="19"/>
                <w:szCs w:val="19"/>
              </w:rPr>
              <w:t>O Segundo Cérebro opera como processo background permanente, continuamente refinando sínteses à medida que novos dados chegam ao RAG</w:t>
            </w:r>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C2D9D81" w14:textId="77777777" w:rsidR="004301D3" w:rsidRDefault="00000000">
            <w:r>
              <w:rPr>
                <w:color w:val="3B6D11"/>
                <w:sz w:val="19"/>
                <w:szCs w:val="19"/>
              </w:rPr>
              <w:t>Ecossistemas maduros com alto volume de dados e necessidade de insights sempre atualizados.</w:t>
            </w:r>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D000294" w14:textId="77777777" w:rsidR="004301D3" w:rsidRDefault="00000000">
            <w:r>
              <w:rPr>
                <w:color w:val="A32D2D"/>
                <w:sz w:val="19"/>
                <w:szCs w:val="19"/>
              </w:rPr>
              <w:t>Maior custo computacional. Requer infraestrutura dedicada e monitoramento contínuo do processo de síntese</w:t>
            </w:r>
          </w:p>
        </w:tc>
      </w:tr>
    </w:tbl>
    <w:p w14:paraId="1E68E8B9" w14:textId="77777777" w:rsidR="004301D3" w:rsidRDefault="004301D3">
      <w:pPr>
        <w:spacing w:after="200"/>
      </w:pPr>
    </w:p>
    <w:tbl>
      <w:tblPr>
        <w:tblW w:w="9026" w:type="dxa"/>
        <w:tblBorders>
          <w:top w:val="single" w:sz="4" w:space="0" w:color="3C3489"/>
          <w:left w:val="single" w:sz="8"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301D3" w14:paraId="5C9869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EEDFE"/>
            <w:tcMar>
              <w:top w:w="160" w:type="dxa"/>
              <w:left w:w="220" w:type="dxa"/>
              <w:bottom w:w="160" w:type="dxa"/>
              <w:right w:w="220" w:type="dxa"/>
            </w:tcMar>
          </w:tcPr>
          <w:p w14:paraId="39B4D25B" w14:textId="77777777" w:rsidR="004301D3" w:rsidRDefault="00000000">
            <w:pPr>
              <w:spacing w:after="80"/>
            </w:pPr>
            <w:r>
              <w:rPr>
                <w:b/>
                <w:bCs/>
                <w:color w:val="3C3489"/>
                <w:sz w:val="20"/>
                <w:szCs w:val="20"/>
              </w:rPr>
              <w:t>Segundo Cérebro como agente dedicado</w:t>
            </w:r>
          </w:p>
          <w:p w14:paraId="68F6BC08" w14:textId="77777777" w:rsidR="004301D3" w:rsidRDefault="00000000">
            <w:pPr>
              <w:jc w:val="both"/>
            </w:pPr>
            <w:r>
              <w:rPr>
                <w:sz w:val="21"/>
                <w:szCs w:val="21"/>
              </w:rPr>
              <w:t>Em ecossistemas maduros, o Segundo Cérebro pode ser implementado como um agente dedicado — com seu próprio DNA completo — responsável por sintetizar o conhecimento de todos os outros agentes. Nessa arquitetura, o Segundo Cérebro de cada agente especialista contribui com seus insights para um Segundo Cérebro central do ecossistema, criando uma camada de sabedoria compartilhada. Essa é a implementação mais poderosa — e a mais complexa.</w:t>
            </w:r>
          </w:p>
        </w:tc>
      </w:tr>
    </w:tbl>
    <w:p w14:paraId="5E268B50" w14:textId="77777777" w:rsidR="004301D3" w:rsidRDefault="004301D3">
      <w:pPr>
        <w:spacing w:after="200"/>
      </w:pPr>
    </w:p>
    <w:p w14:paraId="07BB60B2" w14:textId="77777777" w:rsidR="004301D3" w:rsidRDefault="004301D3">
      <w:pPr>
        <w:pBdr>
          <w:bottom w:val="single" w:sz="4" w:space="1" w:color="E0E0E0"/>
        </w:pBdr>
        <w:spacing w:before="160" w:after="160"/>
      </w:pPr>
    </w:p>
    <w:p w14:paraId="3A793DF8" w14:textId="77777777" w:rsidR="004301D3" w:rsidRDefault="004301D3">
      <w:pPr>
        <w:spacing w:after="100"/>
      </w:pPr>
    </w:p>
    <w:p w14:paraId="584B1A80" w14:textId="77777777" w:rsidR="004301D3" w:rsidRDefault="00000000">
      <w:pPr>
        <w:pStyle w:val="Ttulo2"/>
      </w:pPr>
      <w:r>
        <w:t>Fichas do Segundo Cérebro por agente</w:t>
      </w:r>
    </w:p>
    <w:p w14:paraId="54447E4F" w14:textId="77777777" w:rsidR="004301D3" w:rsidRDefault="00000000">
      <w:pPr>
        <w:spacing w:before="80" w:after="120" w:line="340" w:lineRule="auto"/>
        <w:jc w:val="both"/>
      </w:pPr>
      <w:r>
        <w:t>A seguir, três Fichas do Segundo Cérebro para agentes com domínios e necessidades de síntese distintos.</w:t>
      </w:r>
    </w:p>
    <w:p w14:paraId="62AE866C" w14:textId="77777777" w:rsidR="004301D3" w:rsidRDefault="004301D3">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301D3" w14:paraId="7721C7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5C67C263" w14:textId="77777777" w:rsidR="004301D3" w:rsidRDefault="00000000">
            <w:r>
              <w:rPr>
                <w:color w:val="FFFFFF"/>
                <w:sz w:val="17"/>
                <w:szCs w:val="17"/>
              </w:rPr>
              <w:t xml:space="preserve">FICHA DO SEGUNDO CÉREBRO  —  </w:t>
            </w:r>
            <w:r>
              <w:rPr>
                <w:i/>
                <w:iCs/>
                <w:color w:val="FFFFFF"/>
                <w:sz w:val="17"/>
                <w:szCs w:val="17"/>
              </w:rPr>
              <w:t>Atlas — Agente de Pesquisa</w:t>
            </w:r>
          </w:p>
          <w:p w14:paraId="1399320D" w14:textId="77777777" w:rsidR="004301D3" w:rsidRDefault="00000000">
            <w:pPr>
              <w:spacing w:before="60"/>
            </w:pPr>
            <w:r>
              <w:rPr>
                <w:b/>
                <w:bCs/>
                <w:color w:val="FFFFFF"/>
                <w:sz w:val="26"/>
                <w:szCs w:val="26"/>
              </w:rPr>
              <w:t>Segundo Cérebro — Atlas</w:t>
            </w:r>
          </w:p>
        </w:tc>
      </w:tr>
      <w:tr w:rsidR="004301D3" w14:paraId="4DFC5E8E"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65E6F596" w14:textId="77777777" w:rsidR="004301D3" w:rsidRDefault="00000000">
            <w:pPr>
              <w:spacing w:after="60"/>
            </w:pPr>
            <w:r>
              <w:rPr>
                <w:b/>
                <w:bCs/>
                <w:color w:val="2D6BE4"/>
                <w:sz w:val="20"/>
                <w:szCs w:val="20"/>
              </w:rPr>
              <w:t>Fontes de entrada:</w:t>
            </w:r>
          </w:p>
          <w:p w14:paraId="68687300" w14:textId="77777777" w:rsidR="004301D3" w:rsidRDefault="00000000">
            <w:pPr>
              <w:spacing w:after="120"/>
            </w:pPr>
            <w:r>
              <w:rPr>
                <w:sz w:val="20"/>
                <w:szCs w:val="20"/>
              </w:rPr>
              <w:lastRenderedPageBreak/>
              <w:t>RAG de conhecimento (50.000+ chunks), Buffer de Transição da MCP com resultados de pesquisas recentes, metadados de uso (quais chunks foram recuperados, com qual frequência, em qual contexto)</w:t>
            </w:r>
          </w:p>
          <w:p w14:paraId="0A10BC57" w14:textId="77777777" w:rsidR="004301D3" w:rsidRDefault="00000000">
            <w:pPr>
              <w:spacing w:after="60"/>
            </w:pPr>
            <w:r>
              <w:rPr>
                <w:b/>
                <w:bCs/>
                <w:color w:val="2D6BE4"/>
                <w:sz w:val="20"/>
                <w:szCs w:val="20"/>
              </w:rPr>
              <w:t>Tipos de síntese realizados:</w:t>
            </w:r>
          </w:p>
          <w:p w14:paraId="3F161A51" w14:textId="77777777" w:rsidR="004301D3" w:rsidRDefault="00000000">
            <w:r>
              <w:rPr>
                <w:sz w:val="20"/>
                <w:szCs w:val="20"/>
              </w:rPr>
              <w:t>Síntese de padrões temáticos (temas emergentes nas pesquisas), curadoria do conhecimento (chunks obsoletos ou nunca acessados), conexão entre domínios (links entre temas aparentemente não relacionados)</w:t>
            </w:r>
          </w:p>
        </w:tc>
      </w:tr>
      <w:tr w:rsidR="004301D3" w14:paraId="44E89ED2"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65C45236" w14:textId="77777777" w:rsidR="004301D3" w:rsidRDefault="00000000">
            <w:pPr>
              <w:spacing w:after="60"/>
            </w:pPr>
            <w:r>
              <w:rPr>
                <w:b/>
                <w:bCs/>
                <w:color w:val="2D6BE4"/>
                <w:sz w:val="20"/>
                <w:szCs w:val="20"/>
              </w:rPr>
              <w:lastRenderedPageBreak/>
              <w:t>Gatilhos de síntese:</w:t>
            </w:r>
          </w:p>
          <w:p w14:paraId="3792DFA6" w14:textId="77777777" w:rsidR="004301D3" w:rsidRDefault="00000000">
            <w:pPr>
              <w:spacing w:after="120"/>
            </w:pPr>
            <w:r>
              <w:rPr>
                <w:sz w:val="20"/>
                <w:szCs w:val="20"/>
              </w:rPr>
              <w:t>Semanal para síntese de padrões. Por gatilho quando um tema novo aparece em mais de 5 pesquisas distintas em 7 dias. Por gatilho quando um chunk contradiz conhecimento estabelecido. Mensal para curadoria.</w:t>
            </w:r>
          </w:p>
          <w:p w14:paraId="189AAAB7" w14:textId="77777777" w:rsidR="004301D3" w:rsidRDefault="00000000">
            <w:pPr>
              <w:spacing w:after="60"/>
            </w:pPr>
            <w:r>
              <w:rPr>
                <w:b/>
                <w:bCs/>
                <w:color w:val="2D6BE4"/>
                <w:sz w:val="20"/>
                <w:szCs w:val="20"/>
              </w:rPr>
              <w:t>Outputs gerados:</w:t>
            </w:r>
          </w:p>
          <w:p w14:paraId="0093E5EE" w14:textId="77777777" w:rsidR="004301D3" w:rsidRDefault="00000000">
            <w:r>
              <w:rPr>
                <w:sz w:val="20"/>
                <w:szCs w:val="20"/>
              </w:rPr>
              <w:t>Relatório semanal de temas emergentes com grau de relevância, alertas de contradição entre fontes, recomendações de curadoria (arquivamento e atualização), mapa de conexões entre domínios para consulta interna</w:t>
            </w:r>
          </w:p>
        </w:tc>
      </w:tr>
      <w:tr w:rsidR="004301D3" w14:paraId="2B1DBD7D"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EEDFE"/>
            <w:tcMar>
              <w:top w:w="120" w:type="dxa"/>
              <w:left w:w="220" w:type="dxa"/>
              <w:bottom w:w="60" w:type="dxa"/>
              <w:right w:w="220" w:type="dxa"/>
            </w:tcMar>
          </w:tcPr>
          <w:p w14:paraId="2B21C372" w14:textId="77777777" w:rsidR="004301D3" w:rsidRDefault="00000000">
            <w:pPr>
              <w:spacing w:after="60"/>
            </w:pPr>
            <w:r>
              <w:rPr>
                <w:b/>
                <w:bCs/>
                <w:color w:val="3C3489"/>
                <w:sz w:val="20"/>
                <w:szCs w:val="20"/>
              </w:rPr>
              <w:t>Política de evolução do conhecimento:</w:t>
            </w:r>
          </w:p>
          <w:p w14:paraId="4953B398" w14:textId="77777777" w:rsidR="004301D3" w:rsidRDefault="00000000">
            <w:r>
              <w:rPr>
                <w:sz w:val="20"/>
                <w:szCs w:val="20"/>
              </w:rPr>
              <w:t>Sínteses e insights ficam permanentemente no Segundo Cérebro. Versões anteriores de sínteses são arquivadas, não descartadas — permitem rastrear evolução do conhecimento. Recomendações de curadoria expiram em 30 dias se não forem atendidas — são então reemitidas com nível de urgência maior.</w:t>
            </w:r>
          </w:p>
        </w:tc>
      </w:tr>
      <w:tr w:rsidR="004301D3" w14:paraId="40ABD5E2"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2EFB3423" w14:textId="77777777" w:rsidR="004301D3" w:rsidRDefault="00000000">
            <w:pPr>
              <w:spacing w:after="60"/>
            </w:pPr>
            <w:r>
              <w:rPr>
                <w:b/>
                <w:bCs/>
                <w:color w:val="3B6D11"/>
                <w:sz w:val="20"/>
                <w:szCs w:val="20"/>
              </w:rPr>
              <w:t>Métricas de impacto:</w:t>
            </w:r>
          </w:p>
          <w:p w14:paraId="760BE061" w14:textId="77777777" w:rsidR="004301D3" w:rsidRDefault="00000000">
            <w:r>
              <w:rPr>
                <w:sz w:val="20"/>
                <w:szCs w:val="20"/>
              </w:rPr>
              <w:t>Taxa de insights acionáveis gerados por mês (mín. 5 insights que resultaram em ação pela equipe), precisão das alertas de contradição (% de alertas confirmados como contradições reais vs. falsos positivos), impacto da curadoria (redução no volume de chunks inativos após implementação das recomendações)</w:t>
            </w:r>
          </w:p>
        </w:tc>
      </w:tr>
    </w:tbl>
    <w:p w14:paraId="1B3927A1" w14:textId="77777777" w:rsidR="004301D3" w:rsidRDefault="004301D3">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301D3" w14:paraId="5AD768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7AB20DDF" w14:textId="77777777" w:rsidR="004301D3" w:rsidRDefault="00000000">
            <w:r>
              <w:rPr>
                <w:color w:val="FFFFFF"/>
                <w:sz w:val="17"/>
                <w:szCs w:val="17"/>
              </w:rPr>
              <w:t xml:space="preserve">FICHA DO SEGUNDO CÉREBRO  —  </w:t>
            </w:r>
            <w:r>
              <w:rPr>
                <w:i/>
                <w:iCs/>
                <w:color w:val="FFFFFF"/>
                <w:sz w:val="17"/>
                <w:szCs w:val="17"/>
              </w:rPr>
              <w:t>Echo — Agente de Atendimento</w:t>
            </w:r>
          </w:p>
          <w:p w14:paraId="1BCB21AB" w14:textId="77777777" w:rsidR="004301D3" w:rsidRDefault="00000000">
            <w:pPr>
              <w:spacing w:before="60"/>
            </w:pPr>
            <w:r>
              <w:rPr>
                <w:b/>
                <w:bCs/>
                <w:color w:val="FFFFFF"/>
                <w:sz w:val="26"/>
                <w:szCs w:val="26"/>
              </w:rPr>
              <w:t>Segundo Cérebro — Echo</w:t>
            </w:r>
          </w:p>
        </w:tc>
      </w:tr>
      <w:tr w:rsidR="004301D3" w14:paraId="044E0AE4"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14C266A6" w14:textId="77777777" w:rsidR="004301D3" w:rsidRDefault="00000000">
            <w:pPr>
              <w:spacing w:after="60"/>
            </w:pPr>
            <w:r>
              <w:rPr>
                <w:b/>
                <w:bCs/>
                <w:color w:val="0F6E56"/>
                <w:sz w:val="20"/>
                <w:szCs w:val="20"/>
              </w:rPr>
              <w:t>Fontes de entrada:</w:t>
            </w:r>
          </w:p>
          <w:p w14:paraId="00E8ABAD" w14:textId="77777777" w:rsidR="004301D3" w:rsidRDefault="00000000">
            <w:pPr>
              <w:spacing w:after="120"/>
            </w:pPr>
            <w:r>
              <w:rPr>
                <w:sz w:val="20"/>
                <w:szCs w:val="20"/>
              </w:rPr>
              <w:t>RAG de atendimento (histórico de resoluções, FAQs, políticas), metadados de satisfação (CSAT por resolução, escalonamentos, tempo de resolução), padrões de interação da MCP consolidados</w:t>
            </w:r>
          </w:p>
          <w:p w14:paraId="790EB641" w14:textId="77777777" w:rsidR="004301D3" w:rsidRDefault="00000000">
            <w:pPr>
              <w:spacing w:after="60"/>
            </w:pPr>
            <w:r>
              <w:rPr>
                <w:b/>
                <w:bCs/>
                <w:color w:val="0F6E56"/>
                <w:sz w:val="20"/>
                <w:szCs w:val="20"/>
              </w:rPr>
              <w:t>Tipos de síntese realizados:</w:t>
            </w:r>
          </w:p>
          <w:p w14:paraId="4472D479" w14:textId="77777777" w:rsidR="004301D3" w:rsidRDefault="00000000">
            <w:r>
              <w:rPr>
                <w:sz w:val="20"/>
                <w:szCs w:val="20"/>
              </w:rPr>
              <w:t>Síntese de padrões de insatisfação (quais tipos de problema geram mais atrito), detecção de contradições em políticas, antecipação de picos de volume (sazonalidade de atendimento), curadoria de scripts e FAQs</w:t>
            </w:r>
          </w:p>
        </w:tc>
      </w:tr>
      <w:tr w:rsidR="004301D3" w14:paraId="25324305"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410473A4" w14:textId="77777777" w:rsidR="004301D3" w:rsidRDefault="00000000">
            <w:pPr>
              <w:spacing w:after="60"/>
            </w:pPr>
            <w:r>
              <w:rPr>
                <w:b/>
                <w:bCs/>
                <w:color w:val="0F6E56"/>
                <w:sz w:val="20"/>
                <w:szCs w:val="20"/>
              </w:rPr>
              <w:t>Gatilhos de síntese:</w:t>
            </w:r>
          </w:p>
          <w:p w14:paraId="62D537DD" w14:textId="77777777" w:rsidR="004301D3" w:rsidRDefault="00000000">
            <w:pPr>
              <w:spacing w:after="120"/>
            </w:pPr>
            <w:r>
              <w:rPr>
                <w:sz w:val="20"/>
                <w:szCs w:val="20"/>
              </w:rPr>
              <w:t>Diário para análise de padrões de atendimento do dia anterior. Por gatilho quando CSAT cai abaixo de threshold (&lt; 3.5) em tipo específico de solicitação. Mensal para curadoria de FAQs e scripts.</w:t>
            </w:r>
          </w:p>
          <w:p w14:paraId="28CCF898" w14:textId="77777777" w:rsidR="004301D3" w:rsidRDefault="00000000">
            <w:pPr>
              <w:spacing w:after="60"/>
            </w:pPr>
            <w:r>
              <w:rPr>
                <w:b/>
                <w:bCs/>
                <w:color w:val="0F6E56"/>
                <w:sz w:val="20"/>
                <w:szCs w:val="20"/>
              </w:rPr>
              <w:t>Outputs gerados:</w:t>
            </w:r>
          </w:p>
          <w:p w14:paraId="5A69BADB" w14:textId="77777777" w:rsidR="004301D3" w:rsidRDefault="00000000">
            <w:r>
              <w:rPr>
                <w:sz w:val="20"/>
                <w:szCs w:val="20"/>
              </w:rPr>
              <w:t>Alertas de padrão de insatisfação com tipo de problema e volume, recomendações de atualização de FAQ com base em perguntas frequentes não cobertas, antecipação de picos sazonais para pré-alocar capacidade, relatório mensal de eficácia dos scripts por tipo de solicitação</w:t>
            </w:r>
          </w:p>
        </w:tc>
      </w:tr>
      <w:tr w:rsidR="004301D3" w14:paraId="2A8D9DCD"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EEDFE"/>
            <w:tcMar>
              <w:top w:w="120" w:type="dxa"/>
              <w:left w:w="220" w:type="dxa"/>
              <w:bottom w:w="60" w:type="dxa"/>
              <w:right w:w="220" w:type="dxa"/>
            </w:tcMar>
          </w:tcPr>
          <w:p w14:paraId="1441DA08" w14:textId="77777777" w:rsidR="004301D3" w:rsidRDefault="00000000">
            <w:pPr>
              <w:spacing w:after="60"/>
            </w:pPr>
            <w:r>
              <w:rPr>
                <w:b/>
                <w:bCs/>
                <w:color w:val="3C3489"/>
                <w:sz w:val="20"/>
                <w:szCs w:val="20"/>
              </w:rPr>
              <w:t>Política de evolução do conhecimento:</w:t>
            </w:r>
          </w:p>
          <w:p w14:paraId="3D5615C3" w14:textId="77777777" w:rsidR="004301D3" w:rsidRDefault="00000000">
            <w:r>
              <w:rPr>
                <w:sz w:val="20"/>
                <w:szCs w:val="20"/>
              </w:rPr>
              <w:lastRenderedPageBreak/>
              <w:t>Insights de atendimento são mantidos por 24 meses para análise de sazonalidade. Scripts e FAQs têm versionamento — versão atual ativa, histórico preservado. Alertas resolvidos são arquivados com registro da ação tomada.</w:t>
            </w:r>
          </w:p>
        </w:tc>
      </w:tr>
      <w:tr w:rsidR="004301D3" w14:paraId="5CB032CA"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15EB91A6" w14:textId="77777777" w:rsidR="004301D3" w:rsidRDefault="00000000">
            <w:pPr>
              <w:spacing w:after="60"/>
            </w:pPr>
            <w:r>
              <w:rPr>
                <w:b/>
                <w:bCs/>
                <w:color w:val="3B6D11"/>
                <w:sz w:val="20"/>
                <w:szCs w:val="20"/>
              </w:rPr>
              <w:lastRenderedPageBreak/>
              <w:t>Métricas de impacto:</w:t>
            </w:r>
          </w:p>
          <w:p w14:paraId="093F4E6C" w14:textId="77777777" w:rsidR="004301D3" w:rsidRDefault="00000000">
            <w:r>
              <w:rPr>
                <w:sz w:val="20"/>
                <w:szCs w:val="20"/>
              </w:rPr>
              <w:t>Redução de tempo médio de resolução após implementação de insight (métrica de impacto primária), taxa de antecipação de picos confirmada (% de picos previstos vs. total de picos), taxa de FAQs atualizadas com base em insights vs. FAQs que geraram insatisfação recorrente</w:t>
            </w:r>
          </w:p>
        </w:tc>
      </w:tr>
    </w:tbl>
    <w:p w14:paraId="6E995A01" w14:textId="77777777" w:rsidR="004301D3" w:rsidRDefault="004301D3">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301D3" w14:paraId="29271E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0C1EC46A" w14:textId="77777777" w:rsidR="004301D3" w:rsidRDefault="00000000">
            <w:r>
              <w:rPr>
                <w:color w:val="FFFFFF"/>
                <w:sz w:val="17"/>
                <w:szCs w:val="17"/>
              </w:rPr>
              <w:t xml:space="preserve">FICHA DO SEGUNDO CÉREBRO  —  </w:t>
            </w:r>
            <w:r>
              <w:rPr>
                <w:i/>
                <w:iCs/>
                <w:color w:val="FFFFFF"/>
                <w:sz w:val="17"/>
                <w:szCs w:val="17"/>
              </w:rPr>
              <w:t>Sage — Agente de Análise Executiva</w:t>
            </w:r>
          </w:p>
          <w:p w14:paraId="1361C74A" w14:textId="77777777" w:rsidR="004301D3" w:rsidRDefault="00000000">
            <w:pPr>
              <w:spacing w:before="60"/>
            </w:pPr>
            <w:r>
              <w:rPr>
                <w:b/>
                <w:bCs/>
                <w:color w:val="FFFFFF"/>
                <w:sz w:val="26"/>
                <w:szCs w:val="26"/>
              </w:rPr>
              <w:t>Segundo Cérebro — Sage</w:t>
            </w:r>
          </w:p>
        </w:tc>
      </w:tr>
      <w:tr w:rsidR="004301D3" w14:paraId="75805C2A"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5CD84BAB" w14:textId="77777777" w:rsidR="004301D3" w:rsidRDefault="00000000">
            <w:pPr>
              <w:spacing w:after="60"/>
            </w:pPr>
            <w:r>
              <w:rPr>
                <w:b/>
                <w:bCs/>
                <w:color w:val="3C3489"/>
                <w:sz w:val="20"/>
                <w:szCs w:val="20"/>
              </w:rPr>
              <w:t>Fontes de entrada:</w:t>
            </w:r>
          </w:p>
          <w:p w14:paraId="70DBC638" w14:textId="77777777" w:rsidR="004301D3" w:rsidRDefault="00000000">
            <w:pPr>
              <w:spacing w:after="120"/>
            </w:pPr>
            <w:r>
              <w:rPr>
                <w:sz w:val="20"/>
                <w:szCs w:val="20"/>
              </w:rPr>
              <w:t>RAG analítico (relatórios históricos, benchmarks, metodologias), dados de outcome das análises anteriores (decisões tomadas com base em análise de Sage e seus resultados), feedback da liderança sobre qualidade das análises</w:t>
            </w:r>
          </w:p>
          <w:p w14:paraId="3A505026" w14:textId="77777777" w:rsidR="004301D3" w:rsidRDefault="00000000">
            <w:pPr>
              <w:spacing w:after="60"/>
            </w:pPr>
            <w:r>
              <w:rPr>
                <w:b/>
                <w:bCs/>
                <w:color w:val="3C3489"/>
                <w:sz w:val="20"/>
                <w:szCs w:val="20"/>
              </w:rPr>
              <w:t>Tipos de síntese realizados:</w:t>
            </w:r>
          </w:p>
          <w:p w14:paraId="361F9ABF" w14:textId="77777777" w:rsidR="004301D3" w:rsidRDefault="00000000">
            <w:r>
              <w:rPr>
                <w:sz w:val="20"/>
                <w:szCs w:val="20"/>
              </w:rPr>
              <w:t>Síntese de padrões de performance (indicadores que precedem historicamente resultados positivos ou negativos), conexão entre domínios financeiros e operacionais, previsão de tendências com base em séries históricas, curadoria de frameworks e metodologias</w:t>
            </w:r>
          </w:p>
        </w:tc>
      </w:tr>
      <w:tr w:rsidR="004301D3" w14:paraId="3A6B99C9"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585C9BBC" w14:textId="77777777" w:rsidR="004301D3" w:rsidRDefault="00000000">
            <w:pPr>
              <w:spacing w:after="60"/>
            </w:pPr>
            <w:r>
              <w:rPr>
                <w:b/>
                <w:bCs/>
                <w:color w:val="3C3489"/>
                <w:sz w:val="20"/>
                <w:szCs w:val="20"/>
              </w:rPr>
              <w:t>Gatilhos de síntese:</w:t>
            </w:r>
          </w:p>
          <w:p w14:paraId="73CF6B76" w14:textId="77777777" w:rsidR="004301D3" w:rsidRDefault="00000000">
            <w:pPr>
              <w:spacing w:after="120"/>
            </w:pPr>
            <w:r>
              <w:rPr>
                <w:sz w:val="20"/>
                <w:szCs w:val="20"/>
              </w:rPr>
              <w:t>Mensal após fechamento de cada período. Por gatilho quando KPI estratégico desvia mais de 2 desvios padrão da média histórica. Trimestral para curadoria de metodologias e benchmarks.</w:t>
            </w:r>
          </w:p>
          <w:p w14:paraId="775A8AD8" w14:textId="77777777" w:rsidR="004301D3" w:rsidRDefault="00000000">
            <w:pPr>
              <w:spacing w:after="60"/>
            </w:pPr>
            <w:r>
              <w:rPr>
                <w:b/>
                <w:bCs/>
                <w:color w:val="3C3489"/>
                <w:sz w:val="20"/>
                <w:szCs w:val="20"/>
              </w:rPr>
              <w:t>Outputs gerados:</w:t>
            </w:r>
          </w:p>
          <w:p w14:paraId="678D7FC5" w14:textId="77777777" w:rsidR="004301D3" w:rsidRDefault="00000000">
            <w:r>
              <w:rPr>
                <w:sz w:val="20"/>
                <w:szCs w:val="20"/>
              </w:rPr>
              <w:t>Relatório mensal de padrões de performance com destaque para desvios significativos, alertas de KPI com contexto histórico e possíveis causas, previsões trimestrais com intervalos de confiança explícitos, recomendações de atualização de frameworks com base em outcomes observados</w:t>
            </w:r>
          </w:p>
        </w:tc>
      </w:tr>
      <w:tr w:rsidR="004301D3" w14:paraId="58E1C6E5"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EEDFE"/>
            <w:tcMar>
              <w:top w:w="120" w:type="dxa"/>
              <w:left w:w="220" w:type="dxa"/>
              <w:bottom w:w="60" w:type="dxa"/>
              <w:right w:w="220" w:type="dxa"/>
            </w:tcMar>
          </w:tcPr>
          <w:p w14:paraId="4CF7791A" w14:textId="77777777" w:rsidR="004301D3" w:rsidRDefault="00000000">
            <w:pPr>
              <w:spacing w:after="60"/>
            </w:pPr>
            <w:r>
              <w:rPr>
                <w:b/>
                <w:bCs/>
                <w:color w:val="3C3489"/>
                <w:sz w:val="20"/>
                <w:szCs w:val="20"/>
              </w:rPr>
              <w:t>Política de evolução do conhecimento:</w:t>
            </w:r>
          </w:p>
          <w:p w14:paraId="4CEDC66B" w14:textId="77777777" w:rsidR="004301D3" w:rsidRDefault="00000000">
            <w:r>
              <w:rPr>
                <w:sz w:val="20"/>
                <w:szCs w:val="20"/>
              </w:rPr>
              <w:t>Análises e previsões são permanentes — construção de série histórica de qualidade analítica. Previsões são confrontadas com resultados reais após o período — alimentam ciclo de melhoria do próprio Segundo Cérebro. Frameworks desatualizados são arquivados, não deletados.</w:t>
            </w:r>
          </w:p>
        </w:tc>
      </w:tr>
      <w:tr w:rsidR="004301D3" w14:paraId="5B997497"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689818BB" w14:textId="77777777" w:rsidR="004301D3" w:rsidRDefault="00000000">
            <w:pPr>
              <w:spacing w:after="60"/>
            </w:pPr>
            <w:r>
              <w:rPr>
                <w:b/>
                <w:bCs/>
                <w:color w:val="3B6D11"/>
                <w:sz w:val="20"/>
                <w:szCs w:val="20"/>
              </w:rPr>
              <w:t>Métricas de impacto:</w:t>
            </w:r>
          </w:p>
          <w:p w14:paraId="2DF99A19" w14:textId="77777777" w:rsidR="004301D3" w:rsidRDefault="00000000">
            <w:r>
              <w:rPr>
                <w:sz w:val="20"/>
                <w:szCs w:val="20"/>
              </w:rPr>
              <w:t>Precisão preditiva (% de previsões trimestrais dentro do intervalo de confiança declarado), taxa de insights que resultaram em decisão estratégica documentada, qualidade percebida das análises (avaliação trimestral pela liderança), taxa de frameworks utilizados vs. frameworks arquivados (indicador de curadoria eficaz)</w:t>
            </w:r>
          </w:p>
        </w:tc>
      </w:tr>
    </w:tbl>
    <w:p w14:paraId="291AB7F2" w14:textId="77777777" w:rsidR="004301D3" w:rsidRDefault="004301D3">
      <w:pPr>
        <w:spacing w:after="200"/>
      </w:pPr>
    </w:p>
    <w:p w14:paraId="010F98C2" w14:textId="77777777" w:rsidR="004301D3" w:rsidRDefault="004301D3">
      <w:pPr>
        <w:pBdr>
          <w:bottom w:val="single" w:sz="4" w:space="1" w:color="E0E0E0"/>
        </w:pBdr>
        <w:spacing w:before="160" w:after="160"/>
      </w:pPr>
    </w:p>
    <w:p w14:paraId="4E63F5C9" w14:textId="77777777" w:rsidR="004301D3" w:rsidRDefault="004301D3">
      <w:pPr>
        <w:spacing w:after="100"/>
      </w:pPr>
    </w:p>
    <w:p w14:paraId="6BD8F968" w14:textId="77777777" w:rsidR="004301D3" w:rsidRDefault="00000000">
      <w:pPr>
        <w:pStyle w:val="Ttulo2"/>
      </w:pPr>
      <w:r>
        <w:t>Como configurar o Segundo Cérebro</w:t>
      </w:r>
    </w:p>
    <w:p w14:paraId="7DE50AD5" w14:textId="77777777" w:rsidR="004301D3" w:rsidRDefault="00000000">
      <w:pPr>
        <w:spacing w:before="240" w:after="120"/>
      </w:pPr>
      <w:r>
        <w:rPr>
          <w:b/>
          <w:bCs/>
          <w:color w:val="0F6E56"/>
          <w:sz w:val="24"/>
          <w:szCs w:val="24"/>
        </w:rPr>
        <w:t>Passo 1 — Espere o RAG ter massa crítica</w:t>
      </w:r>
    </w:p>
    <w:p w14:paraId="56DD778D" w14:textId="77777777" w:rsidR="004301D3" w:rsidRDefault="00000000">
      <w:pPr>
        <w:spacing w:before="80" w:after="120" w:line="340" w:lineRule="auto"/>
        <w:jc w:val="both"/>
      </w:pPr>
      <w:r>
        <w:t xml:space="preserve">O Segundo Cérebro não tem valor com RAG vazio ou incipiente. Defina um threshold de maturidade: volume mínimo de chunks (ex: 10.000), tempo mínimo de operação (ex: 3 meses) </w:t>
      </w:r>
      <w:r>
        <w:lastRenderedPageBreak/>
        <w:t>e número mínimo de interações do agente (ex: 500). Só invista no Segundo Cérebro depois que esses três critérios forem atendidos simultaneamente.</w:t>
      </w:r>
    </w:p>
    <w:p w14:paraId="094044E7" w14:textId="77777777" w:rsidR="004301D3" w:rsidRDefault="004301D3">
      <w:pPr>
        <w:spacing w:after="200"/>
      </w:pPr>
    </w:p>
    <w:p w14:paraId="019FFBE2" w14:textId="77777777" w:rsidR="004301D3" w:rsidRDefault="00000000">
      <w:pPr>
        <w:spacing w:before="240" w:after="120"/>
      </w:pPr>
      <w:r>
        <w:rPr>
          <w:b/>
          <w:bCs/>
          <w:color w:val="0F6E56"/>
          <w:sz w:val="24"/>
          <w:szCs w:val="24"/>
        </w:rPr>
        <w:t>Passo 2 — Identifique quais das 5 funções são prioritárias</w:t>
      </w:r>
    </w:p>
    <w:p w14:paraId="718EB5C9" w14:textId="77777777" w:rsidR="004301D3" w:rsidRDefault="00000000">
      <w:pPr>
        <w:spacing w:before="80" w:after="120" w:line="340" w:lineRule="auto"/>
        <w:jc w:val="both"/>
      </w:pPr>
      <w:r>
        <w:t>Nem todo agente precisa das cinco funções do Segundo Cérebro com a mesma intensidade. Para cada agente, identifique as duas ou três funções que geram mais valor para o seu domínio: Atlas precisa de síntese de padrões e curadoria. Echo precisa de detecção de contradições e antecipação. Sage precisa de conexão entre domínios e previsão. Comece com essas e expanda com dados.</w:t>
      </w:r>
    </w:p>
    <w:p w14:paraId="0AE0D211" w14:textId="77777777" w:rsidR="004301D3" w:rsidRDefault="004301D3">
      <w:pPr>
        <w:spacing w:after="200"/>
      </w:pPr>
    </w:p>
    <w:p w14:paraId="6DE7805C" w14:textId="77777777" w:rsidR="004301D3" w:rsidRDefault="00000000">
      <w:pPr>
        <w:spacing w:before="240" w:after="120"/>
      </w:pPr>
      <w:r>
        <w:rPr>
          <w:b/>
          <w:bCs/>
          <w:color w:val="0F6E56"/>
          <w:sz w:val="24"/>
          <w:szCs w:val="24"/>
        </w:rPr>
        <w:t>Passo 3 — Escolha o modelo de implementação</w:t>
      </w:r>
    </w:p>
    <w:p w14:paraId="65342D60" w14:textId="77777777" w:rsidR="004301D3" w:rsidRDefault="00000000">
      <w:pPr>
        <w:spacing w:before="80" w:after="120" w:line="340" w:lineRule="auto"/>
        <w:jc w:val="both"/>
      </w:pPr>
      <w:r>
        <w:t>Com as funções identificadas, escolha o modelo: síntese periódica para começar simples, síntese por gatilho quando os eventos-chave são identificáveis, sob demanda quando as queries são imprevisíveis. Reserve síntese contínua para ecossistemas maduros com infraestrutura dedicada. A regra: comece pelo modelo mais simples que atenda às funções prioritárias.</w:t>
      </w:r>
    </w:p>
    <w:p w14:paraId="1DBDA1B4" w14:textId="77777777" w:rsidR="004301D3" w:rsidRDefault="004301D3">
      <w:pPr>
        <w:spacing w:after="200"/>
      </w:pPr>
    </w:p>
    <w:p w14:paraId="0EF14A77" w14:textId="77777777" w:rsidR="004301D3" w:rsidRDefault="00000000">
      <w:pPr>
        <w:spacing w:before="240" w:after="120"/>
      </w:pPr>
      <w:r>
        <w:rPr>
          <w:b/>
          <w:bCs/>
          <w:color w:val="0F6E56"/>
          <w:sz w:val="24"/>
          <w:szCs w:val="24"/>
        </w:rPr>
        <w:t>Passo 4 — Defina os gatilhos e a frequência de síntese</w:t>
      </w:r>
    </w:p>
    <w:p w14:paraId="59C26310" w14:textId="77777777" w:rsidR="004301D3" w:rsidRDefault="00000000">
      <w:pPr>
        <w:spacing w:before="80" w:after="120" w:line="340" w:lineRule="auto"/>
        <w:jc w:val="both"/>
      </w:pPr>
      <w:r>
        <w:t>Para cada função do Segundo Cérebro, defina: quando a síntese é disparada (agendamento ou evento), qual é o threshold de relevância para gerar um output (evita gerar alertas para cada pequena variação), e qual é o formato e destino do output gerado (quem recebe, em qual canal, com qual urgência).</w:t>
      </w:r>
    </w:p>
    <w:p w14:paraId="115F409F" w14:textId="77777777" w:rsidR="004301D3" w:rsidRDefault="004301D3">
      <w:pPr>
        <w:spacing w:after="1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301D3" w14:paraId="26066F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0E3EC525" w14:textId="77777777" w:rsidR="004301D3" w:rsidRDefault="00000000">
            <w:pPr>
              <w:spacing w:after="80"/>
            </w:pPr>
            <w:r>
              <w:rPr>
                <w:b/>
                <w:bCs/>
                <w:color w:val="C47A0A"/>
                <w:sz w:val="20"/>
                <w:szCs w:val="20"/>
              </w:rPr>
              <w:t>Threshold de relevância — o filtro crítico</w:t>
            </w:r>
          </w:p>
          <w:p w14:paraId="191DC475" w14:textId="77777777" w:rsidR="004301D3" w:rsidRDefault="00000000">
            <w:pPr>
              <w:jc w:val="both"/>
            </w:pPr>
            <w:r>
              <w:rPr>
                <w:sz w:val="21"/>
                <w:szCs w:val="21"/>
              </w:rPr>
              <w:t>Sem threshold bem calibrado, o Segundo Cérebro gera ruído — alertas e sínteses que não merecem atenção e que ensinam o usuário a ignorá-lo. Comece com thresholds conservadores (só alerta para padrões muito claros) e relaxe gradualmente com base no feedback de quais alertas foram acionáveis e quais foram ignorados. Um Segundo Cérebro confiável é mais valioso que um prolífico.</w:t>
            </w:r>
          </w:p>
        </w:tc>
      </w:tr>
    </w:tbl>
    <w:p w14:paraId="5FFD021D" w14:textId="77777777" w:rsidR="004301D3" w:rsidRDefault="004301D3">
      <w:pPr>
        <w:spacing w:after="200"/>
      </w:pPr>
    </w:p>
    <w:p w14:paraId="0846F42C" w14:textId="77777777" w:rsidR="004301D3" w:rsidRDefault="00000000">
      <w:pPr>
        <w:spacing w:before="240" w:after="120"/>
      </w:pPr>
      <w:r>
        <w:rPr>
          <w:b/>
          <w:bCs/>
          <w:color w:val="0F6E56"/>
          <w:sz w:val="24"/>
          <w:szCs w:val="24"/>
        </w:rPr>
        <w:t>Passo 5 — Feche o ciclo: confronte previsões com resultados</w:t>
      </w:r>
    </w:p>
    <w:p w14:paraId="2511E319" w14:textId="77777777" w:rsidR="004301D3" w:rsidRDefault="00000000">
      <w:pPr>
        <w:spacing w:before="80" w:after="120" w:line="340" w:lineRule="auto"/>
        <w:jc w:val="both"/>
      </w:pPr>
      <w:r>
        <w:t>O Segundo Cérebro melhora quando seus outputs são confrontados com a realidade. Para cada previsão ou padrão identificado, registre o que de fato aconteceu. Essa retroalimentação permite calibrar os modelos de síntese ao longo do tempo — tornando o Segundo Cérebro progressivamente mais preciso e confiável.</w:t>
      </w:r>
    </w:p>
    <w:p w14:paraId="3A4208E1" w14:textId="77777777" w:rsidR="004301D3" w:rsidRDefault="004301D3">
      <w:pPr>
        <w:spacing w:after="200"/>
      </w:pPr>
    </w:p>
    <w:p w14:paraId="125B6E91" w14:textId="77777777" w:rsidR="004301D3" w:rsidRDefault="004301D3">
      <w:pPr>
        <w:pBdr>
          <w:bottom w:val="single" w:sz="4" w:space="1" w:color="E0E0E0"/>
        </w:pBdr>
        <w:spacing w:before="160" w:after="160"/>
      </w:pPr>
    </w:p>
    <w:p w14:paraId="58AD6772" w14:textId="77777777" w:rsidR="004301D3" w:rsidRDefault="004301D3">
      <w:pPr>
        <w:spacing w:after="100"/>
      </w:pPr>
    </w:p>
    <w:p w14:paraId="0F667827" w14:textId="77777777" w:rsidR="004301D3" w:rsidRDefault="00000000">
      <w:pPr>
        <w:pStyle w:val="Ttulo2"/>
      </w:pPr>
      <w:r>
        <w:t>Erros comuns — e como corrigir</w:t>
      </w:r>
    </w:p>
    <w:p w14:paraId="691C2DAF" w14:textId="77777777" w:rsidR="004301D3" w:rsidRDefault="004301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4301D3" w14:paraId="79F866B8" w14:textId="77777777">
        <w:tblPrEx>
          <w:tblCellMar>
            <w:top w:w="0" w:type="dxa"/>
            <w:bottom w:w="0" w:type="dxa"/>
          </w:tblCellMar>
        </w:tblPrEx>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9117148" w14:textId="77777777" w:rsidR="004301D3" w:rsidRDefault="0000000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2D33C7C6" w14:textId="77777777" w:rsidR="004301D3" w:rsidRDefault="0000000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683D112" w14:textId="77777777" w:rsidR="004301D3" w:rsidRDefault="00000000">
            <w:r>
              <w:rPr>
                <w:b/>
                <w:bCs/>
                <w:color w:val="FFFFFF"/>
                <w:sz w:val="20"/>
                <w:szCs w:val="20"/>
              </w:rPr>
              <w:t>Correção</w:t>
            </w:r>
          </w:p>
        </w:tc>
      </w:tr>
      <w:tr w:rsidR="004301D3" w14:paraId="1D7A5CE7"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989901D" w14:textId="77777777" w:rsidR="004301D3" w:rsidRDefault="00000000">
            <w:r>
              <w:rPr>
                <w:b/>
                <w:bCs/>
                <w:color w:val="A32D2D"/>
                <w:sz w:val="20"/>
                <w:szCs w:val="20"/>
              </w:rPr>
              <w:t>Segundo Cérebro sem RAG maduro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D6A7856" w14:textId="77777777" w:rsidR="004301D3" w:rsidRDefault="00000000">
            <w:r>
              <w:rPr>
                <w:sz w:val="20"/>
                <w:szCs w:val="20"/>
              </w:rPr>
              <w:t>Sínteses vazias ou triviais — o agente 'sintetiza' conteúdo insuficiente e gera insights sem valor real</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8973FE1" w14:textId="77777777" w:rsidR="004301D3" w:rsidRDefault="00000000">
            <w:r>
              <w:rPr>
                <w:color w:val="3B6D11"/>
                <w:sz w:val="20"/>
                <w:szCs w:val="20"/>
              </w:rPr>
              <w:t>Aguarde a massa crítica do RAG antes de ativar. Defina thresholds mínimos de volume, tempo e interações.</w:t>
            </w:r>
          </w:p>
        </w:tc>
      </w:tr>
      <w:tr w:rsidR="004301D3" w14:paraId="042E0ECC"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A4ACC4D" w14:textId="77777777" w:rsidR="004301D3" w:rsidRDefault="00000000">
            <w:r>
              <w:rPr>
                <w:b/>
                <w:bCs/>
                <w:color w:val="A32D2D"/>
                <w:sz w:val="20"/>
                <w:szCs w:val="20"/>
              </w:rPr>
              <w:t>Confusão com o RAG</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28CA3A1" w14:textId="77777777" w:rsidR="004301D3" w:rsidRDefault="00000000">
            <w:r>
              <w:rPr>
                <w:sz w:val="20"/>
                <w:szCs w:val="20"/>
              </w:rPr>
              <w:t>O Segundo Cérebro é usado como repositório de dados em vez de camada de síntese; duplica função do RAG</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86E227F" w14:textId="77777777" w:rsidR="004301D3" w:rsidRDefault="00000000">
            <w:r>
              <w:rPr>
                <w:color w:val="3B6D11"/>
                <w:sz w:val="20"/>
                <w:szCs w:val="20"/>
              </w:rPr>
              <w:t>Regra clara: o RAG armazena fatos. O Segundo Cérebro armazena insights sobre fatos. Nenhum dado bruto vai para o Segundo Cérebro — apenas sínteses, padrões e conexões.</w:t>
            </w:r>
          </w:p>
        </w:tc>
      </w:tr>
      <w:tr w:rsidR="004301D3" w14:paraId="739F5009"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5FA6579" w14:textId="77777777" w:rsidR="004301D3" w:rsidRDefault="00000000">
            <w:r>
              <w:rPr>
                <w:b/>
                <w:bCs/>
                <w:color w:val="A32D2D"/>
                <w:sz w:val="20"/>
                <w:szCs w:val="20"/>
              </w:rPr>
              <w:t>Thresholds muito baixos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213CA18" w14:textId="77777777" w:rsidR="004301D3" w:rsidRDefault="00000000">
            <w:r>
              <w:rPr>
                <w:sz w:val="20"/>
                <w:szCs w:val="20"/>
              </w:rPr>
              <w:t>Geração excessiva de alertas e sínteses; usuário aprende a ignorar tudo; Segundo Cérebro perde credibilidade</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C3CCD5D" w14:textId="77777777" w:rsidR="004301D3" w:rsidRDefault="00000000">
            <w:r>
              <w:rPr>
                <w:color w:val="3B6D11"/>
                <w:sz w:val="20"/>
                <w:szCs w:val="20"/>
              </w:rPr>
              <w:t>Calibre thresholds com dados reais de uso. Monitore taxa de alertas acionados vs. ignorados. Ajuste até que mais de 70% dos alertas gerem ação.</w:t>
            </w:r>
          </w:p>
        </w:tc>
      </w:tr>
      <w:tr w:rsidR="004301D3" w14:paraId="547DB4AB"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1CE4ECC" w14:textId="77777777" w:rsidR="004301D3" w:rsidRDefault="00000000">
            <w:r>
              <w:rPr>
                <w:b/>
                <w:bCs/>
                <w:color w:val="A32D2D"/>
                <w:sz w:val="20"/>
                <w:szCs w:val="20"/>
              </w:rPr>
              <w:t>Sem confronto de previsões com resultados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2B1C6BF" w14:textId="77777777" w:rsidR="004301D3" w:rsidRDefault="00000000">
            <w:r>
              <w:rPr>
                <w:sz w:val="20"/>
                <w:szCs w:val="20"/>
              </w:rPr>
              <w:t>O Segundo Cérebro nunca melhora; acumula padrões incorretos que geram insights de baixa qualidade progressivamente</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92250AD" w14:textId="77777777" w:rsidR="004301D3" w:rsidRDefault="00000000">
            <w:r>
              <w:rPr>
                <w:color w:val="3B6D11"/>
                <w:sz w:val="20"/>
                <w:szCs w:val="20"/>
              </w:rPr>
              <w:t>Implemente ciclo de feedback: toda previsão gera um registro de acompanhamento. Após o período, registre o que aconteceu. Use para calibrar thresholds e modelos.</w:t>
            </w:r>
          </w:p>
        </w:tc>
      </w:tr>
      <w:tr w:rsidR="004301D3" w14:paraId="293652BC"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588EA52" w14:textId="77777777" w:rsidR="004301D3" w:rsidRDefault="00000000">
            <w:r>
              <w:rPr>
                <w:b/>
                <w:bCs/>
                <w:color w:val="A32D2D"/>
                <w:sz w:val="20"/>
                <w:szCs w:val="20"/>
              </w:rPr>
              <w:t>Implementação prematura de síntese contínua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09242B4" w14:textId="77777777" w:rsidR="004301D3" w:rsidRDefault="00000000">
            <w:r>
              <w:rPr>
                <w:sz w:val="20"/>
                <w:szCs w:val="20"/>
              </w:rPr>
              <w:t>Alto custo computacional sem retorno proporcional; infraestrutura sobrecarregada; outputs de baixa qualidade por falta de massa crítica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615B10F" w14:textId="77777777" w:rsidR="004301D3" w:rsidRDefault="00000000">
            <w:r>
              <w:rPr>
                <w:color w:val="3B6D11"/>
                <w:sz w:val="20"/>
                <w:szCs w:val="20"/>
              </w:rPr>
              <w:t>Comece com síntese periódica ou por gatilho. Migre para contínua apenas quando o volume de dados e a infraestrutura justificarem.</w:t>
            </w:r>
          </w:p>
        </w:tc>
      </w:tr>
      <w:tr w:rsidR="004301D3" w14:paraId="452A03CE"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410B850" w14:textId="77777777" w:rsidR="004301D3" w:rsidRDefault="00000000">
            <w:r>
              <w:rPr>
                <w:b/>
                <w:bCs/>
                <w:color w:val="A32D2D"/>
                <w:sz w:val="20"/>
                <w:szCs w:val="20"/>
              </w:rPr>
              <w:t>Outputs sem destino definido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07B8983" w14:textId="77777777" w:rsidR="004301D3" w:rsidRDefault="00000000">
            <w:r>
              <w:rPr>
                <w:sz w:val="20"/>
                <w:szCs w:val="20"/>
              </w:rPr>
              <w:t>Sínteses e alertas gerados mas não consumidos — ninguém sabe que existem ou onde encontrá-los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E574620" w14:textId="77777777" w:rsidR="004301D3" w:rsidRDefault="00000000">
            <w:r>
              <w:rPr>
                <w:color w:val="3B6D11"/>
                <w:sz w:val="20"/>
                <w:szCs w:val="20"/>
              </w:rPr>
              <w:t>Defina formato, canal e destinatário para cada tipo de output antes de ativar qualquer função do Segundo Cérebro.</w:t>
            </w:r>
          </w:p>
        </w:tc>
      </w:tr>
    </w:tbl>
    <w:p w14:paraId="77E0C8EE" w14:textId="77777777" w:rsidR="004301D3" w:rsidRDefault="004301D3">
      <w:pPr>
        <w:spacing w:after="200"/>
      </w:pPr>
    </w:p>
    <w:p w14:paraId="05893D2A" w14:textId="77777777" w:rsidR="004301D3" w:rsidRDefault="004301D3">
      <w:pPr>
        <w:pBdr>
          <w:bottom w:val="single" w:sz="4" w:space="1" w:color="E0E0E0"/>
        </w:pBdr>
        <w:spacing w:before="160" w:after="160"/>
      </w:pPr>
    </w:p>
    <w:p w14:paraId="7CFC1A8B" w14:textId="77777777" w:rsidR="004301D3" w:rsidRDefault="004301D3">
      <w:pPr>
        <w:spacing w:after="100"/>
      </w:pPr>
    </w:p>
    <w:p w14:paraId="6E933FBA" w14:textId="77777777" w:rsidR="004301D3" w:rsidRDefault="00000000">
      <w:pPr>
        <w:pStyle w:val="Ttulo2"/>
      </w:pPr>
      <w:r>
        <w:t>Checklist — Segundo Cérebro completo</w:t>
      </w:r>
    </w:p>
    <w:p w14:paraId="2200BEE1" w14:textId="77777777" w:rsidR="004301D3" w:rsidRDefault="004301D3">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4301D3" w14:paraId="2C53D8D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1A77E68" w14:textId="77777777" w:rsidR="004301D3"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61A905E4" w14:textId="77777777" w:rsidR="004301D3" w:rsidRDefault="00000000">
            <w:r>
              <w:rPr>
                <w:sz w:val="21"/>
                <w:szCs w:val="21"/>
              </w:rPr>
              <w:t>O RAG do agente atingiu os três critérios de massa crítica: volume mínimo, tempo mínimo e interações mínimas</w:t>
            </w:r>
          </w:p>
        </w:tc>
      </w:tr>
      <w:tr w:rsidR="004301D3" w14:paraId="5D34287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7B18D5D" w14:textId="77777777" w:rsidR="004301D3" w:rsidRDefault="00000000">
            <w:pPr>
              <w:jc w:val="center"/>
            </w:pPr>
            <w:r>
              <w:rPr>
                <w:color w:val="888780"/>
              </w:rPr>
              <w:lastRenderedPageBreak/>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6188EE8B" w14:textId="77777777" w:rsidR="004301D3" w:rsidRDefault="00000000">
            <w:r>
              <w:rPr>
                <w:sz w:val="21"/>
                <w:szCs w:val="21"/>
              </w:rPr>
              <w:t>As funções prioritárias do Segundo Cérebro foram identificadas para este agente (máximo 3 para começar)</w:t>
            </w:r>
          </w:p>
        </w:tc>
      </w:tr>
      <w:tr w:rsidR="004301D3" w14:paraId="14DC5C6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500E1CD" w14:textId="77777777" w:rsidR="004301D3"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7DE35261" w14:textId="77777777" w:rsidR="004301D3" w:rsidRDefault="00000000">
            <w:r>
              <w:rPr>
                <w:sz w:val="21"/>
                <w:szCs w:val="21"/>
              </w:rPr>
              <w:t>O modelo de implementação foi escolhido com justificativa (periódico, por gatilho, sob demanda ou contínuo)</w:t>
            </w:r>
          </w:p>
        </w:tc>
      </w:tr>
      <w:tr w:rsidR="004301D3" w14:paraId="6BDA270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64D2D847" w14:textId="77777777" w:rsidR="004301D3"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07C0005A" w14:textId="77777777" w:rsidR="004301D3" w:rsidRDefault="00000000">
            <w:r>
              <w:rPr>
                <w:sz w:val="21"/>
                <w:szCs w:val="21"/>
              </w:rPr>
              <w:t>Os gatilhos de síntese estão definidos com critério específico e mensurável para cada função ativa</w:t>
            </w:r>
          </w:p>
        </w:tc>
      </w:tr>
      <w:tr w:rsidR="004301D3" w14:paraId="18F853B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B182970" w14:textId="77777777" w:rsidR="004301D3"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8FA64C2" w14:textId="77777777" w:rsidR="004301D3" w:rsidRDefault="00000000">
            <w:r>
              <w:rPr>
                <w:sz w:val="21"/>
                <w:szCs w:val="21"/>
              </w:rPr>
              <w:t>Os thresholds de relevância estão configurados — não gera output para variações abaixo do threshold</w:t>
            </w:r>
          </w:p>
        </w:tc>
      </w:tr>
      <w:tr w:rsidR="004301D3" w14:paraId="6A3DE9B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9B0B39B" w14:textId="77777777" w:rsidR="004301D3"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AE6FB27" w14:textId="77777777" w:rsidR="004301D3" w:rsidRDefault="00000000">
            <w:r>
              <w:rPr>
                <w:sz w:val="21"/>
                <w:szCs w:val="21"/>
              </w:rPr>
              <w:t>O formato e destino de cada tipo de output estão definidos (quem recebe, em qual canal, com qual urgência)</w:t>
            </w:r>
          </w:p>
        </w:tc>
      </w:tr>
      <w:tr w:rsidR="004301D3" w14:paraId="4C66882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643B4C65" w14:textId="77777777" w:rsidR="004301D3"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1EEACC3" w14:textId="77777777" w:rsidR="004301D3" w:rsidRDefault="00000000">
            <w:r>
              <w:rPr>
                <w:sz w:val="21"/>
                <w:szCs w:val="21"/>
              </w:rPr>
              <w:t>O ciclo de feedback está implementado — previsões são confrontadas com resultados após o período</w:t>
            </w:r>
          </w:p>
        </w:tc>
      </w:tr>
      <w:tr w:rsidR="004301D3" w14:paraId="1620B35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4826623" w14:textId="77777777" w:rsidR="004301D3"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69950D00" w14:textId="77777777" w:rsidR="004301D3" w:rsidRDefault="00000000">
            <w:r>
              <w:rPr>
                <w:sz w:val="21"/>
                <w:szCs w:val="21"/>
              </w:rPr>
              <w:t>A política de evolução do conhecimento está definida (o que fica permanente, o que é arquivado, o que expira)</w:t>
            </w:r>
          </w:p>
        </w:tc>
      </w:tr>
      <w:tr w:rsidR="004301D3" w14:paraId="6A1D09D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F8D9BA5" w14:textId="77777777" w:rsidR="004301D3"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7699173A" w14:textId="77777777" w:rsidR="004301D3" w:rsidRDefault="00000000">
            <w:r>
              <w:rPr>
                <w:sz w:val="21"/>
                <w:szCs w:val="21"/>
              </w:rPr>
              <w:t>As métricas de impacto estão definidas e são mensuráveis (taxa de alertas acionáveis, precisão preditiva)</w:t>
            </w:r>
          </w:p>
        </w:tc>
      </w:tr>
      <w:tr w:rsidR="004301D3" w14:paraId="04C38C8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710AF50" w14:textId="77777777" w:rsidR="004301D3"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6228134" w14:textId="77777777" w:rsidR="004301D3" w:rsidRDefault="00000000">
            <w:r>
              <w:rPr>
                <w:sz w:val="21"/>
                <w:szCs w:val="21"/>
              </w:rPr>
              <w:t>A integração com o RAG está validada — sínteses do Segundo Cérebro retroalimentam o RAG quando relevante</w:t>
            </w:r>
          </w:p>
        </w:tc>
      </w:tr>
    </w:tbl>
    <w:p w14:paraId="5CF2A1FB" w14:textId="77777777" w:rsidR="004301D3" w:rsidRDefault="004301D3">
      <w:pPr>
        <w:spacing w:after="200"/>
      </w:pPr>
    </w:p>
    <w:p w14:paraId="633D07F4" w14:textId="77777777" w:rsidR="004301D3" w:rsidRDefault="00000000">
      <w:pPr>
        <w:pBdr>
          <w:left w:val="single" w:sz="6" w:space="12" w:color="444441"/>
        </w:pBdr>
        <w:spacing w:before="200" w:after="200" w:line="320" w:lineRule="auto"/>
        <w:ind w:left="800" w:right="800"/>
        <w:jc w:val="center"/>
      </w:pPr>
      <w:r>
        <w:rPr>
          <w:b/>
          <w:bCs/>
          <w:i/>
          <w:iCs/>
          <w:sz w:val="24"/>
          <w:szCs w:val="24"/>
        </w:rPr>
        <w:t>O RAG faz o agente saber. O Segundo Cérebro faz o agente compreender. E é a compreensão — não o armazenamento — que transforma um agente capaz em um agente indispensável.</w:t>
      </w:r>
    </w:p>
    <w:p w14:paraId="3766F974" w14:textId="77777777" w:rsidR="004301D3" w:rsidRDefault="004301D3">
      <w:pPr>
        <w:spacing w:after="200"/>
      </w:pPr>
    </w:p>
    <w:p w14:paraId="047C9A81" w14:textId="77777777" w:rsidR="004301D3" w:rsidRDefault="004301D3">
      <w:pPr>
        <w:pBdr>
          <w:bottom w:val="single" w:sz="4" w:space="1" w:color="0F6E56"/>
        </w:pBdr>
        <w:spacing w:before="160" w:after="160"/>
      </w:pPr>
    </w:p>
    <w:p w14:paraId="3B4005A7" w14:textId="77777777" w:rsidR="004301D3" w:rsidRDefault="00000000">
      <w:pPr>
        <w:spacing w:before="200" w:after="80"/>
        <w:jc w:val="center"/>
      </w:pPr>
      <w:r>
        <w:rPr>
          <w:b/>
          <w:bCs/>
          <w:color w:val="0F6E56"/>
        </w:rPr>
        <w:t>Grupo Memória concluído</w:t>
      </w:r>
    </w:p>
    <w:p w14:paraId="2225B9C0" w14:textId="77777777" w:rsidR="004301D3" w:rsidRDefault="00000000">
      <w:pPr>
        <w:spacing w:after="200"/>
        <w:jc w:val="center"/>
      </w:pPr>
      <w:r>
        <w:rPr>
          <w:i/>
          <w:iCs/>
          <w:color w:val="888780"/>
          <w:sz w:val="20"/>
          <w:szCs w:val="20"/>
        </w:rPr>
        <w:t>MCP (C.9) + RAG (C.10) + Segundo Cérebro (C.11) — presente, passado e sabedoria do agente</w:t>
      </w:r>
    </w:p>
    <w:p w14:paraId="1C53CBAD" w14:textId="77777777" w:rsidR="004301D3" w:rsidRDefault="004301D3">
      <w:pPr>
        <w:pBdr>
          <w:bottom w:val="single" w:sz="4" w:space="1" w:color="0F6E56"/>
        </w:pBdr>
        <w:spacing w:before="160" w:after="160"/>
      </w:pPr>
    </w:p>
    <w:p w14:paraId="55B965EB" w14:textId="77777777" w:rsidR="004301D3" w:rsidRDefault="00000000">
      <w:pPr>
        <w:spacing w:before="200"/>
        <w:jc w:val="center"/>
      </w:pPr>
      <w:r>
        <w:rPr>
          <w:color w:val="AAAAAA"/>
          <w:sz w:val="18"/>
          <w:szCs w:val="18"/>
        </w:rPr>
        <w:t>Ecossistema Genius  •  Capítulo 13  •  Camada Segundo Cérebro</w:t>
      </w:r>
    </w:p>
    <w:sectPr w:rsidR="004301D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111FC"/>
    <w:multiLevelType w:val="hybridMultilevel"/>
    <w:tmpl w:val="580295B4"/>
    <w:lvl w:ilvl="0" w:tplc="B262EE94">
      <w:start w:val="1"/>
      <w:numFmt w:val="decimal"/>
      <w:lvlText w:val="%1."/>
      <w:lvlJc w:val="left"/>
      <w:pPr>
        <w:ind w:left="720" w:hanging="360"/>
      </w:pPr>
    </w:lvl>
    <w:lvl w:ilvl="1" w:tplc="571434CA">
      <w:numFmt w:val="decimal"/>
      <w:lvlText w:val=""/>
      <w:lvlJc w:val="left"/>
    </w:lvl>
    <w:lvl w:ilvl="2" w:tplc="82300C0C">
      <w:numFmt w:val="decimal"/>
      <w:lvlText w:val=""/>
      <w:lvlJc w:val="left"/>
    </w:lvl>
    <w:lvl w:ilvl="3" w:tplc="82927BD2">
      <w:numFmt w:val="decimal"/>
      <w:lvlText w:val=""/>
      <w:lvlJc w:val="left"/>
    </w:lvl>
    <w:lvl w:ilvl="4" w:tplc="A85E92AC">
      <w:numFmt w:val="decimal"/>
      <w:lvlText w:val=""/>
      <w:lvlJc w:val="left"/>
    </w:lvl>
    <w:lvl w:ilvl="5" w:tplc="7652B5DC">
      <w:numFmt w:val="decimal"/>
      <w:lvlText w:val=""/>
      <w:lvlJc w:val="left"/>
    </w:lvl>
    <w:lvl w:ilvl="6" w:tplc="2E3AE8A2">
      <w:numFmt w:val="decimal"/>
      <w:lvlText w:val=""/>
      <w:lvlJc w:val="left"/>
    </w:lvl>
    <w:lvl w:ilvl="7" w:tplc="4A4CA01A">
      <w:numFmt w:val="decimal"/>
      <w:lvlText w:val=""/>
      <w:lvlJc w:val="left"/>
    </w:lvl>
    <w:lvl w:ilvl="8" w:tplc="A57E7F44">
      <w:numFmt w:val="decimal"/>
      <w:lvlText w:val=""/>
      <w:lvlJc w:val="left"/>
    </w:lvl>
  </w:abstractNum>
  <w:abstractNum w:abstractNumId="1" w15:restartNumberingAfterBreak="0">
    <w:nsid w:val="3E434D7F"/>
    <w:multiLevelType w:val="hybridMultilevel"/>
    <w:tmpl w:val="0B32CC32"/>
    <w:lvl w:ilvl="0" w:tplc="2C8EC738">
      <w:start w:val="1"/>
      <w:numFmt w:val="bullet"/>
      <w:lvlText w:val="●"/>
      <w:lvlJc w:val="left"/>
      <w:pPr>
        <w:ind w:left="720" w:hanging="360"/>
      </w:pPr>
    </w:lvl>
    <w:lvl w:ilvl="1" w:tplc="2D407A5A">
      <w:start w:val="1"/>
      <w:numFmt w:val="bullet"/>
      <w:lvlText w:val="○"/>
      <w:lvlJc w:val="left"/>
      <w:pPr>
        <w:ind w:left="1440" w:hanging="360"/>
      </w:pPr>
    </w:lvl>
    <w:lvl w:ilvl="2" w:tplc="5934778C">
      <w:start w:val="1"/>
      <w:numFmt w:val="bullet"/>
      <w:lvlText w:val="■"/>
      <w:lvlJc w:val="left"/>
      <w:pPr>
        <w:ind w:left="2160" w:hanging="360"/>
      </w:pPr>
    </w:lvl>
    <w:lvl w:ilvl="3" w:tplc="B53083E0">
      <w:start w:val="1"/>
      <w:numFmt w:val="bullet"/>
      <w:lvlText w:val="●"/>
      <w:lvlJc w:val="left"/>
      <w:pPr>
        <w:ind w:left="2880" w:hanging="360"/>
      </w:pPr>
    </w:lvl>
    <w:lvl w:ilvl="4" w:tplc="C284BB44">
      <w:start w:val="1"/>
      <w:numFmt w:val="bullet"/>
      <w:lvlText w:val="○"/>
      <w:lvlJc w:val="left"/>
      <w:pPr>
        <w:ind w:left="3600" w:hanging="360"/>
      </w:pPr>
    </w:lvl>
    <w:lvl w:ilvl="5" w:tplc="A10CD094">
      <w:start w:val="1"/>
      <w:numFmt w:val="bullet"/>
      <w:lvlText w:val="■"/>
      <w:lvlJc w:val="left"/>
      <w:pPr>
        <w:ind w:left="4320" w:hanging="360"/>
      </w:pPr>
    </w:lvl>
    <w:lvl w:ilvl="6" w:tplc="785CF742">
      <w:start w:val="1"/>
      <w:numFmt w:val="bullet"/>
      <w:lvlText w:val="●"/>
      <w:lvlJc w:val="left"/>
      <w:pPr>
        <w:ind w:left="5040" w:hanging="360"/>
      </w:pPr>
    </w:lvl>
    <w:lvl w:ilvl="7" w:tplc="25FCA9A4">
      <w:start w:val="1"/>
      <w:numFmt w:val="bullet"/>
      <w:lvlText w:val="●"/>
      <w:lvlJc w:val="left"/>
      <w:pPr>
        <w:ind w:left="5760" w:hanging="360"/>
      </w:pPr>
    </w:lvl>
    <w:lvl w:ilvl="8" w:tplc="9188795A">
      <w:start w:val="1"/>
      <w:numFmt w:val="bullet"/>
      <w:lvlText w:val="●"/>
      <w:lvlJc w:val="left"/>
      <w:pPr>
        <w:ind w:left="6480" w:hanging="360"/>
      </w:pPr>
    </w:lvl>
  </w:abstractNum>
  <w:abstractNum w:abstractNumId="2" w15:restartNumberingAfterBreak="0">
    <w:nsid w:val="6FCB041E"/>
    <w:multiLevelType w:val="hybridMultilevel"/>
    <w:tmpl w:val="604E1DF8"/>
    <w:lvl w:ilvl="0" w:tplc="28C6A408">
      <w:start w:val="1"/>
      <w:numFmt w:val="bullet"/>
      <w:lvlText w:val="•"/>
      <w:lvlJc w:val="left"/>
      <w:pPr>
        <w:ind w:left="720" w:hanging="360"/>
      </w:pPr>
    </w:lvl>
    <w:lvl w:ilvl="1" w:tplc="42AE73BE">
      <w:numFmt w:val="decimal"/>
      <w:lvlText w:val=""/>
      <w:lvlJc w:val="left"/>
    </w:lvl>
    <w:lvl w:ilvl="2" w:tplc="A3EE7868">
      <w:numFmt w:val="decimal"/>
      <w:lvlText w:val=""/>
      <w:lvlJc w:val="left"/>
    </w:lvl>
    <w:lvl w:ilvl="3" w:tplc="BDEC8B6C">
      <w:numFmt w:val="decimal"/>
      <w:lvlText w:val=""/>
      <w:lvlJc w:val="left"/>
    </w:lvl>
    <w:lvl w:ilvl="4" w:tplc="1DCC5D5C">
      <w:numFmt w:val="decimal"/>
      <w:lvlText w:val=""/>
      <w:lvlJc w:val="left"/>
    </w:lvl>
    <w:lvl w:ilvl="5" w:tplc="E6BEA764">
      <w:numFmt w:val="decimal"/>
      <w:lvlText w:val=""/>
      <w:lvlJc w:val="left"/>
    </w:lvl>
    <w:lvl w:ilvl="6" w:tplc="560EDCB4">
      <w:numFmt w:val="decimal"/>
      <w:lvlText w:val=""/>
      <w:lvlJc w:val="left"/>
    </w:lvl>
    <w:lvl w:ilvl="7" w:tplc="8B384330">
      <w:numFmt w:val="decimal"/>
      <w:lvlText w:val=""/>
      <w:lvlJc w:val="left"/>
    </w:lvl>
    <w:lvl w:ilvl="8" w:tplc="08945B8A">
      <w:numFmt w:val="decimal"/>
      <w:lvlText w:val=""/>
      <w:lvlJc w:val="left"/>
    </w:lvl>
  </w:abstractNum>
  <w:num w:numId="1" w16cid:durableId="7870893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1D3"/>
    <w:rsid w:val="00273656"/>
    <w:rsid w:val="003C3BAF"/>
    <w:rsid w:val="004301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F8EEE"/>
  <w15:docId w15:val="{497FC942-435D-493E-970B-12F294CD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1"/>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1A2E"/>
      <w:sz w:val="36"/>
      <w:szCs w:val="36"/>
    </w:rPr>
  </w:style>
  <w:style w:type="paragraph" w:styleId="Ttulo2">
    <w:name w:val="heading 2"/>
    <w:uiPriority w:val="9"/>
    <w:unhideWhenUsed/>
    <w:qFormat/>
    <w:pPr>
      <w:spacing w:before="320" w:after="160"/>
      <w:outlineLvl w:val="1"/>
    </w:pPr>
    <w:rPr>
      <w:b/>
      <w:bCs/>
      <w:color w:val="1A1A2E"/>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3198</Words>
  <Characters>17272</Characters>
  <Application>Microsoft Office Word</Application>
  <DocSecurity>0</DocSecurity>
  <Lines>143</Lines>
  <Paragraphs>40</Paragraphs>
  <ScaleCrop>false</ScaleCrop>
  <Company/>
  <LinksUpToDate>false</LinksUpToDate>
  <CharactersWithSpaces>20430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2026-04-07T11:44:00Z</dcterms:created>
  <dcterms:modified xsi:type="dcterms:W3CDTF">2026-04-07T11:44:00Z</dcterms:modified>
</cp:coreProperties>
</file>