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5E35B1"/>
          <w:sz w:val="18"/>
          <w:szCs w:val="18"/>
        </w:rPr>
        <w:t xml:space="preserve">ECOSSISTEMA GENIUS</w:t>
      </w:r>
    </w:p>
    <w:p>
      <w:pPr>
        <w:spacing w:after="40" w:before="0"/>
      </w:pPr>
      <w:r>
        <w:rPr>
          <w:rFonts w:ascii="Arial" w:cs="Arial" w:eastAsia="Arial" w:hAnsi="Arial"/>
          <w:b/>
          <w:bCs/>
          <w:color w:val="2C2C2A"/>
          <w:sz w:val="22"/>
          <w:szCs w:val="22"/>
        </w:rPr>
        <w:t xml:space="preserve">Segunda Coleção  •  Capítulo Introdutório</w:t>
      </w:r>
    </w:p>
    <w:p>
      <w:pPr>
        <w:spacing w:after="80" w:before="0"/>
      </w:pPr>
      <w:r>
        <w:rPr>
          <w:rFonts w:ascii="Arial" w:cs="Arial" w:eastAsia="Arial" w:hAnsi="Arial"/>
          <w:b/>
          <w:bCs/>
          <w:color w:val="2C2C2A"/>
          <w:sz w:val="36"/>
          <w:szCs w:val="36"/>
        </w:rPr>
        <w:t xml:space="preserve">Do Agente ao Sistema</w:t>
      </w:r>
    </w:p>
    <w:p>
      <w:pPr>
        <w:spacing w:after="120" w:before="0"/>
      </w:pPr>
      <w:r>
        <w:rPr>
          <w:rFonts w:ascii="Arial" w:cs="Arial" w:eastAsia="Arial" w:hAnsi="Arial"/>
          <w:b/>
          <w:bCs/>
          <w:i/>
          <w:iCs/>
          <w:color w:val="5F5E5A"/>
          <w:sz w:val="22"/>
          <w:szCs w:val="22"/>
        </w:rPr>
        <w:t xml:space="preserve">Você aprendeu a construir um agente. Agora aprenda a construir um ecossistema.</w:t>
      </w:r>
    </w:p>
    <w:p>
      <w:pPr>
        <w:pBdr>
          <w:bottom w:val="single" w:color="5E35B1" w:sz="8" w:space="1"/>
        </w:pBdr>
        <w:spacing w:after="120" w:before="0"/>
      </w:pPr>
    </w:p>
    <w:p>
      <w:pPr>
        <w:spacing w:after="120" w:before="320"/>
      </w:pPr>
      <w:r>
        <w:rPr>
          <w:rFonts w:ascii="Arial" w:cs="Arial" w:eastAsia="Arial" w:hAnsi="Arial"/>
          <w:b/>
          <w:bCs/>
          <w:color w:val="2C2C2A"/>
          <w:sz w:val="28"/>
          <w:szCs w:val="28"/>
        </w:rPr>
        <w:t xml:space="preserve">Onde você está</w:t>
      </w:r>
    </w:p>
    <w:p>
      <w:pPr>
        <w:spacing w:after="140" w:before="0"/>
      </w:pPr>
      <w:r>
        <w:rPr>
          <w:rFonts w:ascii="Arial" w:cs="Arial" w:eastAsia="Arial" w:hAnsi="Arial"/>
          <w:color w:val="2C2C2A"/>
          <w:sz w:val="22"/>
          <w:szCs w:val="22"/>
        </w:rPr>
        <w:t xml:space="preserve">Você concluiu a primeira coleção. Você conhece o DNA do Agente Genius — as 14 camadas que definem como um agente pensa, age, lembra e se comunica. Você sabe construir um agente do zero: definir seu Título, configurar sua Interface, escrever suas Skills, montar seus Fluxos, ajustar o Motor.</w:t>
      </w:r>
    </w:p>
    <w:p>
      <w:pPr>
        <w:spacing w:after="140" w:before="0"/>
      </w:pPr>
      <w:r>
        <w:rPr>
          <w:rFonts w:ascii="Arial" w:cs="Arial" w:eastAsia="Arial" w:hAnsi="Arial"/>
          <w:color w:val="2C2C2A"/>
          <w:sz w:val="22"/>
          <w:szCs w:val="22"/>
        </w:rPr>
        <w:t xml:space="preserve">Isso é muito. Mas não é tudo.</w:t>
      </w:r>
    </w:p>
    <w:p>
      <w:pPr>
        <w:spacing w:after="140" w:before="0"/>
      </w:pPr>
      <w:r>
        <w:rPr>
          <w:rFonts w:ascii="Arial" w:cs="Arial" w:eastAsia="Arial" w:hAnsi="Arial"/>
          <w:color w:val="2C2C2A"/>
          <w:sz w:val="22"/>
          <w:szCs w:val="22"/>
        </w:rPr>
        <w:t xml:space="preserve">Se a primeira coleção foi sobre entender o músico — sua técnica, seu repertório, seu instrumento — a segunda coleção é sobre entender a orquestra. Como os músicos se coordenam. Quem define o tempo. Como o som de muitos se torna uma composição coerente.</w:t>
      </w:r>
    </w:p>
    <w:p>
      <w:pPr>
        <w:spacing w:after="140" w:before="0"/>
      </w:pPr>
      <w:r>
        <w:rPr>
          <w:rFonts w:ascii="Arial" w:cs="Arial" w:eastAsia="Arial" w:hAnsi="Arial"/>
          <w:color w:val="2C2C2A"/>
          <w:sz w:val="22"/>
          <w:szCs w:val="22"/>
        </w:rPr>
        <w:t xml:space="preserve">Um agente sozinho resolve problemas simples. Um sistema de agentes resolve problemas complexos — os que exigem especialização simultânea, paralelismo, memória compartilhada e coordenação dinâmica.</w:t>
      </w:r>
    </w:p>
    <w:p>
      <w:pPr>
        <w:spacing w:after="6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CellMar>
          <w:top w:type="dxa" w:w="180"/>
          <w:bottom w:type="dxa" w:w="180"/>
        </w:tblCellMar>
      </w:tblPr>
      <w:tblGrid>
        <w:gridCol w:w="9638"/>
      </w:tblGrid>
      <w:tr>
        <w:tc>
          <w:tcPr>
            <w:tcW w:type="dxa" w:w="9638"/>
            <w:tcBorders>
              <w:top w:val="none" w:color="FFFFFF" w:sz="0"/>
              <w:left w:val="none" w:color="FFFFFF" w:sz="0"/>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O salto entre as coleções</w:t>
            </w:r>
          </w:p>
          <w:p>
            <w:pPr>
              <w:spacing w:after="60" w:before="0"/>
            </w:pPr>
            <w:r>
              <w:rPr>
                <w:rFonts w:ascii="Arial" w:cs="Arial" w:eastAsia="Arial" w:hAnsi="Arial"/>
                <w:color w:val="2C2C2A"/>
                <w:sz w:val="20"/>
                <w:szCs w:val="20"/>
              </w:rPr>
              <w:t xml:space="preserve">Na primeira coleção, a pergunta era: como um agente funciona?</w:t>
            </w:r>
          </w:p>
          <w:p>
            <w:pPr>
              <w:spacing w:after="60" w:before="0"/>
            </w:pPr>
            <w:r>
              <w:rPr>
                <w:rFonts w:ascii="Arial" w:cs="Arial" w:eastAsia="Arial" w:hAnsi="Arial"/>
                <w:color w:val="2C2C2A"/>
                <w:sz w:val="20"/>
                <w:szCs w:val="20"/>
              </w:rPr>
              <w:t xml:space="preserve">Na segunda coleção, a pergunta é: como um conjunto de agentes funciona como sistema?</w:t>
            </w:r>
          </w:p>
          <w:p>
            <w:pPr>
              <w:spacing w:after="60" w:before="0"/>
            </w:pPr>
            <w:r>
              <w:rPr>
                <w:rFonts w:ascii="Arial" w:cs="Arial" w:eastAsia="Arial" w:hAnsi="Arial"/>
                <w:color w:val="2C2C2A"/>
                <w:sz w:val="20"/>
                <w:szCs w:val="20"/>
              </w:rPr>
              <w:t xml:space="preserve">São perguntas diferentes — e exigem respostas diferentes. Um agente tem DNA. Um sistema tem arquitetura.</w:t>
            </w:r>
          </w:p>
        </w:tc>
      </w:tr>
    </w:tbl>
    <w:p>
      <w:pPr>
        <w:spacing w:after="60" w:before="60"/>
      </w:pPr>
    </w:p>
    <w:p>
      <w:pPr>
        <w:spacing w:after="120" w:before="320"/>
      </w:pPr>
      <w:r>
        <w:rPr>
          <w:rFonts w:ascii="Arial" w:cs="Arial" w:eastAsia="Arial" w:hAnsi="Arial"/>
          <w:b/>
          <w:bCs/>
          <w:color w:val="2C2C2A"/>
          <w:sz w:val="28"/>
          <w:szCs w:val="28"/>
        </w:rPr>
        <w:t xml:space="preserve">O que é um Sistema Agêntico</w:t>
      </w:r>
    </w:p>
    <w:p>
      <w:pPr>
        <w:spacing w:after="140" w:before="0"/>
      </w:pPr>
      <w:r>
        <w:rPr>
          <w:rFonts w:ascii="Arial" w:cs="Arial" w:eastAsia="Arial" w:hAnsi="Arial"/>
          <w:color w:val="2C2C2A"/>
          <w:sz w:val="22"/>
          <w:szCs w:val="22"/>
        </w:rPr>
        <w:t xml:space="preserve">Um sistema agêntico é um conjunto de agentes que colaboram — direta ou indiretamente — para atingir objetivos que nenhum agente conseguiria sozinho.</w:t>
      </w:r>
    </w:p>
    <w:p>
      <w:pPr>
        <w:spacing w:after="140" w:before="0"/>
      </w:pPr>
      <w:r>
        <w:rPr>
          <w:rFonts w:ascii="Arial" w:cs="Arial" w:eastAsia="Arial" w:hAnsi="Arial"/>
          <w:color w:val="2C2C2A"/>
          <w:sz w:val="22"/>
          <w:szCs w:val="22"/>
        </w:rPr>
        <w:t xml:space="preserve">A palavra-chave é colaboram. Não coexistem. Não se ignoram. Colaboram: compartilham contexto, delegam tarefas, passam resultados, se monitoram mutuamente e se especializam para cobrir diferentes partes de um problema maior.</w:t>
      </w:r>
    </w:p>
    <w:p>
      <w:pPr>
        <w:spacing w:after="140" w:before="0"/>
      </w:pPr>
      <w:r>
        <w:rPr>
          <w:rFonts w:ascii="Arial" w:cs="Arial" w:eastAsia="Arial" w:hAnsi="Arial"/>
          <w:color w:val="2C2C2A"/>
          <w:sz w:val="22"/>
          <w:szCs w:val="22"/>
        </w:rPr>
        <w:t xml:space="preserve">Pense nos sistemas que você usa no dia a dia. Uma plataforma de e-commerce não tem um único agente que cuida de tudo — tem um agente de atendimento, um de logística, um de precificação, um de análise de fraude. Cada um especializado. Cada um conectado. Cada um contribuindo para uma experiência que parece unificada ao usuário.</w:t>
      </w:r>
    </w:p>
    <w:p>
      <w:pPr>
        <w:spacing w:after="140" w:before="0"/>
      </w:pPr>
      <w:r>
        <w:rPr>
          <w:rFonts w:ascii="Arial" w:cs="Arial" w:eastAsia="Arial" w:hAnsi="Arial"/>
          <w:color w:val="2C2C2A"/>
          <w:sz w:val="22"/>
          <w:szCs w:val="22"/>
        </w:rPr>
        <w:t xml:space="preserve">Isso é um sistema agêntico. E construir um bem feito exige um vocabulário e uma forma de pensar que vai além do DNA individual.</w:t>
      </w:r>
    </w:p>
    <w:p>
      <w:pPr>
        <w:spacing w:after="60" w:before="60"/>
      </w:pPr>
    </w:p>
    <w:p>
      <w:pPr>
        <w:spacing w:after="120" w:before="320"/>
      </w:pPr>
      <w:r>
        <w:rPr>
          <w:rFonts w:ascii="Arial" w:cs="Arial" w:eastAsia="Arial" w:hAnsi="Arial"/>
          <w:b/>
          <w:bCs/>
          <w:color w:val="2C2C2A"/>
          <w:sz w:val="28"/>
          <w:szCs w:val="28"/>
        </w:rPr>
        <w:t xml:space="preserve">O que você vai aprender</w:t>
      </w:r>
    </w:p>
    <w:p>
      <w:pPr>
        <w:spacing w:after="140" w:before="0"/>
      </w:pPr>
      <w:r>
        <w:rPr>
          <w:rFonts w:ascii="Arial" w:cs="Arial" w:eastAsia="Arial" w:hAnsi="Arial"/>
          <w:color w:val="2C2C2A"/>
          <w:sz w:val="22"/>
          <w:szCs w:val="22"/>
        </w:rPr>
        <w:t xml:space="preserve">Esta coleção está organizada em 7 módulos, cada um respondendo a uma pergunta central sobre como sistemas agênticos funcionam. Aqui está o mapa completo:</w:t>
      </w:r>
    </w:p>
    <w:p>
      <w:pPr>
        <w:spacing w:after="1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00"/>
        <w:gridCol w:w="2400"/>
        <w:gridCol w:w="3960"/>
        <w:gridCol w:w="2380"/>
      </w:tblGrid>
      <w:tr>
        <w:trPr>
          <w:tblHeader/>
        </w:trPr>
        <w:tc>
          <w:tcPr>
            <w:tcW w:type="dxa" w:w="900"/>
            <w:tcBorders>
              <w:top w:val="single" w:color="5E35B1" w:sz="4"/>
              <w:left w:val="single" w:color="5E35B1" w:sz="4"/>
              <w:bottom w:val="single" w:color="5E35B1" w:sz="4"/>
              <w:right w:val="single" w:color="5E35B1" w:sz="4"/>
            </w:tcBorders>
            <w:shd w:fill="2E1760" w:val="clear"/>
            <w:tcMar>
              <w:top w:type="dxa" w:w="100"/>
              <w:left w:type="dxa" w:w="160"/>
              <w:bottom w:type="dxa" w:w="100"/>
              <w:right w:type="dxa" w:w="160"/>
            </w:tcMar>
          </w:tcPr>
          <w:p>
            <w:r>
              <w:rPr>
                <w:rFonts w:ascii="Arial" w:cs="Arial" w:eastAsia="Arial" w:hAnsi="Arial"/>
                <w:b/>
                <w:bCs/>
                <w:color w:val="FFFFFF"/>
                <w:sz w:val="18"/>
                <w:szCs w:val="18"/>
              </w:rPr>
              <w:t xml:space="preserve">Módulo</w:t>
            </w:r>
          </w:p>
        </w:tc>
        <w:tc>
          <w:tcPr>
            <w:tcW w:type="dxa" w:w="2400"/>
            <w:tcBorders>
              <w:top w:val="single" w:color="5E35B1" w:sz="4"/>
              <w:left w:val="single" w:color="5E35B1" w:sz="4"/>
              <w:bottom w:val="single" w:color="5E35B1" w:sz="4"/>
              <w:right w:val="single" w:color="5E35B1" w:sz="4"/>
            </w:tcBorders>
            <w:shd w:fill="2E1760" w:val="clear"/>
            <w:tcMar>
              <w:top w:type="dxa" w:w="100"/>
              <w:left w:type="dxa" w:w="160"/>
              <w:bottom w:type="dxa" w:w="100"/>
              <w:right w:type="dxa" w:w="160"/>
            </w:tcMar>
          </w:tcPr>
          <w:p>
            <w:r>
              <w:rPr>
                <w:rFonts w:ascii="Arial" w:cs="Arial" w:eastAsia="Arial" w:hAnsi="Arial"/>
                <w:b/>
                <w:bCs/>
                <w:color w:val="FFFFFF"/>
                <w:sz w:val="18"/>
                <w:szCs w:val="18"/>
              </w:rPr>
              <w:t xml:space="preserve">Tema</w:t>
            </w:r>
          </w:p>
        </w:tc>
        <w:tc>
          <w:tcPr>
            <w:tcW w:type="dxa" w:w="3960"/>
            <w:tcBorders>
              <w:top w:val="single" w:color="5E35B1" w:sz="4"/>
              <w:left w:val="single" w:color="5E35B1" w:sz="4"/>
              <w:bottom w:val="single" w:color="5E35B1" w:sz="4"/>
              <w:right w:val="single" w:color="5E35B1" w:sz="4"/>
            </w:tcBorders>
            <w:shd w:fill="2E1760" w:val="clear"/>
            <w:tcMar>
              <w:top w:type="dxa" w:w="100"/>
              <w:left w:type="dxa" w:w="160"/>
              <w:bottom w:type="dxa" w:w="100"/>
              <w:right w:type="dxa" w:w="160"/>
            </w:tcMar>
          </w:tcPr>
          <w:p>
            <w:r>
              <w:rPr>
                <w:rFonts w:ascii="Arial" w:cs="Arial" w:eastAsia="Arial" w:hAnsi="Arial"/>
                <w:b/>
                <w:bCs/>
                <w:color w:val="FFFFFF"/>
                <w:sz w:val="18"/>
                <w:szCs w:val="18"/>
              </w:rPr>
              <w:t xml:space="preserve">Capítulos</w:t>
            </w:r>
          </w:p>
        </w:tc>
        <w:tc>
          <w:tcPr>
            <w:tcW w:type="dxa" w:w="2380"/>
            <w:tcBorders>
              <w:top w:val="single" w:color="5E35B1" w:sz="4"/>
              <w:left w:val="single" w:color="5E35B1" w:sz="4"/>
              <w:bottom w:val="single" w:color="5E35B1" w:sz="4"/>
              <w:right w:val="single" w:color="5E35B1" w:sz="4"/>
            </w:tcBorders>
            <w:shd w:fill="2E1760" w:val="clear"/>
            <w:tcMar>
              <w:top w:type="dxa" w:w="100"/>
              <w:left w:type="dxa" w:w="160"/>
              <w:bottom w:type="dxa" w:w="100"/>
              <w:right w:type="dxa" w:w="160"/>
            </w:tcMar>
          </w:tcPr>
          <w:p>
            <w:r>
              <w:rPr>
                <w:rFonts w:ascii="Arial" w:cs="Arial" w:eastAsia="Arial" w:hAnsi="Arial"/>
                <w:b/>
                <w:bCs/>
                <w:color w:val="FFFFFF"/>
                <w:sz w:val="18"/>
                <w:szCs w:val="18"/>
              </w:rPr>
              <w:t xml:space="preserve">Pergunta central</w:t>
            </w:r>
          </w:p>
        </w:tc>
      </w:tr>
      <w:tr>
        <w:tc>
          <w:tcPr>
            <w:tcW w:type="dxa" w:w="9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pPr>
              <w:jc w:val="center"/>
            </w:pPr>
            <w:r>
              <w:rPr>
                <w:rFonts w:ascii="Arial" w:cs="Arial" w:eastAsia="Arial" w:hAnsi="Arial"/>
                <w:b/>
                <w:bCs/>
                <w:color w:val="5E35B1"/>
                <w:sz w:val="20"/>
                <w:szCs w:val="20"/>
              </w:rPr>
              <w:t xml:space="preserve">1</w:t>
            </w:r>
          </w:p>
        </w:tc>
        <w:tc>
          <w:tcPr>
            <w:tcW w:type="dxa" w:w="24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color w:val="2C2C2A"/>
                <w:sz w:val="20"/>
                <w:szCs w:val="20"/>
              </w:rPr>
              <w:t xml:space="preserve">Fundação</w:t>
            </w:r>
          </w:p>
        </w:tc>
        <w:tc>
          <w:tcPr>
            <w:tcW w:type="dxa" w:w="396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color w:val="2C2C2A"/>
                <w:sz w:val="20"/>
                <w:szCs w:val="20"/>
              </w:rPr>
              <w:t xml:space="preserve">Cap 1 e Cap 2</w:t>
            </w:r>
          </w:p>
        </w:tc>
        <w:tc>
          <w:tcPr>
            <w:tcW w:type="dxa" w:w="238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i/>
                <w:iCs/>
                <w:color w:val="5F5E5A"/>
                <w:sz w:val="20"/>
                <w:szCs w:val="20"/>
              </w:rPr>
              <w:t xml:space="preserve">O que é e como funciona um sistema agêntico?</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Arial" w:cs="Arial" w:eastAsia="Arial" w:hAnsi="Arial"/>
                <w:b/>
                <w:bCs/>
                <w:color w:val="5E35B1"/>
                <w:sz w:val="20"/>
                <w:szCs w:val="20"/>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color w:val="2C2C2A"/>
                <w:sz w:val="20"/>
                <w:szCs w:val="20"/>
              </w:rPr>
              <w:t xml:space="preserve">Arquitetura</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color w:val="2C2C2A"/>
                <w:sz w:val="20"/>
                <w:szCs w:val="20"/>
              </w:rPr>
              <w:t xml:space="preserve">Cap 3 e Cap 4</w:t>
            </w:r>
          </w:p>
        </w:tc>
        <w:tc>
          <w:tcPr>
            <w:tcW w:type="dxa" w:w="23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i/>
                <w:iCs/>
                <w:color w:val="5F5E5A"/>
                <w:sz w:val="20"/>
                <w:szCs w:val="20"/>
              </w:rPr>
              <w:t xml:space="preserve">Como os agentes se organizam e se coordenam?</w:t>
            </w:r>
          </w:p>
        </w:tc>
      </w:tr>
      <w:tr>
        <w:tc>
          <w:tcPr>
            <w:tcW w:type="dxa" w:w="9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pPr>
              <w:jc w:val="center"/>
            </w:pPr>
            <w:r>
              <w:rPr>
                <w:rFonts w:ascii="Arial" w:cs="Arial" w:eastAsia="Arial" w:hAnsi="Arial"/>
                <w:b/>
                <w:bCs/>
                <w:color w:val="5E35B1"/>
                <w:sz w:val="20"/>
                <w:szCs w:val="20"/>
              </w:rPr>
              <w:t xml:space="preserve">3</w:t>
            </w:r>
          </w:p>
        </w:tc>
        <w:tc>
          <w:tcPr>
            <w:tcW w:type="dxa" w:w="24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color w:val="2C2C2A"/>
                <w:sz w:val="20"/>
                <w:szCs w:val="20"/>
              </w:rPr>
              <w:t xml:space="preserve">Comunicação</w:t>
            </w:r>
          </w:p>
        </w:tc>
        <w:tc>
          <w:tcPr>
            <w:tcW w:type="dxa" w:w="396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color w:val="2C2C2A"/>
                <w:sz w:val="20"/>
                <w:szCs w:val="20"/>
              </w:rPr>
              <w:t xml:space="preserve">Cap 5 e Cap 6</w:t>
            </w:r>
          </w:p>
        </w:tc>
        <w:tc>
          <w:tcPr>
            <w:tcW w:type="dxa" w:w="238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i/>
                <w:iCs/>
                <w:color w:val="5F5E5A"/>
                <w:sz w:val="20"/>
                <w:szCs w:val="20"/>
              </w:rPr>
              <w:t xml:space="preserve">Como os agentes se comunicam entre si e com o mundo?</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Arial" w:cs="Arial" w:eastAsia="Arial" w:hAnsi="Arial"/>
                <w:b/>
                <w:bCs/>
                <w:color w:val="5E35B1"/>
                <w:sz w:val="20"/>
                <w:szCs w:val="20"/>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color w:val="2C2C2A"/>
                <w:sz w:val="20"/>
                <w:szCs w:val="20"/>
              </w:rPr>
              <w:t xml:space="preserve">Memória</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color w:val="2C2C2A"/>
                <w:sz w:val="20"/>
                <w:szCs w:val="20"/>
              </w:rPr>
              <w:t xml:space="preserve">Cap 7 e Cap 8</w:t>
            </w:r>
          </w:p>
        </w:tc>
        <w:tc>
          <w:tcPr>
            <w:tcW w:type="dxa" w:w="23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i/>
                <w:iCs/>
                <w:color w:val="5F5E5A"/>
                <w:sz w:val="20"/>
                <w:szCs w:val="20"/>
              </w:rPr>
              <w:t xml:space="preserve">Como o sistema aprende, lembra e recupera conhecimento?</w:t>
            </w:r>
          </w:p>
        </w:tc>
      </w:tr>
      <w:tr>
        <w:tc>
          <w:tcPr>
            <w:tcW w:type="dxa" w:w="9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pPr>
              <w:jc w:val="center"/>
            </w:pPr>
            <w:r>
              <w:rPr>
                <w:rFonts w:ascii="Arial" w:cs="Arial" w:eastAsia="Arial" w:hAnsi="Arial"/>
                <w:b/>
                <w:bCs/>
                <w:color w:val="5E35B1"/>
                <w:sz w:val="20"/>
                <w:szCs w:val="20"/>
              </w:rPr>
              <w:t xml:space="preserve">5</w:t>
            </w:r>
          </w:p>
        </w:tc>
        <w:tc>
          <w:tcPr>
            <w:tcW w:type="dxa" w:w="24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color w:val="2C2C2A"/>
                <w:sz w:val="20"/>
                <w:szCs w:val="20"/>
              </w:rPr>
              <w:t xml:space="preserve">Execução</w:t>
            </w:r>
          </w:p>
        </w:tc>
        <w:tc>
          <w:tcPr>
            <w:tcW w:type="dxa" w:w="396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color w:val="2C2C2A"/>
                <w:sz w:val="20"/>
                <w:szCs w:val="20"/>
              </w:rPr>
              <w:t xml:space="preserve">Cap 9 e Cap 10</w:t>
            </w:r>
          </w:p>
        </w:tc>
        <w:tc>
          <w:tcPr>
            <w:tcW w:type="dxa" w:w="238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i/>
                <w:iCs/>
                <w:color w:val="5F5E5A"/>
                <w:sz w:val="20"/>
                <w:szCs w:val="20"/>
              </w:rPr>
              <w:t xml:space="preserve">Como o sistema planeja, raciocina e age?</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pPr>
              <w:jc w:val="center"/>
            </w:pPr>
            <w:r>
              <w:rPr>
                <w:rFonts w:ascii="Arial" w:cs="Arial" w:eastAsia="Arial" w:hAnsi="Arial"/>
                <w:b/>
                <w:bCs/>
                <w:color w:val="5E35B1"/>
                <w:sz w:val="20"/>
                <w:szCs w:val="20"/>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color w:val="2C2C2A"/>
                <w:sz w:val="20"/>
                <w:szCs w:val="20"/>
              </w:rPr>
              <w:t xml:space="preserve">Segurança e Controle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color w:val="2C2C2A"/>
                <w:sz w:val="20"/>
                <w:szCs w:val="20"/>
              </w:rPr>
              <w:t xml:space="preserve">Cap 11 e Cap 12</w:t>
            </w:r>
          </w:p>
        </w:tc>
        <w:tc>
          <w:tcPr>
            <w:tcW w:type="dxa" w:w="23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i/>
                <w:iCs/>
                <w:color w:val="5F5E5A"/>
                <w:sz w:val="20"/>
                <w:szCs w:val="20"/>
              </w:rPr>
              <w:t xml:space="preserve">Como garantir que o sistema seja seguro e auditável?</w:t>
            </w:r>
          </w:p>
        </w:tc>
      </w:tr>
      <w:tr>
        <w:tc>
          <w:tcPr>
            <w:tcW w:type="dxa" w:w="9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pPr>
              <w:jc w:val="center"/>
            </w:pPr>
            <w:r>
              <w:rPr>
                <w:rFonts w:ascii="Arial" w:cs="Arial" w:eastAsia="Arial" w:hAnsi="Arial"/>
                <w:b/>
                <w:bCs/>
                <w:color w:val="5E35B1"/>
                <w:sz w:val="20"/>
                <w:szCs w:val="20"/>
              </w:rPr>
              <w:t xml:space="preserve">7</w:t>
            </w:r>
          </w:p>
        </w:tc>
        <w:tc>
          <w:tcPr>
            <w:tcW w:type="dxa" w:w="24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color w:val="2C2C2A"/>
                <w:sz w:val="20"/>
                <w:szCs w:val="20"/>
              </w:rPr>
              <w:t xml:space="preserve">Síntese</w:t>
            </w:r>
          </w:p>
        </w:tc>
        <w:tc>
          <w:tcPr>
            <w:tcW w:type="dxa" w:w="396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color w:val="2C2C2A"/>
                <w:sz w:val="20"/>
                <w:szCs w:val="20"/>
              </w:rPr>
              <w:t xml:space="preserve">Cap 13 e Cap 14</w:t>
            </w:r>
          </w:p>
        </w:tc>
        <w:tc>
          <w:tcPr>
            <w:tcW w:type="dxa" w:w="238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i/>
                <w:iCs/>
                <w:color w:val="5F5E5A"/>
                <w:sz w:val="20"/>
                <w:szCs w:val="20"/>
              </w:rPr>
              <w:t xml:space="preserve">Como construir e operar um sistema agêntico real?</w:t>
            </w:r>
          </w:p>
        </w:tc>
      </w:tr>
    </w:tbl>
    <w:p>
      <w:pPr>
        <w:spacing w:after="100" w:before="100"/>
      </w:pPr>
    </w:p>
    <w:p>
      <w:pPr>
        <w:spacing w:after="140" w:before="0"/>
      </w:pPr>
      <w:r>
        <w:rPr>
          <w:rFonts w:ascii="Arial" w:cs="Arial" w:eastAsia="Arial" w:hAnsi="Arial"/>
          <w:color w:val="2C2C2A"/>
          <w:sz w:val="22"/>
          <w:szCs w:val="22"/>
        </w:rPr>
        <w:t xml:space="preserve">Os módulos foram sequenciados de forma progressiva — cada um apoia o seguinte. Mas cada apostila é independente o suficiente para ser consultada isoladamente quando você precisar.</w:t>
      </w:r>
    </w:p>
    <w:p>
      <w:pPr>
        <w:spacing w:after="120" w:before="320"/>
      </w:pPr>
      <w:r>
        <w:rPr>
          <w:rFonts w:ascii="Arial" w:cs="Arial" w:eastAsia="Arial" w:hAnsi="Arial"/>
          <w:b/>
          <w:bCs/>
          <w:color w:val="2C2C2A"/>
          <w:sz w:val="28"/>
          <w:szCs w:val="28"/>
        </w:rPr>
        <w:t xml:space="preserve">Como esta coleção se conecta à primeira</w:t>
      </w:r>
    </w:p>
    <w:p>
      <w:pPr>
        <w:spacing w:after="140" w:before="0"/>
      </w:pPr>
      <w:r>
        <w:rPr>
          <w:rFonts w:ascii="Arial" w:cs="Arial" w:eastAsia="Arial" w:hAnsi="Arial"/>
          <w:color w:val="2C2C2A"/>
          <w:sz w:val="22"/>
          <w:szCs w:val="22"/>
        </w:rPr>
        <w:t xml:space="preserve">Esta coleção não substitui a primeira — ela a expande. O DNA do Agente Genius continua sendo a unidade fundamental. O que muda é a escala de análise: saímos do nível do agente individual e subimos para o nível do sistema.</w:t>
      </w:r>
    </w:p>
    <w:p>
      <w:pPr>
        <w:spacing w:after="1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3212"/>
        <w:gridCol w:w="3212"/>
        <w:gridCol w:w="3212"/>
      </w:tblGrid>
      <w:tr>
        <w:trPr>
          <w:tblHeader/>
        </w:trPr>
        <w:tc>
          <w:tcPr>
            <w:tcW w:type="dxa" w:w="3212"/>
            <w:tcBorders>
              <w:top w:val="single" w:color="CCCCCC" w:sz="4"/>
              <w:left w:val="single" w:color="CCCCCC" w:sz="4"/>
              <w:bottom w:val="single" w:color="CCCCCC" w:sz="4"/>
              <w:right w:val="single" w:color="CCCCCC" w:sz="4"/>
            </w:tcBorders>
            <w:shd w:fill="2C2C2A" w:val="clear"/>
            <w:tcMar>
              <w:top w:type="dxa" w:w="100"/>
              <w:left w:type="dxa" w:w="180"/>
              <w:bottom w:type="dxa" w:w="100"/>
              <w:right w:type="dxa" w:w="180"/>
            </w:tcMar>
          </w:tcPr>
          <w:p>
            <w:r>
              <w:rPr>
                <w:rFonts w:ascii="Arial" w:cs="Arial" w:eastAsia="Arial" w:hAnsi="Arial"/>
                <w:b/>
                <w:bCs/>
                <w:color w:val="FFFFFF"/>
                <w:sz w:val="20"/>
                <w:szCs w:val="20"/>
              </w:rPr>
              <w:t xml:space="preserve">Dimensão</w:t>
            </w:r>
          </w:p>
        </w:tc>
        <w:tc>
          <w:tcPr>
            <w:tcW w:type="dxa" w:w="3212"/>
            <w:tcBorders>
              <w:top w:val="single" w:color="CCCCCC" w:sz="4"/>
              <w:left w:val="single" w:color="CCCCCC" w:sz="4"/>
              <w:bottom w:val="single" w:color="CCCCCC" w:sz="4"/>
              <w:right w:val="single" w:color="CCCCCC" w:sz="4"/>
            </w:tcBorders>
            <w:shd w:fill="2E1760" w:val="clear"/>
            <w:tcMar>
              <w:top w:type="dxa" w:w="100"/>
              <w:left w:type="dxa" w:w="180"/>
              <w:bottom w:type="dxa" w:w="100"/>
              <w:right w:type="dxa" w:w="180"/>
            </w:tcMar>
          </w:tcPr>
          <w:p>
            <w:r>
              <w:rPr>
                <w:rFonts w:ascii="Arial" w:cs="Arial" w:eastAsia="Arial" w:hAnsi="Arial"/>
                <w:b/>
                <w:bCs/>
                <w:color w:val="FFFFFF"/>
                <w:sz w:val="20"/>
                <w:szCs w:val="20"/>
              </w:rPr>
              <w:t xml:space="preserve">1ª Coleção</w:t>
            </w:r>
          </w:p>
        </w:tc>
        <w:tc>
          <w:tcPr>
            <w:tcW w:type="dxa" w:w="3212"/>
            <w:tcBorders>
              <w:top w:val="single" w:color="CCCCCC" w:sz="4"/>
              <w:left w:val="single" w:color="CCCCCC" w:sz="4"/>
              <w:bottom w:val="single" w:color="CCCCCC" w:sz="4"/>
              <w:right w:val="single" w:color="CCCCCC" w:sz="4"/>
            </w:tcBorders>
            <w:shd w:fill="0F6E56" w:val="clear"/>
            <w:tcMar>
              <w:top w:type="dxa" w:w="100"/>
              <w:left w:type="dxa" w:w="180"/>
              <w:bottom w:type="dxa" w:w="100"/>
              <w:right w:type="dxa" w:w="180"/>
            </w:tcMar>
          </w:tcPr>
          <w:p>
            <w:r>
              <w:rPr>
                <w:rFonts w:ascii="Arial" w:cs="Arial" w:eastAsia="Arial" w:hAnsi="Arial"/>
                <w:b/>
                <w:bCs/>
                <w:color w:val="FFFFFF"/>
                <w:sz w:val="20"/>
                <w:szCs w:val="20"/>
              </w:rPr>
              <w:t xml:space="preserve">2ª Coleção</w:t>
            </w:r>
          </w:p>
        </w:tc>
      </w:tr>
      <w:tr>
        <w:tc>
          <w:tcPr>
            <w:tcW w:type="dxa" w:w="3212"/>
            <w:tcBorders>
              <w:top w:val="single" w:color="CCCCCC" w:sz="4"/>
              <w:left w:val="single" w:color="CCCCCC" w:sz="4"/>
              <w:bottom w:val="single" w:color="CCCCCC" w:sz="4"/>
              <w:right w:val="single" w:color="CCCCCC" w:sz="4"/>
            </w:tcBorders>
            <w:shd w:fill="F1EFE8" w:val="clear"/>
            <w:tcMar>
              <w:top w:type="dxa" w:w="80"/>
              <w:left w:type="dxa" w:w="180"/>
              <w:bottom w:type="dxa" w:w="80"/>
              <w:right w:type="dxa" w:w="180"/>
            </w:tcMar>
          </w:tcPr>
          <w:p>
            <w:r>
              <w:rPr>
                <w:rFonts w:ascii="Arial" w:cs="Arial" w:eastAsia="Arial" w:hAnsi="Arial"/>
                <w:color w:val="2C2C2A"/>
                <w:sz w:val="20"/>
                <w:szCs w:val="20"/>
              </w:rPr>
              <w:t xml:space="preserve">Pergunta</w:t>
            </w:r>
          </w:p>
        </w:tc>
        <w:tc>
          <w:tcPr>
            <w:tcW w:type="dxa" w:w="3212"/>
            <w:tcBorders>
              <w:top w:val="single" w:color="CCCCCC" w:sz="4"/>
              <w:left w:val="single" w:color="CCCCCC" w:sz="4"/>
              <w:bottom w:val="single" w:color="CCCCCC" w:sz="4"/>
              <w:right w:val="single" w:color="CCCCCC" w:sz="4"/>
            </w:tcBorders>
            <w:shd w:fill="EDE7F6" w:val="clear"/>
            <w:tcMar>
              <w:top w:type="dxa" w:w="80"/>
              <w:left w:type="dxa" w:w="180"/>
              <w:bottom w:type="dxa" w:w="80"/>
              <w:right w:type="dxa" w:w="180"/>
            </w:tcMar>
          </w:tcPr>
          <w:p>
            <w:r>
              <w:rPr>
                <w:rFonts w:ascii="Arial" w:cs="Arial" w:eastAsia="Arial" w:hAnsi="Arial"/>
                <w:color w:val="2C2C2A"/>
                <w:sz w:val="20"/>
                <w:szCs w:val="20"/>
              </w:rPr>
              <w:t xml:space="preserve">Como construir um agente?</w:t>
            </w:r>
          </w:p>
        </w:tc>
        <w:tc>
          <w:tcPr>
            <w:tcW w:type="dxa" w:w="3212"/>
            <w:tcBorders>
              <w:top w:val="single" w:color="CCCCCC" w:sz="4"/>
              <w:left w:val="single" w:color="CCCCCC" w:sz="4"/>
              <w:bottom w:val="single" w:color="CCCCCC" w:sz="4"/>
              <w:right w:val="single" w:color="CCCCCC" w:sz="4"/>
            </w:tcBorders>
            <w:shd w:fill="E1F5EE" w:val="clear"/>
            <w:tcMar>
              <w:top w:type="dxa" w:w="80"/>
              <w:left w:type="dxa" w:w="180"/>
              <w:bottom w:type="dxa" w:w="80"/>
              <w:right w:type="dxa" w:w="180"/>
            </w:tcMar>
          </w:tcPr>
          <w:p>
            <w:r>
              <w:rPr>
                <w:rFonts w:ascii="Arial" w:cs="Arial" w:eastAsia="Arial" w:hAnsi="Arial"/>
                <w:color w:val="2C2C2A"/>
                <w:sz w:val="20"/>
                <w:szCs w:val="20"/>
              </w:rPr>
              <w:t xml:space="preserve">Como construir um sistema de agentes?</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color w:val="2C2C2A"/>
                <w:sz w:val="20"/>
                <w:szCs w:val="20"/>
              </w:rPr>
              <w:t xml:space="preserve">Unidade</w:t>
            </w:r>
          </w:p>
        </w:tc>
        <w:tc>
          <w:tcPr>
            <w:tcW w:type="dxa" w:w="3212"/>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color w:val="2C2C2A"/>
                <w:sz w:val="20"/>
                <w:szCs w:val="20"/>
              </w:rPr>
              <w:t xml:space="preserve">O agente individual</w:t>
            </w:r>
          </w:p>
        </w:tc>
        <w:tc>
          <w:tcPr>
            <w:tcW w:type="dxa" w:w="3212"/>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color w:val="2C2C2A"/>
                <w:sz w:val="20"/>
                <w:szCs w:val="20"/>
              </w:rPr>
              <w:t xml:space="preserve">O ecossistema de agentes</w:t>
            </w:r>
          </w:p>
        </w:tc>
      </w:tr>
      <w:tr>
        <w:tc>
          <w:tcPr>
            <w:tcW w:type="dxa" w:w="3212"/>
            <w:tcBorders>
              <w:top w:val="single" w:color="CCCCCC" w:sz="4"/>
              <w:left w:val="single" w:color="CCCCCC" w:sz="4"/>
              <w:bottom w:val="single" w:color="CCCCCC" w:sz="4"/>
              <w:right w:val="single" w:color="CCCCCC" w:sz="4"/>
            </w:tcBorders>
            <w:shd w:fill="F1EFE8" w:val="clear"/>
            <w:tcMar>
              <w:top w:type="dxa" w:w="80"/>
              <w:left w:type="dxa" w:w="180"/>
              <w:bottom w:type="dxa" w:w="80"/>
              <w:right w:type="dxa" w:w="180"/>
            </w:tcMar>
          </w:tcPr>
          <w:p>
            <w:r>
              <w:rPr>
                <w:rFonts w:ascii="Arial" w:cs="Arial" w:eastAsia="Arial" w:hAnsi="Arial"/>
                <w:color w:val="2C2C2A"/>
                <w:sz w:val="20"/>
                <w:szCs w:val="20"/>
              </w:rPr>
              <w:t xml:space="preserve">Foco</w:t>
            </w:r>
          </w:p>
        </w:tc>
        <w:tc>
          <w:tcPr>
            <w:tcW w:type="dxa" w:w="3212"/>
            <w:tcBorders>
              <w:top w:val="single" w:color="CCCCCC" w:sz="4"/>
              <w:left w:val="single" w:color="CCCCCC" w:sz="4"/>
              <w:bottom w:val="single" w:color="CCCCCC" w:sz="4"/>
              <w:right w:val="single" w:color="CCCCCC" w:sz="4"/>
            </w:tcBorders>
            <w:shd w:fill="EDE7F6" w:val="clear"/>
            <w:tcMar>
              <w:top w:type="dxa" w:w="80"/>
              <w:left w:type="dxa" w:w="180"/>
              <w:bottom w:type="dxa" w:w="80"/>
              <w:right w:type="dxa" w:w="180"/>
            </w:tcMar>
          </w:tcPr>
          <w:p>
            <w:r>
              <w:rPr>
                <w:rFonts w:ascii="Arial" w:cs="Arial" w:eastAsia="Arial" w:hAnsi="Arial"/>
                <w:color w:val="2C2C2A"/>
                <w:sz w:val="20"/>
                <w:szCs w:val="20"/>
              </w:rPr>
              <w:t xml:space="preserve">As 14 camadas do DNA</w:t>
            </w:r>
          </w:p>
        </w:tc>
        <w:tc>
          <w:tcPr>
            <w:tcW w:type="dxa" w:w="3212"/>
            <w:tcBorders>
              <w:top w:val="single" w:color="CCCCCC" w:sz="4"/>
              <w:left w:val="single" w:color="CCCCCC" w:sz="4"/>
              <w:bottom w:val="single" w:color="CCCCCC" w:sz="4"/>
              <w:right w:val="single" w:color="CCCCCC" w:sz="4"/>
            </w:tcBorders>
            <w:shd w:fill="E1F5EE" w:val="clear"/>
            <w:tcMar>
              <w:top w:type="dxa" w:w="80"/>
              <w:left w:type="dxa" w:w="180"/>
              <w:bottom w:type="dxa" w:w="80"/>
              <w:right w:type="dxa" w:w="180"/>
            </w:tcMar>
          </w:tcPr>
          <w:p>
            <w:r>
              <w:rPr>
                <w:rFonts w:ascii="Arial" w:cs="Arial" w:eastAsia="Arial" w:hAnsi="Arial"/>
                <w:color w:val="2C2C2A"/>
                <w:sz w:val="20"/>
                <w:szCs w:val="20"/>
              </w:rPr>
              <w:t xml:space="preserve">Arquitetura, protocolos e padrões</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color w:val="2C2C2A"/>
                <w:sz w:val="20"/>
                <w:szCs w:val="20"/>
              </w:rPr>
              <w:t xml:space="preserve">Resultado</w:t>
            </w:r>
          </w:p>
        </w:tc>
        <w:tc>
          <w:tcPr>
            <w:tcW w:type="dxa" w:w="3212"/>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color w:val="2C2C2A"/>
                <w:sz w:val="20"/>
                <w:szCs w:val="20"/>
              </w:rPr>
              <w:t xml:space="preserve">Um agente funcional</w:t>
            </w:r>
          </w:p>
        </w:tc>
        <w:tc>
          <w:tcPr>
            <w:tcW w:type="dxa" w:w="3212"/>
            <w:tcBorders>
              <w:top w:val="single" w:color="CCCCCC" w:sz="4"/>
              <w:left w:val="single" w:color="CCCCCC" w:sz="4"/>
              <w:bottom w:val="single" w:color="CCCCCC" w:sz="4"/>
              <w:right w:val="single" w:color="CCCCCC" w:sz="4"/>
            </w:tcBorders>
            <w:shd w:fill="FFFFFF" w:val="clear"/>
            <w:tcMar>
              <w:top w:type="dxa" w:w="80"/>
              <w:left w:type="dxa" w:w="180"/>
              <w:bottom w:type="dxa" w:w="80"/>
              <w:right w:type="dxa" w:w="180"/>
            </w:tcMar>
          </w:tcPr>
          <w:p>
            <w:r>
              <w:rPr>
                <w:rFonts w:ascii="Arial" w:cs="Arial" w:eastAsia="Arial" w:hAnsi="Arial"/>
                <w:color w:val="2C2C2A"/>
                <w:sz w:val="20"/>
                <w:szCs w:val="20"/>
              </w:rPr>
              <w:t xml:space="preserve">Um sistema agêntico em produção</w:t>
            </w:r>
          </w:p>
        </w:tc>
      </w:tr>
      <w:tr>
        <w:tc>
          <w:tcPr>
            <w:tcW w:type="dxa" w:w="3212"/>
            <w:tcBorders>
              <w:top w:val="single" w:color="CCCCCC" w:sz="4"/>
              <w:left w:val="single" w:color="CCCCCC" w:sz="4"/>
              <w:bottom w:val="single" w:color="CCCCCC" w:sz="4"/>
              <w:right w:val="single" w:color="CCCCCC" w:sz="4"/>
            </w:tcBorders>
            <w:shd w:fill="F1EFE8" w:val="clear"/>
            <w:tcMar>
              <w:top w:type="dxa" w:w="80"/>
              <w:left w:type="dxa" w:w="180"/>
              <w:bottom w:type="dxa" w:w="80"/>
              <w:right w:type="dxa" w:w="180"/>
            </w:tcMar>
          </w:tcPr>
          <w:p>
            <w:r>
              <w:rPr>
                <w:rFonts w:ascii="Arial" w:cs="Arial" w:eastAsia="Arial" w:hAnsi="Arial"/>
                <w:color w:val="2C2C2A"/>
                <w:sz w:val="20"/>
                <w:szCs w:val="20"/>
              </w:rPr>
              <w:t xml:space="preserve">Analogia</w:t>
            </w:r>
          </w:p>
        </w:tc>
        <w:tc>
          <w:tcPr>
            <w:tcW w:type="dxa" w:w="3212"/>
            <w:tcBorders>
              <w:top w:val="single" w:color="CCCCCC" w:sz="4"/>
              <w:left w:val="single" w:color="CCCCCC" w:sz="4"/>
              <w:bottom w:val="single" w:color="CCCCCC" w:sz="4"/>
              <w:right w:val="single" w:color="CCCCCC" w:sz="4"/>
            </w:tcBorders>
            <w:shd w:fill="EDE7F6" w:val="clear"/>
            <w:tcMar>
              <w:top w:type="dxa" w:w="80"/>
              <w:left w:type="dxa" w:w="180"/>
              <w:bottom w:type="dxa" w:w="80"/>
              <w:right w:type="dxa" w:w="180"/>
            </w:tcMar>
          </w:tcPr>
          <w:p>
            <w:r>
              <w:rPr>
                <w:rFonts w:ascii="Arial" w:cs="Arial" w:eastAsia="Arial" w:hAnsi="Arial"/>
                <w:color w:val="2C2C2A"/>
                <w:sz w:val="20"/>
                <w:szCs w:val="20"/>
              </w:rPr>
              <w:t xml:space="preserve">Entender um músico</w:t>
            </w:r>
          </w:p>
        </w:tc>
        <w:tc>
          <w:tcPr>
            <w:tcW w:type="dxa" w:w="3212"/>
            <w:tcBorders>
              <w:top w:val="single" w:color="CCCCCC" w:sz="4"/>
              <w:left w:val="single" w:color="CCCCCC" w:sz="4"/>
              <w:bottom w:val="single" w:color="CCCCCC" w:sz="4"/>
              <w:right w:val="single" w:color="CCCCCC" w:sz="4"/>
            </w:tcBorders>
            <w:shd w:fill="E1F5EE" w:val="clear"/>
            <w:tcMar>
              <w:top w:type="dxa" w:w="80"/>
              <w:left w:type="dxa" w:w="180"/>
              <w:bottom w:type="dxa" w:w="80"/>
              <w:right w:type="dxa" w:w="180"/>
            </w:tcMar>
          </w:tcPr>
          <w:p>
            <w:r>
              <w:rPr>
                <w:rFonts w:ascii="Arial" w:cs="Arial" w:eastAsia="Arial" w:hAnsi="Arial"/>
                <w:color w:val="2C2C2A"/>
                <w:sz w:val="20"/>
                <w:szCs w:val="20"/>
              </w:rPr>
              <w:t xml:space="preserve">Entender a orquestra inteira</w:t>
            </w:r>
          </w:p>
        </w:tc>
      </w:tr>
    </w:tbl>
    <w:p>
      <w:pPr>
        <w:spacing w:after="100" w:before="100"/>
      </w:pPr>
    </w:p>
    <w:p>
      <w:pPr>
        <w:spacing w:after="140" w:before="0"/>
      </w:pPr>
      <w:r>
        <w:rPr>
          <w:rFonts w:ascii="Arial" w:cs="Arial" w:eastAsia="Arial" w:hAnsi="Arial"/>
          <w:color w:val="2C2C2A"/>
          <w:sz w:val="22"/>
          <w:szCs w:val="22"/>
        </w:rPr>
        <w:t xml:space="preserve">Toda vez que este material mencionar um conceito da primeira coleção — como RAG, Fluxo, Orquestrador ou Skill — ele o fará como referência conhecida, não como revisão. Se você sentir que precisa rever alguma camada, o capítulo correspondente da primeira coleção é o lugar certo.</w:t>
      </w:r>
    </w:p>
    <w:p>
      <w:pPr>
        <w:spacing w:after="120" w:before="320"/>
      </w:pPr>
      <w:r>
        <w:rPr>
          <w:rFonts w:ascii="Arial" w:cs="Arial" w:eastAsia="Arial" w:hAnsi="Arial"/>
          <w:b/>
          <w:bCs/>
          <w:color w:val="2C2C2A"/>
          <w:sz w:val="28"/>
          <w:szCs w:val="28"/>
        </w:rPr>
        <w:t xml:space="preserve">Como usar esta coleção</w:t>
      </w:r>
    </w:p>
    <w:p>
      <w:pPr>
        <w:spacing w:after="140" w:before="0"/>
      </w:pPr>
      <w:r>
        <w:rPr>
          <w:rFonts w:ascii="Arial" w:cs="Arial" w:eastAsia="Arial" w:hAnsi="Arial"/>
          <w:color w:val="2C2C2A"/>
          <w:sz w:val="22"/>
          <w:szCs w:val="22"/>
        </w:rPr>
        <w:t xml:space="preserve">Cada módulo desta coleção segue a mesma estrutura: dois capítulos que abordam o tema de ângulos complementares. O primeiro capítulo apresenta o conceito e a teoria — o que é, por que importa, como funciona. O segundo capítulo entra na prática — como aplicar, quais padrões usar, erros comuns e checklists.</w:t>
      </w:r>
    </w:p>
    <w:p>
      <w:pPr>
        <w:spacing w:after="140" w:before="0"/>
      </w:pPr>
      <w:r>
        <w:rPr>
          <w:rFonts w:ascii="Arial" w:cs="Arial" w:eastAsia="Arial" w:hAnsi="Arial"/>
          <w:color w:val="2C2C2A"/>
          <w:sz w:val="22"/>
          <w:szCs w:val="22"/>
        </w:rPr>
        <w:t xml:space="preserve">Ao final de cada módulo, você encontrará um exercício prático. Não pule os exercícios. Eles são projetados para forçar a aplicação do conceito ao seu próprio contexto — e é aí que o aprendizado se consolida.</w:t>
      </w:r>
    </w:p>
    <w:p>
      <w:pPr>
        <w:spacing w:after="60" w:before="60"/>
      </w:pPr>
    </w:p>
    <w:tbl>
      <w:tblPr>
        <w:tblW w:type="dxa" w:w="9638"/>
        <w:tblBorders>
          <w:top w:val="none" w:color="FFFFFF" w:sz="0"/>
          <w:left w:val="none" w:color="FFFFFF" w:sz="0"/>
          <w:bottom w:val="none" w:color="FFFFFF" w:sz="0"/>
          <w:right w:val="none" w:color="FFFFFF" w:sz="0"/>
          <w:insideH w:val="single" w:color="auto" w:sz="4"/>
          <w:insideV w:val="single" w:color="auto" w:sz="4"/>
        </w:tblBorders>
        <w:tblCellMar>
          <w:top w:type="dxa" w:w="180"/>
          <w:bottom w:type="dxa" w:w="180"/>
        </w:tblCellMar>
      </w:tblPr>
      <w:tblGrid>
        <w:gridCol w:w="9638"/>
      </w:tblGrid>
      <w:tr>
        <w:tc>
          <w:tcPr>
            <w:tcW w:type="dxa" w:w="9638"/>
            <w:tcBorders>
              <w:top w:val="none" w:color="FFFFFF" w:sz="0"/>
              <w:left w:val="none" w:color="FFFFFF" w:sz="0"/>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O caso de referência desta coleção</w:t>
            </w:r>
          </w:p>
          <w:p>
            <w:pPr>
              <w:spacing w:after="60" w:before="0"/>
            </w:pPr>
            <w:r>
              <w:rPr>
                <w:rFonts w:ascii="Arial" w:cs="Arial" w:eastAsia="Arial" w:hAnsi="Arial"/>
                <w:color w:val="2C2C2A"/>
                <w:sz w:val="20"/>
                <w:szCs w:val="20"/>
              </w:rPr>
              <w:t xml:space="preserve">Assim como a primeira coleção usou o Atlas como agente de referência ao longo de todos os capítulos, a segunda coleção usa o Ecossistema Genius completo como sistema de referência.</w:t>
            </w:r>
          </w:p>
          <w:p>
            <w:pPr>
              <w:spacing w:after="60" w:before="0"/>
            </w:pPr>
            <w:r>
              <w:rPr>
                <w:rFonts w:ascii="Arial" w:cs="Arial" w:eastAsia="Arial" w:hAnsi="Arial"/>
                <w:color w:val="2C2C2A"/>
                <w:sz w:val="20"/>
                <w:szCs w:val="20"/>
              </w:rPr>
              <w:t xml:space="preserve">Você acompanhará a evolução desse sistema módulo a módulo — das decisões de arquitetura até a operação em produção. No capítulo 14, o caso estará completo.</w:t>
            </w:r>
          </w:p>
          <w:p>
            <w:pPr>
              <w:spacing w:after="60" w:before="0"/>
            </w:pPr>
            <w:r>
              <w:rPr>
                <w:rFonts w:ascii="Arial" w:cs="Arial" w:eastAsia="Arial" w:hAnsi="Arial"/>
                <w:color w:val="2C2C2A"/>
                <w:sz w:val="20"/>
                <w:szCs w:val="20"/>
              </w:rPr>
              <w:t xml:space="preserve">Guarde cada capítulo. O caso se monta progressivamente.</w:t>
            </w:r>
          </w:p>
        </w:tc>
      </w:tr>
    </w:tbl>
    <w:p>
      <w:pPr>
        <w:spacing w:after="60" w:before="60"/>
      </w:pPr>
    </w:p>
    <w:p>
      <w:pPr>
        <w:spacing w:after="120" w:before="320"/>
      </w:pPr>
      <w:r>
        <w:rPr>
          <w:rFonts w:ascii="Arial" w:cs="Arial" w:eastAsia="Arial" w:hAnsi="Arial"/>
          <w:b/>
          <w:bCs/>
          <w:color w:val="2C2C2A"/>
          <w:sz w:val="28"/>
          <w:szCs w:val="28"/>
        </w:rPr>
        <w:t xml:space="preserve">O que você precisa saber antes de começar</w:t>
      </w:r>
    </w:p>
    <w:p>
      <w:pPr>
        <w:spacing w:after="140" w:before="0"/>
      </w:pPr>
      <w:r>
        <w:rPr>
          <w:rFonts w:ascii="Arial" w:cs="Arial" w:eastAsia="Arial" w:hAnsi="Arial"/>
          <w:color w:val="2C2C2A"/>
          <w:sz w:val="22"/>
          <w:szCs w:val="22"/>
        </w:rPr>
        <w:t xml:space="preserve">Esta coleção pressupõe que você concluiu — ou ao menos estudou — a primeira coleção. Especificamente, você deve estar confortável com:</w:t>
      </w:r>
    </w:p>
    <w:p>
      <w:pPr>
        <w:spacing w:after="0" w:before="40"/>
      </w:pPr>
    </w:p>
    <w:p>
      <w:pPr>
        <w:pStyle w:val="ListParagraph"/>
        <w:numPr>
          <w:ilvl w:val="0"/>
          <w:numId w:val="2"/>
        </w:numPr>
        <w:spacing w:after="80" w:before="0"/>
      </w:pPr>
      <w:r>
        <w:rPr>
          <w:rFonts w:ascii="Arial" w:cs="Arial" w:eastAsia="Arial" w:hAnsi="Arial"/>
          <w:b/>
          <w:bCs/>
          <w:color w:val="2C2C2A"/>
          <w:sz w:val="22"/>
          <w:szCs w:val="22"/>
        </w:rPr>
        <w:t xml:space="preserve">As 14 camadas do DNA</w:t>
      </w:r>
      <w:r>
        <w:rPr>
          <w:rFonts w:ascii="Arial" w:cs="Arial" w:eastAsia="Arial" w:hAnsi="Arial"/>
          <w:color w:val="2C2C2A"/>
          <w:sz w:val="22"/>
          <w:szCs w:val="22"/>
        </w:rPr>
        <w:t xml:space="preserve"> — especialmente Orquestrador, Conectores, RAG e Fluxos</w:t>
      </w:r>
    </w:p>
    <w:p>
      <w:pPr>
        <w:pStyle w:val="ListParagraph"/>
        <w:numPr>
          <w:ilvl w:val="0"/>
          <w:numId w:val="2"/>
        </w:numPr>
        <w:spacing w:after="80" w:before="0"/>
      </w:pPr>
      <w:r>
        <w:rPr>
          <w:rFonts w:ascii="Arial" w:cs="Arial" w:eastAsia="Arial" w:hAnsi="Arial"/>
          <w:b/>
          <w:bCs/>
          <w:color w:val="2C2C2A"/>
          <w:sz w:val="22"/>
          <w:szCs w:val="22"/>
        </w:rPr>
        <w:t xml:space="preserve">A Ficha de Skill e a Ficha de Fluxo</w:t>
      </w:r>
      <w:r>
        <w:rPr>
          <w:rFonts w:ascii="Arial" w:cs="Arial" w:eastAsia="Arial" w:hAnsi="Arial"/>
          <w:color w:val="2C2C2A"/>
          <w:sz w:val="22"/>
          <w:szCs w:val="22"/>
        </w:rPr>
        <w:t xml:space="preserve"> — os formatos de documentação usados no Ecossistema Genius</w:t>
      </w:r>
    </w:p>
    <w:p>
      <w:pPr>
        <w:pStyle w:val="ListParagraph"/>
        <w:numPr>
          <w:ilvl w:val="0"/>
          <w:numId w:val="2"/>
        </w:numPr>
        <w:spacing w:after="80" w:before="0"/>
      </w:pPr>
      <w:r>
        <w:rPr>
          <w:rFonts w:ascii="Arial" w:cs="Arial" w:eastAsia="Arial" w:hAnsi="Arial"/>
          <w:b/>
          <w:bCs/>
          <w:color w:val="2C2C2A"/>
          <w:sz w:val="22"/>
          <w:szCs w:val="22"/>
        </w:rPr>
        <w:t xml:space="preserve">O conceito de Motor (LLM)</w:t>
      </w:r>
      <w:r>
        <w:rPr>
          <w:rFonts w:ascii="Arial" w:cs="Arial" w:eastAsia="Arial" w:hAnsi="Arial"/>
          <w:color w:val="2C2C2A"/>
          <w:sz w:val="22"/>
          <w:szCs w:val="22"/>
        </w:rPr>
        <w:t xml:space="preserve"> — e como ele se relaciona com as camadas acima dele</w:t>
      </w:r>
    </w:p>
    <w:p>
      <w:pPr>
        <w:pStyle w:val="ListParagraph"/>
        <w:numPr>
          <w:ilvl w:val="0"/>
          <w:numId w:val="2"/>
        </w:numPr>
        <w:spacing w:after="80" w:before="0"/>
      </w:pPr>
      <w:r>
        <w:rPr>
          <w:rFonts w:ascii="Arial" w:cs="Arial" w:eastAsia="Arial" w:hAnsi="Arial"/>
          <w:b/>
          <w:bCs/>
          <w:color w:val="2C2C2A"/>
          <w:sz w:val="22"/>
          <w:szCs w:val="22"/>
        </w:rPr>
        <w:t xml:space="preserve">O Atlas</w:t>
      </w:r>
      <w:r>
        <w:rPr>
          <w:rFonts w:ascii="Arial" w:cs="Arial" w:eastAsia="Arial" w:hAnsi="Arial"/>
          <w:color w:val="2C2C2A"/>
          <w:sz w:val="22"/>
          <w:szCs w:val="22"/>
        </w:rPr>
        <w:t xml:space="preserve"> — o agente de referência construído ao longo da primeira coleção</w:t>
      </w:r>
    </w:p>
    <w:p>
      <w:pPr>
        <w:spacing w:after="0" w:before="40"/>
      </w:pPr>
    </w:p>
    <w:p>
      <w:pPr>
        <w:spacing w:after="140" w:before="0"/>
      </w:pPr>
      <w:r>
        <w:rPr>
          <w:rFonts w:ascii="Arial" w:cs="Arial" w:eastAsia="Arial" w:hAnsi="Arial"/>
          <w:color w:val="2C2C2A"/>
          <w:sz w:val="22"/>
          <w:szCs w:val="22"/>
        </w:rPr>
        <w:t xml:space="preserve">Se algum desses pontos ainda está nebuloso, reserve um tempo para revisitar o capítulo correspondente antes de avançar. A segunda coleção constrói sobre esses fundamentos — não os relembra.</w:t>
      </w:r>
    </w:p>
    <w:p>
      <w:pPr>
        <w:spacing w:after="120" w:before="320"/>
      </w:pPr>
      <w:r>
        <w:rPr>
          <w:rFonts w:ascii="Arial" w:cs="Arial" w:eastAsia="Arial" w:hAnsi="Arial"/>
          <w:b/>
          <w:bCs/>
          <w:color w:val="2C2C2A"/>
          <w:sz w:val="28"/>
          <w:szCs w:val="28"/>
        </w:rPr>
        <w:t xml:space="preserve">Uma última coisa antes de começar</w:t>
      </w:r>
    </w:p>
    <w:p>
      <w:pPr>
        <w:spacing w:after="140" w:before="0"/>
      </w:pPr>
      <w:r>
        <w:rPr>
          <w:rFonts w:ascii="Arial" w:cs="Arial" w:eastAsia="Arial" w:hAnsi="Arial"/>
          <w:color w:val="2C2C2A"/>
          <w:sz w:val="22"/>
          <w:szCs w:val="22"/>
        </w:rPr>
        <w:t xml:space="preserve">Sistemas agênticos têm uma propriedade fascinante: eles produzem comportamentos emergentes. O sistema como um todo faz coisas que nenhum agente individual foi explicitamente programado para fazer — porque a interação entre agentes cria capacidades novas.</w:t>
      </w:r>
    </w:p>
    <w:p>
      <w:pPr>
        <w:spacing w:after="140" w:before="0"/>
      </w:pPr>
      <w:r>
        <w:rPr>
          <w:rFonts w:ascii="Arial" w:cs="Arial" w:eastAsia="Arial" w:hAnsi="Arial"/>
          <w:color w:val="2C2C2A"/>
          <w:sz w:val="22"/>
          <w:szCs w:val="22"/>
        </w:rPr>
        <w:t xml:space="preserve">Isso é ao mesmo tempo o poder e o desafio dos sistemas agênticos. O poder é real: você pode construir sistemas que resolvem problemas de complexidade muito maior do que qualquer agente isolado. O desafio também é real: sistemas emergentes são mais difíceis de prever, depurar e controlar do que agentes individuais.</w:t>
      </w:r>
    </w:p>
    <w:p>
      <w:pPr>
        <w:spacing w:after="140" w:before="0"/>
      </w:pPr>
      <w:r>
        <w:rPr>
          <w:rFonts w:ascii="Arial" w:cs="Arial" w:eastAsia="Arial" w:hAnsi="Arial"/>
          <w:color w:val="2C2C2A"/>
          <w:sz w:val="22"/>
          <w:szCs w:val="22"/>
        </w:rPr>
        <w:t xml:space="preserve">Esta coleção ensina os dois lados. Como aproveitar o poder. E como gerenciar o desafio.</w:t>
      </w:r>
    </w:p>
    <w:p>
      <w:pPr>
        <w:spacing w:after="60" w:before="120"/>
      </w:pPr>
    </w:p>
    <w:p>
      <w:pPr>
        <w:spacing w:after="200" w:before="200"/>
        <w:jc w:val="center"/>
      </w:pPr>
      <w:r>
        <w:rPr>
          <w:rFonts w:ascii="Arial" w:cs="Arial" w:eastAsia="Arial" w:hAnsi="Arial"/>
          <w:b/>
          <w:bCs/>
          <w:i/>
          <w:iCs/>
          <w:color w:val="2C2C2A"/>
          <w:sz w:val="22"/>
          <w:szCs w:val="22"/>
        </w:rPr>
        <w:t xml:space="preserve">O Ecossistema Genius começa agora — em escala de sistema.</w:t>
      </w:r>
    </w:p>
    <w:p>
      <w:pPr>
        <w:spacing w:after="0" w:before="60"/>
      </w:pPr>
    </w:p>
    <w:p>
      <w:pPr>
        <w:pBdr>
          <w:top w:val="single" w:color="CCCCCC" w:sz="4" w:space="1"/>
        </w:pBdr>
        <w:spacing w:after="0" w:before="200"/>
      </w:pPr>
      <w:r>
        <w:rPr>
          <w:rFonts w:ascii="Arial" w:cs="Arial" w:eastAsia="Arial" w:hAnsi="Arial"/>
          <w:color w:val="5F5E5A"/>
          <w:sz w:val="18"/>
          <w:szCs w:val="18"/>
        </w:rPr>
        <w:t xml:space="preserve">Ecossistema Genius  •  Segunda Coleção  •  Capítulo Introdutório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5F5E5A"/>
        <w:sz w:val="16"/>
        <w:szCs w:val="16"/>
      </w:rPr>
      <w:t xml:space="preserve">Ecossistema Genius  •  Segunda Coleção  •  Capítulo Introdutório</w:t>
    </w:r>
    <w:r>
      <w:rPr>
        <w:rFonts w:ascii="Arial" w:cs="Arial" w:eastAsia="Arial" w:hAnsi="Arial"/>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2026-04-10T23:25:56.616Z</dcterms:created>
  <dcterms:modified xsi:type="dcterms:W3CDTF">2026-04-10T23:25:56.617Z</dcterms:modified>
</cp:coreProperties>
</file>

<file path=docProps/custom.xml><?xml version="1.0" encoding="utf-8"?>
<Properties xmlns="http://schemas.openxmlformats.org/officeDocument/2006/custom-properties" xmlns:vt="http://schemas.openxmlformats.org/officeDocument/2006/docPropsVTypes"/>
</file>