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B8B50" w14:textId="77777777" w:rsidR="004310CD" w:rsidRDefault="00000000">
      <w:pPr>
        <w:pStyle w:val="Title"/>
      </w:pPr>
      <w:r>
        <w:t>Research report – why?</w:t>
      </w:r>
    </w:p>
    <w:p w14:paraId="27DB8B51" w14:textId="77777777" w:rsidR="004310CD" w:rsidRDefault="00000000">
      <w:pPr>
        <w:pStyle w:val="Author"/>
      </w:pPr>
      <w:r>
        <w:t>Rob Davies</w:t>
      </w:r>
    </w:p>
    <w:p w14:paraId="27DB8B52" w14:textId="77777777" w:rsidR="004310CD" w:rsidRDefault="00000000">
      <w:pPr>
        <w:pStyle w:val="Date"/>
      </w:pPr>
      <w:r>
        <w:t>2023-11-14</w:t>
      </w:r>
    </w:p>
    <w:p w14:paraId="27DB8B53" w14:textId="77777777" w:rsidR="004310CD" w:rsidRDefault="00000000">
      <w:pPr>
        <w:pStyle w:val="Heading2"/>
      </w:pPr>
      <w:bookmarkStart w:id="0" w:name="psyc401-classes-weeks-6-10"/>
      <w:r>
        <w:t>1 PSYC401: Classes weeks 6-10</w:t>
      </w:r>
    </w:p>
    <w:p w14:paraId="27DB8B54" w14:textId="77777777" w:rsidR="004310CD" w:rsidRDefault="00000000">
      <w:pPr>
        <w:pStyle w:val="Compact"/>
        <w:numPr>
          <w:ilvl w:val="0"/>
          <w:numId w:val="2"/>
        </w:numPr>
      </w:pPr>
      <w:r>
        <w:t>My name is Dr Rob Davies, I am an expert in communication, individual differences, and methods</w:t>
      </w:r>
    </w:p>
    <w:tbl>
      <w:tblPr>
        <w:tblStyle w:val="Table"/>
        <w:tblW w:w="5000" w:type="pct"/>
        <w:tblInd w:w="164" w:type="dxa"/>
        <w:tblBorders>
          <w:top w:val="single" w:sz="4" w:space="0" w:color="00A047"/>
          <w:left w:val="single" w:sz="24" w:space="0" w:color="00A047"/>
          <w:bottom w:val="single" w:sz="4" w:space="0" w:color="00A047"/>
          <w:right w:val="single" w:sz="4" w:space="0" w:color="00A047"/>
        </w:tblBorders>
        <w:tblCellMar>
          <w:left w:w="144" w:type="dxa"/>
          <w:right w:w="144" w:type="dxa"/>
        </w:tblCellMar>
        <w:tblLook w:val="0000" w:firstRow="0" w:lastRow="0" w:firstColumn="0" w:lastColumn="0" w:noHBand="0" w:noVBand="0"/>
      </w:tblPr>
      <w:tblGrid>
        <w:gridCol w:w="9648"/>
      </w:tblGrid>
      <w:tr w:rsidR="004310CD" w14:paraId="27DB8B56" w14:textId="77777777" w:rsidTr="004310CD">
        <w:trPr>
          <w:cantSplit/>
        </w:trPr>
        <w:tc>
          <w:tcPr>
            <w:tcW w:w="0" w:type="auto"/>
            <w:shd w:val="clear" w:color="auto" w:fill="CCF1E3"/>
            <w:tcMar>
              <w:top w:w="92" w:type="dxa"/>
              <w:bottom w:w="92" w:type="dxa"/>
            </w:tcMar>
          </w:tcPr>
          <w:p w14:paraId="27DB8B55" w14:textId="77777777" w:rsidR="004310CD" w:rsidRDefault="00000000">
            <w:pPr>
              <w:pStyle w:val="FirstParagraph"/>
              <w:spacing w:before="0" w:after="0"/>
              <w:textAlignment w:val="center"/>
            </w:pPr>
            <w:r>
              <w:rPr>
                <w:noProof/>
              </w:rPr>
              <w:drawing>
                <wp:inline distT="0" distB="0" distL="0" distR="0" wp14:anchorId="27DB8C31" wp14:editId="27DB8C32">
                  <wp:extent cx="152400" cy="152400"/>
                  <wp:effectExtent l="0" t="0" r="0" b="0"/>
                  <wp:docPr id="2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" descr="/Applications/RStudio.app/Contents/Resources/app/quarto/share/formats/docx/ti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Tip</w:t>
            </w:r>
          </w:p>
        </w:tc>
      </w:tr>
      <w:tr w:rsidR="004310CD" w14:paraId="27DB8B5A" w14:textId="77777777" w:rsidTr="004310CD">
        <w:trPr>
          <w:cantSplit/>
        </w:trPr>
        <w:tc>
          <w:tcPr>
            <w:tcW w:w="0" w:type="auto"/>
            <w:tcMar>
              <w:top w:w="108" w:type="dxa"/>
              <w:bottom w:w="108" w:type="dxa"/>
            </w:tcMar>
          </w:tcPr>
          <w:p w14:paraId="27DB8B57" w14:textId="77777777" w:rsidR="004310CD" w:rsidRDefault="00000000">
            <w:pPr>
              <w:pStyle w:val="BodyText"/>
              <w:spacing w:before="16"/>
            </w:pPr>
            <w:r>
              <w:rPr>
                <w:b/>
                <w:bCs/>
              </w:rPr>
              <w:t>Ask me anything</w:t>
            </w:r>
            <w:r>
              <w:t>:</w:t>
            </w:r>
          </w:p>
          <w:p w14:paraId="27DB8B58" w14:textId="77777777" w:rsidR="004310CD" w:rsidRDefault="00000000">
            <w:pPr>
              <w:pStyle w:val="Compact"/>
              <w:numPr>
                <w:ilvl w:val="0"/>
                <w:numId w:val="3"/>
              </w:numPr>
            </w:pPr>
            <w:r>
              <w:t>questions during class on slido or just ask;</w:t>
            </w:r>
          </w:p>
          <w:p w14:paraId="27DB8B59" w14:textId="77777777" w:rsidR="004310CD" w:rsidRDefault="00000000">
            <w:pPr>
              <w:pStyle w:val="Compact"/>
              <w:numPr>
                <w:ilvl w:val="0"/>
                <w:numId w:val="3"/>
              </w:numPr>
            </w:pPr>
            <w:r>
              <w:t>all other questions on discussion forum</w:t>
            </w:r>
          </w:p>
        </w:tc>
      </w:tr>
    </w:tbl>
    <w:p w14:paraId="27DB8B5B" w14:textId="77777777" w:rsidR="004310CD" w:rsidRDefault="00000000">
      <w:pPr>
        <w:pStyle w:val="Heading2"/>
      </w:pPr>
      <w:bookmarkStart w:id="1" w:name="psyc401-classes-weeks-6-10-1"/>
      <w:bookmarkEnd w:id="0"/>
      <w:r>
        <w:t>2 PSYC401: Classes weeks 6-10</w:t>
      </w:r>
    </w:p>
    <w:p w14:paraId="27DB8B5C" w14:textId="77777777" w:rsidR="004310CD" w:rsidRDefault="00000000">
      <w:pPr>
        <w:pStyle w:val="FirstParagraph"/>
      </w:pPr>
      <w:r>
        <w:t>We are working together to develop skills in a series of classes</w:t>
      </w:r>
    </w:p>
    <w:p w14:paraId="27DB8B5D" w14:textId="77777777" w:rsidR="004310CD" w:rsidRDefault="00000000">
      <w:pPr>
        <w:pStyle w:val="Compact"/>
        <w:numPr>
          <w:ilvl w:val="0"/>
          <w:numId w:val="4"/>
        </w:numPr>
      </w:pPr>
      <w:r>
        <w:rPr>
          <w:i/>
          <w:iCs/>
        </w:rPr>
        <w:t>Week 6</w:t>
      </w:r>
      <w:r>
        <w:t xml:space="preserve"> — Research report</w:t>
      </w:r>
    </w:p>
    <w:p w14:paraId="27DB8B5E" w14:textId="77777777" w:rsidR="004310CD" w:rsidRDefault="00000000">
      <w:pPr>
        <w:pStyle w:val="Compact"/>
        <w:numPr>
          <w:ilvl w:val="0"/>
          <w:numId w:val="4"/>
        </w:numPr>
      </w:pPr>
      <w:r>
        <w:rPr>
          <w:i/>
          <w:iCs/>
        </w:rPr>
        <w:t>Week 7</w:t>
      </w:r>
      <w:r>
        <w:t xml:space="preserve"> — Associations, hypotheses</w:t>
      </w:r>
    </w:p>
    <w:p w14:paraId="27DB8B5F" w14:textId="77777777" w:rsidR="004310CD" w:rsidRDefault="00000000">
      <w:pPr>
        <w:pStyle w:val="Compact"/>
        <w:numPr>
          <w:ilvl w:val="0"/>
          <w:numId w:val="4"/>
        </w:numPr>
      </w:pPr>
      <w:r>
        <w:rPr>
          <w:i/>
          <w:iCs/>
        </w:rPr>
        <w:t>Week 8</w:t>
      </w:r>
      <w:r>
        <w:t xml:space="preserve"> — Visualizing data</w:t>
      </w:r>
    </w:p>
    <w:p w14:paraId="27DB8B60" w14:textId="77777777" w:rsidR="004310CD" w:rsidRDefault="00000000">
      <w:pPr>
        <w:pStyle w:val="Compact"/>
        <w:numPr>
          <w:ilvl w:val="0"/>
          <w:numId w:val="4"/>
        </w:numPr>
      </w:pPr>
      <w:r>
        <w:rPr>
          <w:i/>
          <w:iCs/>
        </w:rPr>
        <w:t>Week 9</w:t>
      </w:r>
      <w:r>
        <w:t xml:space="preserve"> — Linear models: predictions</w:t>
      </w:r>
    </w:p>
    <w:p w14:paraId="27DB8B61" w14:textId="77777777" w:rsidR="004310CD" w:rsidRDefault="00000000">
      <w:pPr>
        <w:pStyle w:val="Compact"/>
        <w:numPr>
          <w:ilvl w:val="0"/>
          <w:numId w:val="4"/>
        </w:numPr>
      </w:pPr>
      <w:r>
        <w:rPr>
          <w:i/>
          <w:iCs/>
        </w:rPr>
        <w:t>Week 10</w:t>
      </w:r>
      <w:r>
        <w:t xml:space="preserve"> — Linear models: development</w:t>
      </w:r>
    </w:p>
    <w:p w14:paraId="27DB8B62" w14:textId="77777777" w:rsidR="004310CD" w:rsidRDefault="00000000">
      <w:pPr>
        <w:pStyle w:val="Heading2"/>
      </w:pPr>
      <w:bookmarkStart w:id="2" w:name="Xb6123730a035ad99c8c495795350c70fd056ed3"/>
      <w:bookmarkEnd w:id="1"/>
      <w:r>
        <w:t>3 This week: we focus on the research report, especially why</w:t>
      </w:r>
    </w:p>
    <w:p w14:paraId="27DB8B63" w14:textId="77777777" w:rsidR="004310CD" w:rsidRDefault="00000000">
      <w:pPr>
        <w:pStyle w:val="Compact"/>
        <w:numPr>
          <w:ilvl w:val="0"/>
          <w:numId w:val="5"/>
        </w:numPr>
      </w:pPr>
      <w:r>
        <w:rPr>
          <w:b/>
          <w:bCs/>
        </w:rPr>
        <w:t>Why</w:t>
      </w:r>
      <w:r>
        <w:t>: what is the motivation for the assignment?</w:t>
      </w:r>
    </w:p>
    <w:p w14:paraId="27DB8B64" w14:textId="77777777" w:rsidR="004310CD" w:rsidRDefault="00000000">
      <w:pPr>
        <w:pStyle w:val="Compact"/>
        <w:numPr>
          <w:ilvl w:val="0"/>
          <w:numId w:val="5"/>
        </w:numPr>
      </w:pPr>
      <w:r>
        <w:t>Explain this, to help to make sense of what we are doing, and what you can learn</w:t>
      </w:r>
    </w:p>
    <w:p w14:paraId="27DB8B65" w14:textId="77777777" w:rsidR="004310CD" w:rsidRDefault="00000000">
      <w:pPr>
        <w:pStyle w:val="Heading2"/>
      </w:pPr>
      <w:bookmarkStart w:id="3" w:name="how-to-work-with-the-materials"/>
      <w:bookmarkEnd w:id="2"/>
      <w:r>
        <w:t>4 How to work with the materials</w:t>
      </w:r>
    </w:p>
    <w:p w14:paraId="27DB8B66" w14:textId="77777777" w:rsidR="004310CD" w:rsidRDefault="00000000">
      <w:pPr>
        <w:pStyle w:val="Compact"/>
        <w:numPr>
          <w:ilvl w:val="0"/>
          <w:numId w:val="6"/>
        </w:numPr>
      </w:pPr>
      <w:r>
        <w:rPr>
          <w:b/>
          <w:bCs/>
        </w:rPr>
        <w:t>Watch</w:t>
      </w:r>
      <w:r>
        <w:t xml:space="preserve"> these lectures for an outline</w:t>
      </w:r>
    </w:p>
    <w:p w14:paraId="27DB8B67" w14:textId="77777777" w:rsidR="004310CD" w:rsidRDefault="00000000">
      <w:pPr>
        <w:pStyle w:val="Compact"/>
        <w:numPr>
          <w:ilvl w:val="0"/>
          <w:numId w:val="6"/>
        </w:numPr>
      </w:pPr>
      <w:r>
        <w:rPr>
          <w:b/>
          <w:bCs/>
        </w:rPr>
        <w:t>Read</w:t>
      </w:r>
      <w:r>
        <w:t xml:space="preserve"> the notes to get a detailed explanation</w:t>
      </w:r>
    </w:p>
    <w:p w14:paraId="27DB8B68" w14:textId="77777777" w:rsidR="004310CD" w:rsidRDefault="00000000">
      <w:pPr>
        <w:pStyle w:val="Compact"/>
        <w:numPr>
          <w:ilvl w:val="0"/>
          <w:numId w:val="6"/>
        </w:numPr>
      </w:pPr>
      <w:r>
        <w:rPr>
          <w:b/>
          <w:bCs/>
        </w:rPr>
        <w:t>Follow</w:t>
      </w:r>
      <w:r>
        <w:t xml:space="preserve"> references to sources to build expertise</w:t>
      </w:r>
    </w:p>
    <w:p w14:paraId="27DB8B69" w14:textId="77777777" w:rsidR="004310CD" w:rsidRDefault="00000000">
      <w:pPr>
        <w:pStyle w:val="FirstParagraph"/>
      </w:pPr>
      <w:r>
        <w:t>What to do and how to do it: see notes, and discuss in class</w:t>
      </w:r>
    </w:p>
    <w:p w14:paraId="27DB8B6A" w14:textId="77777777" w:rsidR="004310CD" w:rsidRDefault="00000000">
      <w:pPr>
        <w:pStyle w:val="Heading2"/>
      </w:pPr>
      <w:bookmarkStart w:id="4" w:name="why-this-key-ideas"/>
      <w:bookmarkEnd w:id="3"/>
      <w:r>
        <w:t>5 Why this? Key ideas</w:t>
      </w:r>
    </w:p>
    <w:p w14:paraId="27DB8B6B" w14:textId="77777777" w:rsidR="004310CD" w:rsidRDefault="00000000">
      <w:pPr>
        <w:pStyle w:val="Compact"/>
        <w:numPr>
          <w:ilvl w:val="0"/>
          <w:numId w:val="7"/>
        </w:numPr>
      </w:pPr>
      <w:r>
        <w:t>The difference between science “…being done, science in the making, and science already done, a finished product …” [Bourdieu (2004); p.2]</w:t>
      </w:r>
    </w:p>
    <w:p w14:paraId="27DB8B6C" w14:textId="77777777" w:rsidR="004310CD" w:rsidRDefault="00000000">
      <w:pPr>
        <w:pStyle w:val="Compact"/>
        <w:numPr>
          <w:ilvl w:val="0"/>
          <w:numId w:val="7"/>
        </w:numPr>
      </w:pPr>
      <w:r>
        <w:t xml:space="preserve">Published reported analyses are not </w:t>
      </w:r>
      <w:r>
        <w:rPr>
          <w:i/>
          <w:iCs/>
        </w:rPr>
        <w:t>necessary</w:t>
      </w:r>
      <w:r>
        <w:t xml:space="preserve"> or </w:t>
      </w:r>
      <w:r>
        <w:rPr>
          <w:i/>
          <w:iCs/>
        </w:rPr>
        <w:t>sufficient</w:t>
      </w:r>
      <w:r>
        <w:t xml:space="preserve"> to the data or the question</w:t>
      </w:r>
    </w:p>
    <w:p w14:paraId="27DB8B6D" w14:textId="77777777" w:rsidR="004310CD" w:rsidRDefault="00000000">
      <w:pPr>
        <w:pStyle w:val="Heading2"/>
      </w:pPr>
      <w:bookmarkStart w:id="5" w:name="wider-context-credibility-revolution"/>
      <w:bookmarkEnd w:id="4"/>
      <w:r>
        <w:lastRenderedPageBreak/>
        <w:t>6 Wider context: Credibility revolution</w:t>
      </w:r>
    </w:p>
    <w:p w14:paraId="27DB8B6E" w14:textId="77777777" w:rsidR="004310CD" w:rsidRDefault="00000000">
      <w:pPr>
        <w:pStyle w:val="FirstParagraph"/>
      </w:pPr>
      <w:r>
        <w:t>Science (including psychological science) has undergone a rolling series of crises:</w:t>
      </w:r>
    </w:p>
    <w:p w14:paraId="27DB8B6F" w14:textId="77777777" w:rsidR="004310CD" w:rsidRDefault="00000000">
      <w:pPr>
        <w:pStyle w:val="Compact"/>
        <w:numPr>
          <w:ilvl w:val="0"/>
          <w:numId w:val="8"/>
        </w:numPr>
      </w:pPr>
      <w:r>
        <w:t>Replicability or replication crisis (Pashler &amp; Wagenmakers, 2012)</w:t>
      </w:r>
    </w:p>
    <w:p w14:paraId="27DB8B70" w14:textId="77777777" w:rsidR="004310CD" w:rsidRDefault="00000000">
      <w:pPr>
        <w:pStyle w:val="Compact"/>
        <w:numPr>
          <w:ilvl w:val="0"/>
          <w:numId w:val="8"/>
        </w:numPr>
      </w:pPr>
      <w:r>
        <w:t>Statistical crisis (Gelman &amp; Loken, 2014)</w:t>
      </w:r>
    </w:p>
    <w:p w14:paraId="27DB8B71" w14:textId="77777777" w:rsidR="004310CD" w:rsidRDefault="00000000">
      <w:pPr>
        <w:pStyle w:val="Compact"/>
        <w:numPr>
          <w:ilvl w:val="0"/>
          <w:numId w:val="8"/>
        </w:numPr>
      </w:pPr>
      <w:r>
        <w:t>Generalizability crisis (Yarkoni, 2022)</w:t>
      </w:r>
    </w:p>
    <w:p w14:paraId="27DB8B72" w14:textId="77777777" w:rsidR="004310CD" w:rsidRDefault="00000000">
      <w:pPr>
        <w:pStyle w:val="Heading2"/>
      </w:pPr>
      <w:bookmarkStart w:id="6" w:name="wider-context-credibility-revolution-1"/>
      <w:bookmarkEnd w:id="5"/>
      <w:r>
        <w:t>7 Wider context: Credibility revolution</w:t>
      </w:r>
    </w:p>
    <w:tbl>
      <w:tblPr>
        <w:tblStyle w:val="Table"/>
        <w:tblW w:w="5000" w:type="pct"/>
        <w:tblLook w:val="0000" w:firstRow="0" w:lastRow="0" w:firstColumn="0" w:lastColumn="0" w:noHBand="0" w:noVBand="0"/>
      </w:tblPr>
      <w:tblGrid>
        <w:gridCol w:w="9576"/>
      </w:tblGrid>
      <w:tr w:rsidR="004310CD" w14:paraId="27DB8B75" w14:textId="77777777">
        <w:tc>
          <w:tcPr>
            <w:tcW w:w="0" w:type="auto"/>
          </w:tcPr>
          <w:p w14:paraId="27DB8B73" w14:textId="77777777" w:rsidR="004310CD" w:rsidRDefault="0000000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DB8C33" wp14:editId="27DB8C34">
                  <wp:extent cx="5334000" cy="2851166"/>
                  <wp:effectExtent l="0" t="0" r="0" b="0"/>
                  <wp:docPr id="3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 descr="nosek-2022-replicability-fi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8511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DB8B74" w14:textId="77777777" w:rsidR="004310CD" w:rsidRDefault="00000000">
            <w:pPr>
              <w:pStyle w:val="ImageCaption"/>
              <w:spacing w:before="200"/>
            </w:pPr>
            <w:r>
              <w:t>Nosek et al. (2022): replication outcomes for three systematic replication studies</w:t>
            </w:r>
          </w:p>
        </w:tc>
      </w:tr>
    </w:tbl>
    <w:p w14:paraId="27DB8B76" w14:textId="77777777" w:rsidR="004310CD" w:rsidRDefault="00000000">
      <w:pPr>
        <w:pStyle w:val="Heading2"/>
      </w:pPr>
      <w:bookmarkStart w:id="7" w:name="the-triggers-for-crisis"/>
      <w:bookmarkEnd w:id="6"/>
      <w:r>
        <w:t>8 The triggers for crisis</w:t>
      </w:r>
    </w:p>
    <w:p w14:paraId="27DB8B77" w14:textId="77777777" w:rsidR="004310CD" w:rsidRDefault="00000000">
      <w:pPr>
        <w:pStyle w:val="Compact"/>
        <w:numPr>
          <w:ilvl w:val="0"/>
          <w:numId w:val="9"/>
        </w:numPr>
      </w:pPr>
      <w:r>
        <w:t>Failures to replicate influential claims (Nosek et al., 2022)</w:t>
      </w:r>
    </w:p>
    <w:p w14:paraId="27DB8B78" w14:textId="77777777" w:rsidR="004310CD" w:rsidRDefault="00000000">
      <w:pPr>
        <w:pStyle w:val="Compact"/>
        <w:numPr>
          <w:ilvl w:val="0"/>
          <w:numId w:val="9"/>
        </w:numPr>
      </w:pPr>
      <w:r>
        <w:t>Questionable research practices (John et al., 2012)</w:t>
      </w:r>
    </w:p>
    <w:p w14:paraId="27DB8B79" w14:textId="77777777" w:rsidR="004310CD" w:rsidRDefault="00000000">
      <w:pPr>
        <w:pStyle w:val="Compact"/>
        <w:numPr>
          <w:ilvl w:val="0"/>
          <w:numId w:val="9"/>
        </w:numPr>
      </w:pPr>
      <w:r>
        <w:t>Questionable measurement practices (Flake &amp; Fried, 2020)</w:t>
      </w:r>
    </w:p>
    <w:p w14:paraId="27DB8B7A" w14:textId="77777777" w:rsidR="004310CD" w:rsidRDefault="00000000">
      <w:pPr>
        <w:pStyle w:val="Compact"/>
        <w:numPr>
          <w:ilvl w:val="0"/>
          <w:numId w:val="9"/>
        </w:numPr>
      </w:pPr>
      <w:r>
        <w:t>Limited samples (Button et al., 2013; Henrich et al., 2010; Wild et al., 2022)</w:t>
      </w:r>
    </w:p>
    <w:p w14:paraId="27DB8B7B" w14:textId="77777777" w:rsidR="004310CD" w:rsidRDefault="00000000">
      <w:pPr>
        <w:pStyle w:val="Heading2"/>
      </w:pPr>
      <w:bookmarkStart w:id="8" w:name="the-credibility-revolution-responses"/>
      <w:bookmarkEnd w:id="7"/>
      <w:r>
        <w:t>9 The credibility revolution: responses</w:t>
      </w:r>
    </w:p>
    <w:p w14:paraId="27DB8B7C" w14:textId="77777777" w:rsidR="004310CD" w:rsidRDefault="00000000">
      <w:pPr>
        <w:pStyle w:val="Compact"/>
        <w:numPr>
          <w:ilvl w:val="0"/>
          <w:numId w:val="10"/>
        </w:numPr>
      </w:pPr>
      <w:r>
        <w:t>Pre-registration (Nosek et al., 2018, 2019) and registered reports (Nosek &amp; Lakens, 2014)</w:t>
      </w:r>
    </w:p>
    <w:p w14:paraId="27DB8B7D" w14:textId="77777777" w:rsidR="004310CD" w:rsidRDefault="00000000">
      <w:pPr>
        <w:pStyle w:val="Compact"/>
        <w:numPr>
          <w:ilvl w:val="0"/>
          <w:numId w:val="10"/>
        </w:numPr>
      </w:pPr>
      <w:r>
        <w:t>Replication studies (e.g. Aarts et al., 2015)</w:t>
      </w:r>
    </w:p>
    <w:p w14:paraId="27DB8B7E" w14:textId="77777777" w:rsidR="004310CD" w:rsidRDefault="00000000">
      <w:pPr>
        <w:pStyle w:val="Compact"/>
        <w:numPr>
          <w:ilvl w:val="0"/>
          <w:numId w:val="10"/>
        </w:numPr>
      </w:pPr>
      <w:r>
        <w:t>Identification of open science principles (Munafò et al., 2017)</w:t>
      </w:r>
    </w:p>
    <w:p w14:paraId="27DB8B7F" w14:textId="77777777" w:rsidR="004310CD" w:rsidRDefault="00000000">
      <w:pPr>
        <w:pStyle w:val="Heading2"/>
      </w:pPr>
      <w:bookmarkStart w:id="9" w:name="what-is-the-motivation"/>
      <w:bookmarkEnd w:id="8"/>
      <w:r>
        <w:t>10 What is the motivation?</w:t>
      </w:r>
    </w:p>
    <w:p w14:paraId="27DB8B80" w14:textId="77777777" w:rsidR="004310CD" w:rsidRDefault="00000000">
      <w:pPr>
        <w:pStyle w:val="FirstParagraph"/>
      </w:pPr>
      <w:r>
        <w:t>Opportunity to do original research work</w:t>
      </w:r>
    </w:p>
    <w:p w14:paraId="27DB8B81" w14:textId="77777777" w:rsidR="004310CD" w:rsidRDefault="00000000">
      <w:pPr>
        <w:pStyle w:val="Compact"/>
        <w:numPr>
          <w:ilvl w:val="0"/>
          <w:numId w:val="11"/>
        </w:numPr>
      </w:pPr>
      <w:r>
        <w:t>Important elements of the hard work in trying to make science work better is led by PhD students and junior researchers (e.g., Herndon et al., 2014)</w:t>
      </w:r>
    </w:p>
    <w:p w14:paraId="27DB8B82" w14:textId="77777777" w:rsidR="004310CD" w:rsidRDefault="00000000">
      <w:pPr>
        <w:pStyle w:val="Compact"/>
        <w:numPr>
          <w:ilvl w:val="0"/>
          <w:numId w:val="11"/>
        </w:numPr>
      </w:pPr>
      <w:r>
        <w:lastRenderedPageBreak/>
        <w:t xml:space="preserve">Identification of problems in the literature because of independent </w:t>
      </w:r>
      <w:r>
        <w:rPr>
          <w:b/>
          <w:bCs/>
        </w:rPr>
        <w:t>post-publication review work</w:t>
      </w:r>
    </w:p>
    <w:tbl>
      <w:tblPr>
        <w:tblStyle w:val="Table"/>
        <w:tblW w:w="5000" w:type="pct"/>
        <w:tblLook w:val="0000" w:firstRow="0" w:lastRow="0" w:firstColumn="0" w:lastColumn="0" w:noHBand="0" w:noVBand="0"/>
      </w:tblPr>
      <w:tblGrid>
        <w:gridCol w:w="9576"/>
      </w:tblGrid>
      <w:tr w:rsidR="004310CD" w14:paraId="27DB8B85" w14:textId="77777777">
        <w:tc>
          <w:tcPr>
            <w:tcW w:w="0" w:type="auto"/>
          </w:tcPr>
          <w:p w14:paraId="27DB8B83" w14:textId="77777777" w:rsidR="004310CD" w:rsidRDefault="0000000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DB8C35" wp14:editId="1DD00B99">
                  <wp:extent cx="3609474" cy="3489157"/>
                  <wp:effectExtent l="0" t="0" r="0" b="0"/>
                  <wp:docPr id="3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 descr="Reinhart-Rogoff-excel-err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0818" cy="35484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DB8B84" w14:textId="77777777" w:rsidR="004310CD" w:rsidRDefault="00000000">
            <w:pPr>
              <w:pStyle w:val="ImageCaption"/>
              <w:spacing w:before="200"/>
            </w:pPr>
            <w:r>
              <w:t>Student Herndon discovered that a famous claim – countries with more debt have low growth – based on error</w:t>
            </w:r>
          </w:p>
        </w:tc>
      </w:tr>
    </w:tbl>
    <w:p w14:paraId="27DB8B86" w14:textId="77777777" w:rsidR="004310CD" w:rsidRDefault="00000000">
      <w:pPr>
        <w:pStyle w:val="Heading2"/>
      </w:pPr>
      <w:bookmarkStart w:id="10" w:name="lets-take-a-break"/>
      <w:bookmarkEnd w:id="9"/>
      <w:r>
        <w:t>11 Let’s take a break</w:t>
      </w:r>
    </w:p>
    <w:p w14:paraId="27DB8B87" w14:textId="77777777" w:rsidR="004310CD" w:rsidRDefault="00000000">
      <w:pPr>
        <w:pStyle w:val="Compact"/>
        <w:numPr>
          <w:ilvl w:val="0"/>
          <w:numId w:val="12"/>
        </w:numPr>
      </w:pPr>
      <w:r>
        <w:t>End of part 1</w:t>
      </w:r>
    </w:p>
    <w:p w14:paraId="27DB8B88" w14:textId="77777777" w:rsidR="004310CD" w:rsidRDefault="00000000">
      <w:pPr>
        <w:pStyle w:val="Heading2"/>
      </w:pPr>
      <w:bookmarkStart w:id="11" w:name="multiverses-a-fresh-perspective"/>
      <w:bookmarkEnd w:id="10"/>
      <w:r>
        <w:t>12 Multiverses: a fresh perspective</w:t>
      </w:r>
    </w:p>
    <w:p w14:paraId="27DB8B89" w14:textId="77777777" w:rsidR="004310CD" w:rsidRDefault="00000000">
      <w:pPr>
        <w:pStyle w:val="Compact"/>
        <w:numPr>
          <w:ilvl w:val="0"/>
          <w:numId w:val="13"/>
        </w:numPr>
      </w:pPr>
      <w:r>
        <w:t xml:space="preserve">We introduce the idea that your analysis work will flow through the stages of a </w:t>
      </w:r>
      <w:r>
        <w:rPr>
          <w:i/>
          <w:iCs/>
        </w:rPr>
        <w:t>pipeline</w:t>
      </w:r>
    </w:p>
    <w:p w14:paraId="27DB8B8A" w14:textId="77777777" w:rsidR="004310CD" w:rsidRDefault="00000000">
      <w:pPr>
        <w:pStyle w:val="Compact"/>
        <w:numPr>
          <w:ilvl w:val="0"/>
          <w:numId w:val="13"/>
        </w:numPr>
      </w:pPr>
      <w:r>
        <w:t xml:space="preserve">From getting the data </w:t>
      </w:r>
      <w:r>
        <w:rPr>
          <w:rStyle w:val="VerbatimChar"/>
        </w:rPr>
        <w:t>|&gt;</w:t>
      </w:r>
      <w:r>
        <w:t xml:space="preserve"> to presenting your findings</w:t>
      </w:r>
    </w:p>
    <w:p w14:paraId="27DB8B8B" w14:textId="77777777" w:rsidR="004310CD" w:rsidRDefault="00000000">
      <w:pPr>
        <w:pStyle w:val="Compact"/>
        <w:numPr>
          <w:ilvl w:val="0"/>
          <w:numId w:val="13"/>
        </w:numPr>
      </w:pPr>
      <w:r>
        <w:t xml:space="preserve">Because, next, we examine how pipelines can </w:t>
      </w:r>
      <w:r>
        <w:rPr>
          <w:i/>
          <w:iCs/>
        </w:rPr>
        <w:t>multiply</w:t>
      </w:r>
    </w:p>
    <w:p w14:paraId="27DB8B8C" w14:textId="77777777" w:rsidR="004310CD" w:rsidRDefault="00000000">
      <w:pPr>
        <w:pStyle w:val="Heading2"/>
      </w:pPr>
      <w:bookmarkStart w:id="12" w:name="X7c429144df6785966d39207fe72817012b10739"/>
      <w:bookmarkEnd w:id="11"/>
      <w:r>
        <w:lastRenderedPageBreak/>
        <w:t>13 Data analysis: we get from raw data to presenting results in stages</w:t>
      </w:r>
    </w:p>
    <w:tbl>
      <w:tblPr>
        <w:tblStyle w:val="Table"/>
        <w:tblW w:w="5000" w:type="pct"/>
        <w:tblLook w:val="0000" w:firstRow="0" w:lastRow="0" w:firstColumn="0" w:lastColumn="0" w:noHBand="0" w:noVBand="0"/>
      </w:tblPr>
      <w:tblGrid>
        <w:gridCol w:w="9576"/>
      </w:tblGrid>
      <w:tr w:rsidR="004310CD" w14:paraId="27DB8B8F" w14:textId="77777777">
        <w:tc>
          <w:tcPr>
            <w:tcW w:w="0" w:type="auto"/>
          </w:tcPr>
          <w:p w14:paraId="27DB8B8D" w14:textId="77777777" w:rsidR="004310CD" w:rsidRDefault="00000000">
            <w:pPr>
              <w:jc w:val="center"/>
            </w:pPr>
            <w:bookmarkStart w:id="13" w:name="fig-pipeline"/>
            <w:r>
              <w:rPr>
                <w:noProof/>
              </w:rPr>
              <w:drawing>
                <wp:inline distT="0" distB="0" distL="0" distR="0" wp14:anchorId="27DB8C37" wp14:editId="1C959FFE">
                  <wp:extent cx="2346158" cy="2526632"/>
                  <wp:effectExtent l="0" t="0" r="0" b="0"/>
                  <wp:docPr id="4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" descr="401-research-report-printable_files/figure-docx/dot-figure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787" cy="25897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DB8B8E" w14:textId="77777777" w:rsidR="004310CD" w:rsidRDefault="00000000">
            <w:pPr>
              <w:pStyle w:val="ImageCaption"/>
              <w:spacing w:before="200"/>
            </w:pPr>
            <w:r>
              <w:t>Figure 1: The data analysis pipeline or workflow</w:t>
            </w:r>
          </w:p>
        </w:tc>
        <w:bookmarkEnd w:id="13"/>
      </w:tr>
    </w:tbl>
    <w:p w14:paraId="27DB8B90" w14:textId="77777777" w:rsidR="004310CD" w:rsidRDefault="00000000">
      <w:pPr>
        <w:pStyle w:val="Heading2"/>
      </w:pPr>
      <w:bookmarkStart w:id="14" w:name="the-data-analysis-pipeline-workflow"/>
      <w:bookmarkEnd w:id="12"/>
      <w:r>
        <w:t>14 The data analysis pipeline (workflow)</w:t>
      </w:r>
    </w:p>
    <w:p w14:paraId="27DB8B91" w14:textId="77777777" w:rsidR="004310CD" w:rsidRDefault="00000000">
      <w:pPr>
        <w:pStyle w:val="Compact"/>
        <w:numPr>
          <w:ilvl w:val="0"/>
          <w:numId w:val="14"/>
        </w:numPr>
      </w:pPr>
      <w:r>
        <w:t>Get some data</w:t>
      </w:r>
    </w:p>
    <w:p w14:paraId="27DB8B92" w14:textId="77777777" w:rsidR="004310CD" w:rsidRDefault="00000000">
      <w:pPr>
        <w:pStyle w:val="Compact"/>
        <w:numPr>
          <w:ilvl w:val="0"/>
          <w:numId w:val="14"/>
        </w:numPr>
      </w:pPr>
      <w:r>
        <w:t>Process or tidy the data</w:t>
      </w:r>
    </w:p>
    <w:p w14:paraId="27DB8B93" w14:textId="77777777" w:rsidR="004310CD" w:rsidRDefault="00000000">
      <w:pPr>
        <w:pStyle w:val="Compact"/>
        <w:numPr>
          <w:ilvl w:val="0"/>
          <w:numId w:val="14"/>
        </w:numPr>
      </w:pPr>
      <w:r>
        <w:t>Explore, visualize, and analyze the data</w:t>
      </w:r>
    </w:p>
    <w:p w14:paraId="27DB8B94" w14:textId="77777777" w:rsidR="004310CD" w:rsidRDefault="00000000">
      <w:pPr>
        <w:pStyle w:val="Compact"/>
        <w:numPr>
          <w:ilvl w:val="0"/>
          <w:numId w:val="14"/>
        </w:numPr>
      </w:pPr>
      <w:r>
        <w:t>Present or report your findings</w:t>
      </w:r>
    </w:p>
    <w:tbl>
      <w:tblPr>
        <w:tblStyle w:val="Table"/>
        <w:tblW w:w="5000" w:type="pct"/>
        <w:tblInd w:w="164" w:type="dxa"/>
        <w:tblBorders>
          <w:top w:val="single" w:sz="4" w:space="0" w:color="00A047"/>
          <w:left w:val="single" w:sz="24" w:space="0" w:color="00A047"/>
          <w:bottom w:val="single" w:sz="4" w:space="0" w:color="00A047"/>
          <w:right w:val="single" w:sz="4" w:space="0" w:color="00A047"/>
        </w:tblBorders>
        <w:tblCellMar>
          <w:left w:w="144" w:type="dxa"/>
          <w:right w:w="144" w:type="dxa"/>
        </w:tblCellMar>
        <w:tblLook w:val="0000" w:firstRow="0" w:lastRow="0" w:firstColumn="0" w:lastColumn="0" w:noHBand="0" w:noVBand="0"/>
      </w:tblPr>
      <w:tblGrid>
        <w:gridCol w:w="9648"/>
      </w:tblGrid>
      <w:tr w:rsidR="004310CD" w14:paraId="27DB8B96" w14:textId="77777777" w:rsidTr="004310CD">
        <w:trPr>
          <w:cantSplit/>
        </w:trPr>
        <w:tc>
          <w:tcPr>
            <w:tcW w:w="0" w:type="auto"/>
            <w:shd w:val="clear" w:color="auto" w:fill="CCF1E3"/>
            <w:tcMar>
              <w:top w:w="92" w:type="dxa"/>
              <w:bottom w:w="92" w:type="dxa"/>
            </w:tcMar>
          </w:tcPr>
          <w:p w14:paraId="27DB8B95" w14:textId="77777777" w:rsidR="004310CD" w:rsidRDefault="00000000">
            <w:pPr>
              <w:pStyle w:val="FirstParagraph"/>
              <w:spacing w:before="0" w:after="0"/>
              <w:textAlignment w:val="center"/>
            </w:pPr>
            <w:r>
              <w:rPr>
                <w:noProof/>
              </w:rPr>
              <w:drawing>
                <wp:inline distT="0" distB="0" distL="0" distR="0" wp14:anchorId="27DB8C39" wp14:editId="27DB8C3A">
                  <wp:extent cx="152400" cy="152400"/>
                  <wp:effectExtent l="0" t="0" r="0" b="0"/>
                  <wp:docPr id="4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 descr="/Applications/RStudio.app/Contents/Resources/app/quarto/share/formats/docx/ti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Tip</w:t>
            </w:r>
          </w:p>
        </w:tc>
      </w:tr>
      <w:tr w:rsidR="004310CD" w14:paraId="27DB8B98" w14:textId="77777777" w:rsidTr="004310CD">
        <w:trPr>
          <w:cantSplit/>
        </w:trPr>
        <w:tc>
          <w:tcPr>
            <w:tcW w:w="0" w:type="auto"/>
            <w:tcMar>
              <w:top w:w="108" w:type="dxa"/>
              <w:bottom w:w="108" w:type="dxa"/>
            </w:tcMar>
          </w:tcPr>
          <w:p w14:paraId="27DB8B97" w14:textId="77777777" w:rsidR="004310CD" w:rsidRDefault="00000000">
            <w:pPr>
              <w:pStyle w:val="Compact"/>
              <w:numPr>
                <w:ilvl w:val="0"/>
                <w:numId w:val="15"/>
              </w:numPr>
            </w:pPr>
            <w:r>
              <w:t xml:space="preserve">Identify the elements and the order in </w:t>
            </w:r>
            <w:r>
              <w:rPr>
                <w:i/>
                <w:iCs/>
              </w:rPr>
              <w:t>your</w:t>
            </w:r>
            <w:r>
              <w:t xml:space="preserve"> work as the parts of a pipeline or the stages in a </w:t>
            </w:r>
            <w:r>
              <w:rPr>
                <w:i/>
                <w:iCs/>
              </w:rPr>
              <w:t>workflow</w:t>
            </w:r>
          </w:p>
        </w:tc>
      </w:tr>
    </w:tbl>
    <w:p w14:paraId="27DB8B99" w14:textId="77777777" w:rsidR="004310CD" w:rsidRDefault="00000000">
      <w:pPr>
        <w:pStyle w:val="Heading2"/>
      </w:pPr>
      <w:bookmarkStart w:id="15" w:name="the-garden-of-forking-paths"/>
      <w:bookmarkEnd w:id="14"/>
      <w:r>
        <w:t>15 The garden of forking paths</w:t>
      </w:r>
    </w:p>
    <w:tbl>
      <w:tblPr>
        <w:tblStyle w:val="Table"/>
        <w:tblW w:w="5000" w:type="pct"/>
        <w:tblLook w:val="0000" w:firstRow="0" w:lastRow="0" w:firstColumn="0" w:lastColumn="0" w:noHBand="0" w:noVBand="0"/>
      </w:tblPr>
      <w:tblGrid>
        <w:gridCol w:w="9576"/>
      </w:tblGrid>
      <w:tr w:rsidR="004310CD" w14:paraId="27DB8B9C" w14:textId="77777777">
        <w:tc>
          <w:tcPr>
            <w:tcW w:w="0" w:type="auto"/>
          </w:tcPr>
          <w:p w14:paraId="27DB8B9A" w14:textId="77777777" w:rsidR="004310CD" w:rsidRDefault="00000000">
            <w:pPr>
              <w:jc w:val="center"/>
            </w:pPr>
            <w:bookmarkStart w:id="16" w:name="fig-forking"/>
            <w:r>
              <w:rPr>
                <w:noProof/>
              </w:rPr>
              <w:drawing>
                <wp:inline distT="0" distB="0" distL="0" distR="0" wp14:anchorId="27DB8C3B" wp14:editId="4CA1A9D4">
                  <wp:extent cx="2766795" cy="2261937"/>
                  <wp:effectExtent l="0" t="0" r="0" b="0"/>
                  <wp:docPr id="5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 descr="401-research-report-printable_files/figure-docx/dot-figure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8970" cy="23045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DB8B9B" w14:textId="77777777" w:rsidR="004310CD" w:rsidRDefault="00000000">
            <w:pPr>
              <w:pStyle w:val="ImageCaption"/>
              <w:spacing w:before="200"/>
            </w:pPr>
            <w:r>
              <w:t>Figure 2: Forking paths in data analysis</w:t>
            </w:r>
          </w:p>
        </w:tc>
        <w:bookmarkEnd w:id="16"/>
      </w:tr>
    </w:tbl>
    <w:p w14:paraId="27DB8B9D" w14:textId="77777777" w:rsidR="004310CD" w:rsidRDefault="00000000">
      <w:pPr>
        <w:pStyle w:val="Heading2"/>
      </w:pPr>
      <w:bookmarkStart w:id="17" w:name="X9e7bc89dab43782fb801bbb3c24374deeedb0da"/>
      <w:bookmarkEnd w:id="15"/>
      <w:r>
        <w:lastRenderedPageBreak/>
        <w:t>16 The garden of forking paths: pathways multiply at each choice</w:t>
      </w:r>
    </w:p>
    <w:p w14:paraId="27DB8B9E" w14:textId="77777777" w:rsidR="004310CD" w:rsidRDefault="00000000">
      <w:pPr>
        <w:pStyle w:val="Compact"/>
        <w:numPr>
          <w:ilvl w:val="0"/>
          <w:numId w:val="16"/>
        </w:numPr>
      </w:pPr>
      <w:r>
        <w:t xml:space="preserve">It is possible to have </w:t>
      </w:r>
      <w:r>
        <w:rPr>
          <w:b/>
          <w:bCs/>
        </w:rPr>
        <w:t>multiple potential different paths</w:t>
      </w:r>
      <w:r>
        <w:t xml:space="preserve"> from the data to the results</w:t>
      </w:r>
    </w:p>
    <w:p w14:paraId="27DB8B9F" w14:textId="77777777" w:rsidR="004310CD" w:rsidRDefault="00000000">
      <w:pPr>
        <w:pStyle w:val="Compact"/>
        <w:numPr>
          <w:ilvl w:val="0"/>
          <w:numId w:val="16"/>
        </w:numPr>
      </w:pPr>
      <w:r>
        <w:t>The results may vary, depending on the path we take</w:t>
      </w:r>
    </w:p>
    <w:p w14:paraId="27DB8BA0" w14:textId="77777777" w:rsidR="004310CD" w:rsidRDefault="00000000">
      <w:pPr>
        <w:pStyle w:val="Heading2"/>
      </w:pPr>
      <w:bookmarkStart w:id="18" w:name="credibility-and-multiplicity"/>
      <w:bookmarkEnd w:id="17"/>
      <w:r>
        <w:t>17 Credibility and multiplicity</w:t>
      </w:r>
    </w:p>
    <w:p w14:paraId="27DB8BA1" w14:textId="77777777" w:rsidR="004310CD" w:rsidRDefault="00000000">
      <w:pPr>
        <w:pStyle w:val="Compact"/>
        <w:numPr>
          <w:ilvl w:val="0"/>
          <w:numId w:val="17"/>
        </w:numPr>
      </w:pPr>
      <w:r>
        <w:t xml:space="preserve">Certainty over data processing or the uncertainty over analysis methods revealed in </w:t>
      </w:r>
      <w:r>
        <w:rPr>
          <w:b/>
          <w:bCs/>
        </w:rPr>
        <w:t>multiverse analyses</w:t>
      </w:r>
      <w:r>
        <w:t xml:space="preserve"> (next)</w:t>
      </w:r>
    </w:p>
    <w:p w14:paraId="27DB8BA2" w14:textId="77777777" w:rsidR="004310CD" w:rsidRDefault="00000000">
      <w:pPr>
        <w:pStyle w:val="Compact"/>
        <w:numPr>
          <w:ilvl w:val="0"/>
          <w:numId w:val="17"/>
        </w:numPr>
      </w:pPr>
      <w:r>
        <w:t>Plus limitations of data and code sharing, and incompleteness of reports</w:t>
      </w:r>
    </w:p>
    <w:p w14:paraId="27DB8BA3" w14:textId="77777777" w:rsidR="004310CD" w:rsidRDefault="00000000">
      <w:pPr>
        <w:pStyle w:val="Compact"/>
        <w:numPr>
          <w:ilvl w:val="0"/>
          <w:numId w:val="17"/>
        </w:numPr>
      </w:pPr>
      <w:r>
        <w:t>Drives problems replicating or reproducing claims</w:t>
      </w:r>
    </w:p>
    <w:p w14:paraId="27DB8BA4" w14:textId="77777777" w:rsidR="004310CD" w:rsidRDefault="00000000">
      <w:pPr>
        <w:pStyle w:val="Heading2"/>
      </w:pPr>
      <w:bookmarkStart w:id="19" w:name="multiple-pathways-and-secret-lives"/>
      <w:bookmarkEnd w:id="18"/>
      <w:r>
        <w:t>18 Multiple pathways and secret lives</w:t>
      </w:r>
    </w:p>
    <w:tbl>
      <w:tblPr>
        <w:tblStyle w:val="Table"/>
        <w:tblW w:w="5000" w:type="pct"/>
        <w:tblLook w:val="0000" w:firstRow="0" w:lastRow="0" w:firstColumn="0" w:lastColumn="0" w:noHBand="0" w:noVBand="0"/>
      </w:tblPr>
      <w:tblGrid>
        <w:gridCol w:w="9576"/>
      </w:tblGrid>
      <w:tr w:rsidR="004310CD" w14:paraId="27DB8BA7" w14:textId="77777777">
        <w:tc>
          <w:tcPr>
            <w:tcW w:w="0" w:type="auto"/>
          </w:tcPr>
          <w:p w14:paraId="27DB8BA5" w14:textId="77777777" w:rsidR="004310CD" w:rsidRDefault="0000000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DB8C3D" wp14:editId="27DB8C3E">
                  <wp:extent cx="3312302" cy="2864693"/>
                  <wp:effectExtent l="0" t="0" r="0" b="0"/>
                  <wp:docPr id="5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" descr="carp-2012-secret-lives-fi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2302" cy="28646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DB8BA6" w14:textId="77777777" w:rsidR="004310CD" w:rsidRDefault="00000000">
            <w:pPr>
              <w:pStyle w:val="ImageCaption"/>
              <w:spacing w:before="200"/>
            </w:pPr>
            <w:r>
              <w:t>Carp (2012): Proportions of studies that reported using each of 21 procedures for data collection and analysis.</w:t>
            </w:r>
          </w:p>
        </w:tc>
      </w:tr>
    </w:tbl>
    <w:p w14:paraId="27DB8BA8" w14:textId="77777777" w:rsidR="004310CD" w:rsidRDefault="00000000">
      <w:pPr>
        <w:pStyle w:val="Heading2"/>
      </w:pPr>
      <w:bookmarkStart w:id="20" w:name="data-processing-is-always-necessary"/>
      <w:bookmarkEnd w:id="19"/>
      <w:r>
        <w:t>19 Data processing is always necessary</w:t>
      </w:r>
    </w:p>
    <w:p w14:paraId="27DB8BA9" w14:textId="77777777" w:rsidR="004310CD" w:rsidRDefault="00000000">
      <w:pPr>
        <w:pStyle w:val="Compact"/>
        <w:numPr>
          <w:ilvl w:val="0"/>
          <w:numId w:val="18"/>
        </w:numPr>
      </w:pPr>
      <w:r>
        <w:t>When you collect or access data for a research study</w:t>
      </w:r>
    </w:p>
    <w:p w14:paraId="27DB8BAA" w14:textId="77777777" w:rsidR="004310CD" w:rsidRDefault="00000000">
      <w:pPr>
        <w:pStyle w:val="Compact"/>
        <w:numPr>
          <w:ilvl w:val="0"/>
          <w:numId w:val="18"/>
        </w:numPr>
      </w:pPr>
      <w:r>
        <w:t xml:space="preserve">The complete raw dataset you receive is </w:t>
      </w:r>
      <w:r>
        <w:rPr>
          <w:i/>
          <w:iCs/>
        </w:rPr>
        <w:t>almost never</w:t>
      </w:r>
      <w:r>
        <w:t xml:space="preserve"> the complete dataset you analyze or whose analysis you report</w:t>
      </w:r>
    </w:p>
    <w:p w14:paraId="27DB8BAB" w14:textId="77777777" w:rsidR="004310CD" w:rsidRDefault="00000000">
      <w:pPr>
        <w:pStyle w:val="Heading2"/>
      </w:pPr>
      <w:bookmarkStart w:id="21" w:name="data-multiverse-analyses"/>
      <w:bookmarkEnd w:id="20"/>
      <w:r>
        <w:t>20 Data multiverse analyses</w:t>
      </w:r>
    </w:p>
    <w:p w14:paraId="27DB8BAC" w14:textId="77777777" w:rsidR="004310CD" w:rsidRDefault="00000000">
      <w:pPr>
        <w:pStyle w:val="Compact"/>
        <w:numPr>
          <w:ilvl w:val="0"/>
          <w:numId w:val="19"/>
        </w:numPr>
      </w:pPr>
      <w:r>
        <w:t>The impact of dataset construction choices on analysis results</w:t>
      </w:r>
    </w:p>
    <w:p w14:paraId="27DB8BAD" w14:textId="77777777" w:rsidR="004310CD" w:rsidRDefault="00000000">
      <w:pPr>
        <w:pStyle w:val="Compact"/>
        <w:numPr>
          <w:ilvl w:val="0"/>
          <w:numId w:val="19"/>
        </w:numPr>
      </w:pPr>
      <w:r>
        <w:t>Same data constructed in different ways, given reasonable alternate choices</w:t>
      </w:r>
    </w:p>
    <w:p w14:paraId="27DB8BAE" w14:textId="77777777" w:rsidR="004310CD" w:rsidRDefault="00000000">
      <w:pPr>
        <w:pStyle w:val="Compact"/>
        <w:numPr>
          <w:ilvl w:val="0"/>
          <w:numId w:val="19"/>
        </w:numPr>
      </w:pPr>
      <w:r>
        <w:t>p-values of tests vary for same tests across data versions</w:t>
      </w:r>
    </w:p>
    <w:tbl>
      <w:tblPr>
        <w:tblStyle w:val="Table"/>
        <w:tblW w:w="5000" w:type="pct"/>
        <w:tblLook w:val="0000" w:firstRow="0" w:lastRow="0" w:firstColumn="0" w:lastColumn="0" w:noHBand="0" w:noVBand="0"/>
      </w:tblPr>
      <w:tblGrid>
        <w:gridCol w:w="9576"/>
      </w:tblGrid>
      <w:tr w:rsidR="004310CD" w14:paraId="27DB8BB1" w14:textId="77777777">
        <w:tc>
          <w:tcPr>
            <w:tcW w:w="0" w:type="auto"/>
          </w:tcPr>
          <w:p w14:paraId="27DB8BAF" w14:textId="77777777" w:rsidR="004310CD" w:rsidRDefault="0000000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7DB8C3F" wp14:editId="27DB8C40">
                  <wp:extent cx="5334000" cy="5161682"/>
                  <wp:effectExtent l="0" t="0" r="0" b="0"/>
                  <wp:docPr id="6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" descr="steegen_et_al_2016_Increasing_Transparency_Through_a_Multiverse_Analysi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161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DB8BB0" w14:textId="77777777" w:rsidR="004310CD" w:rsidRDefault="00000000">
            <w:pPr>
              <w:pStyle w:val="ImageCaption"/>
              <w:spacing w:before="200"/>
            </w:pPr>
            <w:r>
              <w:t>Steegen et al. (2016); figure 1</w:t>
            </w:r>
          </w:p>
        </w:tc>
      </w:tr>
    </w:tbl>
    <w:p w14:paraId="27DB8BB2" w14:textId="77777777" w:rsidR="004310CD" w:rsidRDefault="00000000">
      <w:pPr>
        <w:pStyle w:val="Heading2"/>
      </w:pPr>
      <w:bookmarkStart w:id="22" w:name="data-multiverse-lessons"/>
      <w:bookmarkEnd w:id="21"/>
      <w:r>
        <w:t>21 Data multiverse: lessons</w:t>
      </w:r>
    </w:p>
    <w:p w14:paraId="27DB8BB3" w14:textId="77777777" w:rsidR="004310CD" w:rsidRDefault="00000000">
      <w:pPr>
        <w:pStyle w:val="Compact"/>
        <w:numPr>
          <w:ilvl w:val="0"/>
          <w:numId w:val="20"/>
        </w:numPr>
      </w:pPr>
      <w:r>
        <w:t>We approach our study with the same research question, and prediction</w:t>
      </w:r>
    </w:p>
    <w:p w14:paraId="27DB8BB4" w14:textId="77777777" w:rsidR="004310CD" w:rsidRDefault="00000000">
      <w:pPr>
        <w:pStyle w:val="Compact"/>
        <w:numPr>
          <w:ilvl w:val="0"/>
          <w:numId w:val="20"/>
        </w:numPr>
      </w:pPr>
      <w:r>
        <w:t>We begin with the exact same data</w:t>
      </w:r>
    </w:p>
    <w:p w14:paraId="27DB8BB5" w14:textId="77777777" w:rsidR="004310CD" w:rsidRDefault="00000000">
      <w:pPr>
        <w:pStyle w:val="Compact"/>
        <w:numPr>
          <w:ilvl w:val="0"/>
          <w:numId w:val="20"/>
        </w:numPr>
      </w:pPr>
      <w:r>
        <w:t xml:space="preserve">We could construct different datasets depending on </w:t>
      </w:r>
      <w:r>
        <w:rPr>
          <w:i/>
          <w:iCs/>
        </w:rPr>
        <w:t>equally reasonable</w:t>
      </w:r>
      <w:r>
        <w:t xml:space="preserve"> choices</w:t>
      </w:r>
    </w:p>
    <w:p w14:paraId="27DB8BB6" w14:textId="77777777" w:rsidR="004310CD" w:rsidRDefault="00000000">
      <w:pPr>
        <w:pStyle w:val="Compact"/>
        <w:numPr>
          <w:ilvl w:val="0"/>
          <w:numId w:val="20"/>
        </w:numPr>
      </w:pPr>
      <w:r>
        <w:t>As a result, we may see different results for the analyses of the different datasets</w:t>
      </w:r>
    </w:p>
    <w:p w14:paraId="27DB8BB7" w14:textId="77777777" w:rsidR="004310CD" w:rsidRDefault="00000000">
      <w:pPr>
        <w:pStyle w:val="Heading2"/>
      </w:pPr>
      <w:bookmarkStart w:id="23" w:name="analysis-multiverse"/>
      <w:bookmarkEnd w:id="22"/>
      <w:r>
        <w:t>22 Analysis multiverse</w:t>
      </w:r>
    </w:p>
    <w:p w14:paraId="27DB8BB8" w14:textId="77777777" w:rsidR="004310CD" w:rsidRDefault="00000000">
      <w:pPr>
        <w:pStyle w:val="FirstParagraph"/>
      </w:pPr>
      <w:r>
        <w:t>Different researchers may adopt different approaches (Silberzahn &amp; Uhlmann, 2015)</w:t>
      </w:r>
    </w:p>
    <w:tbl>
      <w:tblPr>
        <w:tblStyle w:val="Table"/>
        <w:tblW w:w="5000" w:type="pct"/>
        <w:tblLook w:val="0000" w:firstRow="0" w:lastRow="0" w:firstColumn="0" w:lastColumn="0" w:noHBand="0" w:noVBand="0"/>
      </w:tblPr>
      <w:tblGrid>
        <w:gridCol w:w="9576"/>
      </w:tblGrid>
      <w:tr w:rsidR="004310CD" w14:paraId="27DB8BBB" w14:textId="77777777">
        <w:tc>
          <w:tcPr>
            <w:tcW w:w="0" w:type="auto"/>
          </w:tcPr>
          <w:p w14:paraId="27DB8BB9" w14:textId="77777777" w:rsidR="004310CD" w:rsidRDefault="0000000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7DB8C41" wp14:editId="27DB8C42">
                  <wp:extent cx="5334000" cy="3004786"/>
                  <wp:effectExtent l="0" t="0" r="0" b="0"/>
                  <wp:docPr id="6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" descr="Silberzahn_and_Uhlmann_2015_Many_hands_make_tight_wo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047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DB8BBA" w14:textId="77777777" w:rsidR="004310CD" w:rsidRDefault="00000000">
            <w:pPr>
              <w:pStyle w:val="ImageCaption"/>
              <w:spacing w:before="200"/>
            </w:pPr>
            <w:r>
              <w:t>Silberzahn and Uhlmann (2015): Twenty-nine research teams reached a wide variety of conclusions using different methods on the same data set to answer the same question (about football players’ skin colour and red cards).</w:t>
            </w:r>
          </w:p>
        </w:tc>
      </w:tr>
    </w:tbl>
    <w:p w14:paraId="27DB8BBC" w14:textId="77777777" w:rsidR="004310CD" w:rsidRDefault="00000000">
      <w:pPr>
        <w:pStyle w:val="Heading2"/>
      </w:pPr>
      <w:bookmarkStart w:id="24" w:name="analysis-multiverse-1"/>
      <w:bookmarkEnd w:id="23"/>
      <w:r>
        <w:t>23 Analysis multiverse</w:t>
      </w:r>
    </w:p>
    <w:p w14:paraId="27DB8BBD" w14:textId="77777777" w:rsidR="004310CD" w:rsidRDefault="00000000">
      <w:pPr>
        <w:pStyle w:val="FirstParagraph"/>
      </w:pPr>
      <w:r>
        <w:t>In multiverse analyses, we typically see variation in:</w:t>
      </w:r>
    </w:p>
    <w:p w14:paraId="27DB8BBE" w14:textId="77777777" w:rsidR="004310CD" w:rsidRDefault="00000000">
      <w:pPr>
        <w:pStyle w:val="Compact"/>
        <w:numPr>
          <w:ilvl w:val="0"/>
          <w:numId w:val="21"/>
        </w:numPr>
      </w:pPr>
      <w:r>
        <w:t>how psychological constructs are operationalized;</w:t>
      </w:r>
    </w:p>
    <w:p w14:paraId="27DB8BBF" w14:textId="77777777" w:rsidR="004310CD" w:rsidRDefault="00000000">
      <w:pPr>
        <w:pStyle w:val="Compact"/>
        <w:numPr>
          <w:ilvl w:val="0"/>
          <w:numId w:val="21"/>
        </w:numPr>
      </w:pPr>
      <w:r>
        <w:t>how data are processed or datasets constructed;</w:t>
      </w:r>
    </w:p>
    <w:p w14:paraId="27DB8BC0" w14:textId="77777777" w:rsidR="004310CD" w:rsidRDefault="00000000">
      <w:pPr>
        <w:pStyle w:val="Compact"/>
        <w:numPr>
          <w:ilvl w:val="0"/>
          <w:numId w:val="21"/>
        </w:numPr>
      </w:pPr>
      <w:r>
        <w:rPr>
          <w:i/>
          <w:iCs/>
        </w:rPr>
        <w:t>what</w:t>
      </w:r>
      <w:r>
        <w:t xml:space="preserve"> statistical techniques are used;</w:t>
      </w:r>
    </w:p>
    <w:p w14:paraId="27DB8BC1" w14:textId="77777777" w:rsidR="004310CD" w:rsidRDefault="00000000">
      <w:pPr>
        <w:pStyle w:val="Compact"/>
        <w:numPr>
          <w:ilvl w:val="0"/>
          <w:numId w:val="21"/>
        </w:numPr>
      </w:pPr>
      <w:r>
        <w:rPr>
          <w:i/>
          <w:iCs/>
        </w:rPr>
        <w:t>how</w:t>
      </w:r>
      <w:r>
        <w:t xml:space="preserve"> those techniques are used;</w:t>
      </w:r>
    </w:p>
    <w:p w14:paraId="27DB8BC2" w14:textId="77777777" w:rsidR="004310CD" w:rsidRDefault="00000000">
      <w:pPr>
        <w:pStyle w:val="Compact"/>
        <w:numPr>
          <w:ilvl w:val="0"/>
          <w:numId w:val="21"/>
        </w:numPr>
      </w:pPr>
      <m:oMath>
        <m:r>
          <m:rPr>
            <m:sty m:val="p"/>
          </m:rPr>
          <w:rPr>
            <w:rFonts w:ascii="Cambria Math" w:hAnsi="Cambria Math"/>
          </w:rPr>
          <m:t>→</m:t>
        </m:r>
      </m:oMath>
      <w:r>
        <w:t xml:space="preserve"> with associated variation in results</w:t>
      </w:r>
    </w:p>
    <w:p w14:paraId="27DB8BC3" w14:textId="77777777" w:rsidR="004310CD" w:rsidRDefault="00000000">
      <w:pPr>
        <w:pStyle w:val="Heading2"/>
      </w:pPr>
      <w:bookmarkStart w:id="25" w:name="conclusions"/>
      <w:bookmarkEnd w:id="24"/>
      <w:r>
        <w:t>24 Conclusions</w:t>
      </w:r>
    </w:p>
    <w:p w14:paraId="27DB8BC4" w14:textId="77777777" w:rsidR="004310CD" w:rsidRDefault="00000000">
      <w:pPr>
        <w:pStyle w:val="FirstParagraph"/>
      </w:pPr>
      <w:r>
        <w:t>If we see one analysis reported in a paper that does not mean only one analysis can reasonably be applied</w:t>
      </w:r>
    </w:p>
    <w:tbl>
      <w:tblPr>
        <w:tblStyle w:val="Table"/>
        <w:tblW w:w="5000" w:type="pct"/>
        <w:tblInd w:w="164" w:type="dxa"/>
        <w:tblBorders>
          <w:top w:val="single" w:sz="4" w:space="0" w:color="00A047"/>
          <w:left w:val="single" w:sz="24" w:space="0" w:color="00A047"/>
          <w:bottom w:val="single" w:sz="4" w:space="0" w:color="00A047"/>
          <w:right w:val="single" w:sz="4" w:space="0" w:color="00A047"/>
        </w:tblBorders>
        <w:tblCellMar>
          <w:left w:w="144" w:type="dxa"/>
          <w:right w:w="144" w:type="dxa"/>
        </w:tblCellMar>
        <w:tblLook w:val="0000" w:firstRow="0" w:lastRow="0" w:firstColumn="0" w:lastColumn="0" w:noHBand="0" w:noVBand="0"/>
      </w:tblPr>
      <w:tblGrid>
        <w:gridCol w:w="9648"/>
      </w:tblGrid>
      <w:tr w:rsidR="004310CD" w14:paraId="27DB8BC6" w14:textId="77777777" w:rsidTr="004310CD">
        <w:trPr>
          <w:cantSplit/>
        </w:trPr>
        <w:tc>
          <w:tcPr>
            <w:tcW w:w="0" w:type="auto"/>
            <w:shd w:val="clear" w:color="auto" w:fill="CCF1E3"/>
            <w:tcMar>
              <w:top w:w="92" w:type="dxa"/>
              <w:bottom w:w="92" w:type="dxa"/>
            </w:tcMar>
          </w:tcPr>
          <w:p w14:paraId="27DB8BC5" w14:textId="77777777" w:rsidR="004310CD" w:rsidRDefault="00000000">
            <w:pPr>
              <w:pStyle w:val="BodyText"/>
              <w:spacing w:before="0" w:after="0"/>
              <w:textAlignment w:val="center"/>
            </w:pPr>
            <w:r>
              <w:rPr>
                <w:noProof/>
              </w:rPr>
              <w:drawing>
                <wp:inline distT="0" distB="0" distL="0" distR="0" wp14:anchorId="27DB8C43" wp14:editId="27DB8C44">
                  <wp:extent cx="152400" cy="152400"/>
                  <wp:effectExtent l="0" t="0" r="0" b="0"/>
                  <wp:docPr id="7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" descr="/Applications/RStudio.app/Contents/Resources/app/quarto/share/formats/docx/ti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Tip</w:t>
            </w:r>
          </w:p>
        </w:tc>
      </w:tr>
      <w:tr w:rsidR="004310CD" w14:paraId="27DB8BCA" w14:textId="77777777" w:rsidTr="004310CD">
        <w:trPr>
          <w:cantSplit/>
        </w:trPr>
        <w:tc>
          <w:tcPr>
            <w:tcW w:w="0" w:type="auto"/>
            <w:tcMar>
              <w:top w:w="108" w:type="dxa"/>
              <w:bottom w:w="108" w:type="dxa"/>
            </w:tcMar>
          </w:tcPr>
          <w:p w14:paraId="27DB8BC7" w14:textId="77777777" w:rsidR="004310CD" w:rsidRDefault="00000000">
            <w:pPr>
              <w:pStyle w:val="BodyText"/>
              <w:spacing w:before="16"/>
            </w:pPr>
            <w:r>
              <w:t>If you read the methods or results section of a paper, you should reflect:</w:t>
            </w:r>
          </w:p>
          <w:p w14:paraId="27DB8BC8" w14:textId="77777777" w:rsidR="004310CD" w:rsidRDefault="00000000">
            <w:pPr>
              <w:pStyle w:val="Compact"/>
              <w:numPr>
                <w:ilvl w:val="0"/>
                <w:numId w:val="22"/>
              </w:numPr>
            </w:pPr>
            <w:r>
              <w:t>What other analysis methods could be used here?</w:t>
            </w:r>
          </w:p>
          <w:p w14:paraId="27DB8BC9" w14:textId="77777777" w:rsidR="004310CD" w:rsidRDefault="00000000">
            <w:pPr>
              <w:pStyle w:val="Compact"/>
              <w:numPr>
                <w:ilvl w:val="0"/>
                <w:numId w:val="22"/>
              </w:numPr>
            </w:pPr>
            <w:r>
              <w:t>How could variation in analysis method — in what or how you do the analysis — influence the results?</w:t>
            </w:r>
          </w:p>
        </w:tc>
      </w:tr>
    </w:tbl>
    <w:p w14:paraId="27DB8BCB" w14:textId="77777777" w:rsidR="004310CD" w:rsidRDefault="00000000">
      <w:pPr>
        <w:pStyle w:val="Heading2"/>
      </w:pPr>
      <w:bookmarkStart w:id="26" w:name="lets-take-a-break-1"/>
      <w:bookmarkEnd w:id="25"/>
      <w:r>
        <w:lastRenderedPageBreak/>
        <w:t>25 Let’s take a break</w:t>
      </w:r>
    </w:p>
    <w:p w14:paraId="27DB8BCC" w14:textId="77777777" w:rsidR="004310CD" w:rsidRDefault="00000000">
      <w:pPr>
        <w:pStyle w:val="Compact"/>
        <w:numPr>
          <w:ilvl w:val="0"/>
          <w:numId w:val="23"/>
        </w:numPr>
      </w:pPr>
      <w:r>
        <w:t>End of Part 2</w:t>
      </w:r>
    </w:p>
    <w:p w14:paraId="27DB8BCD" w14:textId="77777777" w:rsidR="004310CD" w:rsidRDefault="00000000">
      <w:pPr>
        <w:pStyle w:val="Heading2"/>
      </w:pPr>
      <w:bookmarkStart w:id="27" w:name="kinds-of-reproducibility"/>
      <w:bookmarkEnd w:id="26"/>
      <w:r>
        <w:t>26 Kinds of reproducibility</w:t>
      </w:r>
    </w:p>
    <w:p w14:paraId="27DB8BCE" w14:textId="77777777" w:rsidR="004310CD" w:rsidRDefault="00000000">
      <w:pPr>
        <w:pStyle w:val="FirstParagraph"/>
      </w:pPr>
      <w:r>
        <w:t>(Gilmore et al., 2017; following Goodman et al., 2016) present three kinds of reproducibility:</w:t>
      </w:r>
    </w:p>
    <w:p w14:paraId="27DB8BCF" w14:textId="77777777" w:rsidR="004310CD" w:rsidRDefault="00000000">
      <w:pPr>
        <w:pStyle w:val="Compact"/>
        <w:numPr>
          <w:ilvl w:val="0"/>
          <w:numId w:val="24"/>
        </w:numPr>
      </w:pPr>
      <w:r>
        <w:t>Methods reproducibility</w:t>
      </w:r>
    </w:p>
    <w:p w14:paraId="27DB8BD0" w14:textId="77777777" w:rsidR="004310CD" w:rsidRDefault="00000000">
      <w:pPr>
        <w:pStyle w:val="Compact"/>
        <w:numPr>
          <w:ilvl w:val="0"/>
          <w:numId w:val="24"/>
        </w:numPr>
      </w:pPr>
      <w:r>
        <w:t>Results reproducibility</w:t>
      </w:r>
    </w:p>
    <w:p w14:paraId="27DB8BD1" w14:textId="77777777" w:rsidR="004310CD" w:rsidRDefault="00000000">
      <w:pPr>
        <w:pStyle w:val="Compact"/>
        <w:numPr>
          <w:ilvl w:val="0"/>
          <w:numId w:val="24"/>
        </w:numPr>
      </w:pPr>
      <w:r>
        <w:t>Inferential reproducibility</w:t>
      </w:r>
    </w:p>
    <w:p w14:paraId="27DB8BD2" w14:textId="77777777" w:rsidR="004310CD" w:rsidRDefault="00000000">
      <w:pPr>
        <w:pStyle w:val="FirstParagraph"/>
      </w:pPr>
      <w:r>
        <w:t xml:space="preserve">We are mostly focused — in thinking about the </w:t>
      </w:r>
      <w:r>
        <w:rPr>
          <w:b/>
          <w:bCs/>
        </w:rPr>
        <w:t>research report</w:t>
      </w:r>
      <w:r>
        <w:t xml:space="preserve"> — on methods and inferential reproducibility</w:t>
      </w:r>
    </w:p>
    <w:p w14:paraId="27DB8BD3" w14:textId="77777777" w:rsidR="004310CD" w:rsidRDefault="00000000">
      <w:pPr>
        <w:pStyle w:val="Heading2"/>
      </w:pPr>
      <w:bookmarkStart w:id="28" w:name="methods-reproducibility"/>
      <w:bookmarkEnd w:id="27"/>
      <w:r>
        <w:t>27 Methods reproducibility</w:t>
      </w:r>
    </w:p>
    <w:p w14:paraId="27DB8BD4" w14:textId="77777777" w:rsidR="004310CD" w:rsidRDefault="00000000">
      <w:pPr>
        <w:pStyle w:val="Compact"/>
        <w:numPr>
          <w:ilvl w:val="0"/>
          <w:numId w:val="25"/>
        </w:numPr>
      </w:pPr>
      <w:r>
        <w:t>Other researchers should be able to get the same results if they use the analysis methods with the same data</w:t>
      </w:r>
    </w:p>
    <w:tbl>
      <w:tblPr>
        <w:tblStyle w:val="Table"/>
        <w:tblW w:w="5000" w:type="pct"/>
        <w:tblLook w:val="0000" w:firstRow="0" w:lastRow="0" w:firstColumn="0" w:lastColumn="0" w:noHBand="0" w:noVBand="0"/>
      </w:tblPr>
      <w:tblGrid>
        <w:gridCol w:w="9576"/>
      </w:tblGrid>
      <w:tr w:rsidR="004310CD" w14:paraId="27DB8BD7" w14:textId="77777777">
        <w:tc>
          <w:tcPr>
            <w:tcW w:w="0" w:type="auto"/>
          </w:tcPr>
          <w:p w14:paraId="27DB8BD5" w14:textId="77777777" w:rsidR="004310CD" w:rsidRDefault="0000000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DB8C45" wp14:editId="27DB8C46">
                  <wp:extent cx="5102735" cy="3542500"/>
                  <wp:effectExtent l="0" t="0" r="0" b="0"/>
                  <wp:docPr id="7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" descr="hardwicke_et_al_2021_Analytic_reproducibility_in_articles_receiving_open_data_badges_at_the_journal_Psychological_Science__an_observational_study_pd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2735" cy="354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DB8BD6" w14:textId="77777777" w:rsidR="004310CD" w:rsidRDefault="00000000">
            <w:pPr>
              <w:pStyle w:val="ImageCaption"/>
              <w:spacing w:before="200"/>
            </w:pPr>
            <w:r>
              <w:t>Hardwicke et al. (2021): Frequency of reproducibility outcomes by value type.</w:t>
            </w:r>
          </w:p>
        </w:tc>
      </w:tr>
    </w:tbl>
    <w:p w14:paraId="27DB8BD8" w14:textId="77777777" w:rsidR="004310CD" w:rsidRDefault="00000000">
      <w:pPr>
        <w:pStyle w:val="Heading2"/>
      </w:pPr>
      <w:bookmarkStart w:id="29" w:name="inferential-reproducibility"/>
      <w:bookmarkEnd w:id="28"/>
      <w:r>
        <w:t>28 Inferential reproducibility</w:t>
      </w:r>
    </w:p>
    <w:p w14:paraId="27DB8BD9" w14:textId="77777777" w:rsidR="004310CD" w:rsidRDefault="00000000">
      <w:pPr>
        <w:pStyle w:val="FirstParagraph"/>
      </w:pPr>
      <w:r>
        <w:t xml:space="preserve">If researchers repeat a study (results reproducibility) or re-analyze original data (methods reproducibility) then they </w:t>
      </w:r>
      <w:r>
        <w:rPr>
          <w:i/>
          <w:iCs/>
        </w:rPr>
        <w:t>should</w:t>
      </w:r>
      <w:r>
        <w:t xml:space="preserve"> come to similar conclusions as original authors</w:t>
      </w:r>
    </w:p>
    <w:p w14:paraId="27DB8BDA" w14:textId="77777777" w:rsidR="004310CD" w:rsidRDefault="00000000">
      <w:pPr>
        <w:pStyle w:val="BodyText"/>
      </w:pPr>
      <w:r>
        <w:t>But …</w:t>
      </w:r>
    </w:p>
    <w:p w14:paraId="27DB8BDB" w14:textId="77777777" w:rsidR="004310CD" w:rsidRDefault="00000000">
      <w:pPr>
        <w:pStyle w:val="Compact"/>
        <w:numPr>
          <w:ilvl w:val="0"/>
          <w:numId w:val="26"/>
        </w:numPr>
      </w:pPr>
      <w:r>
        <w:lastRenderedPageBreak/>
        <w:t>reproducibility attempt could reveal problems, uncertainty over choices</w:t>
      </w:r>
    </w:p>
    <w:p w14:paraId="27DB8BDC" w14:textId="77777777" w:rsidR="004310CD" w:rsidRDefault="00000000">
      <w:pPr>
        <w:pStyle w:val="Compact"/>
        <w:numPr>
          <w:ilvl w:val="0"/>
          <w:numId w:val="26"/>
        </w:numPr>
      </w:pPr>
      <w:r>
        <w:t>different researchers could apply different prior expectations over the probability of possible effects</w:t>
      </w:r>
    </w:p>
    <w:p w14:paraId="27DB8BDD" w14:textId="77777777" w:rsidR="004310CD" w:rsidRDefault="00000000">
      <w:pPr>
        <w:pStyle w:val="Heading2"/>
      </w:pPr>
      <w:bookmarkStart w:id="30" w:name="X72bd2f42b2705d566748c095025d286ff4e9adb"/>
      <w:bookmarkEnd w:id="29"/>
      <w:r>
        <w:t>29 The match between open science ideas and practices</w:t>
      </w:r>
    </w:p>
    <w:p w14:paraId="27DB8BDE" w14:textId="77777777" w:rsidR="004310CD" w:rsidRDefault="00000000">
      <w:pPr>
        <w:pStyle w:val="FirstParagraph"/>
      </w:pPr>
      <w:r>
        <w:t>The lessons learned from crises mean we now hope to see researchers:</w:t>
      </w:r>
    </w:p>
    <w:p w14:paraId="27DB8BDF" w14:textId="77777777" w:rsidR="004310CD" w:rsidRDefault="00000000">
      <w:pPr>
        <w:pStyle w:val="Compact"/>
        <w:numPr>
          <w:ilvl w:val="0"/>
          <w:numId w:val="27"/>
        </w:numPr>
      </w:pPr>
      <w:r>
        <w:t>Share data and code;</w:t>
      </w:r>
    </w:p>
    <w:p w14:paraId="27DB8BE0" w14:textId="77777777" w:rsidR="004310CD" w:rsidRDefault="00000000">
      <w:pPr>
        <w:pStyle w:val="Compact"/>
        <w:numPr>
          <w:ilvl w:val="0"/>
          <w:numId w:val="27"/>
        </w:numPr>
      </w:pPr>
      <w:r>
        <w:t>Publish research reports in ways that enable others to check or query analyses.</w:t>
      </w:r>
    </w:p>
    <w:p w14:paraId="27DB8BE1" w14:textId="77777777" w:rsidR="004310CD" w:rsidRDefault="00000000">
      <w:pPr>
        <w:pStyle w:val="Compact"/>
        <w:numPr>
          <w:ilvl w:val="0"/>
          <w:numId w:val="27"/>
        </w:numPr>
      </w:pPr>
      <w:r>
        <w:t>What do we see, when we look at current practices?</w:t>
      </w:r>
    </w:p>
    <w:p w14:paraId="27DB8BE2" w14:textId="77777777" w:rsidR="004310CD" w:rsidRDefault="00000000">
      <w:pPr>
        <w:pStyle w:val="Heading2"/>
      </w:pPr>
      <w:bookmarkStart w:id="31" w:name="data-and-code-sharing"/>
      <w:bookmarkEnd w:id="30"/>
      <w:r>
        <w:t>30 Data and code sharing</w:t>
      </w:r>
    </w:p>
    <w:p w14:paraId="27DB8BE3" w14:textId="77777777" w:rsidR="004310CD" w:rsidRDefault="00000000">
      <w:pPr>
        <w:pStyle w:val="Compact"/>
        <w:numPr>
          <w:ilvl w:val="0"/>
          <w:numId w:val="28"/>
        </w:numPr>
      </w:pPr>
      <w:r>
        <w:t xml:space="preserve">Analyses by Kidwell et al. (2016) and analyses reviewed by Nosek et al. (2022): study data increasingly available </w:t>
      </w:r>
    </w:p>
    <w:tbl>
      <w:tblPr>
        <w:tblStyle w:val="Table"/>
        <w:tblW w:w="5000" w:type="pct"/>
        <w:tblLook w:val="0000" w:firstRow="0" w:lastRow="0" w:firstColumn="0" w:lastColumn="0" w:noHBand="0" w:noVBand="0"/>
      </w:tblPr>
      <w:tblGrid>
        <w:gridCol w:w="9576"/>
      </w:tblGrid>
      <w:tr w:rsidR="004310CD" w14:paraId="27DB8BE6" w14:textId="77777777">
        <w:tc>
          <w:tcPr>
            <w:tcW w:w="0" w:type="auto"/>
          </w:tcPr>
          <w:p w14:paraId="27DB8BE4" w14:textId="77777777" w:rsidR="004310CD" w:rsidRDefault="0000000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DB8C47" wp14:editId="27DB8C48">
                  <wp:extent cx="5334000" cy="2255520"/>
                  <wp:effectExtent l="0" t="0" r="0" b="0"/>
                  <wp:docPr id="8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" descr="Nosek_et_al_2022_Replicability__Robustness__and_Reproducibility_in_Psychological_Science_pd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255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DB8BE5" w14:textId="77777777" w:rsidR="004310CD" w:rsidRDefault="00000000">
            <w:pPr>
              <w:pStyle w:val="ImageCaption"/>
              <w:spacing w:before="200"/>
            </w:pPr>
            <w:r>
              <w:t>Nosek et al. (2022): Yearly counts of users, sharing of files (research data, materials, code), and registration of studies on OSF and AsPredicted.</w:t>
            </w:r>
          </w:p>
        </w:tc>
      </w:tr>
    </w:tbl>
    <w:p w14:paraId="27DB8BE7" w14:textId="77777777" w:rsidR="004310CD" w:rsidRDefault="00000000">
      <w:pPr>
        <w:pStyle w:val="Heading2"/>
      </w:pPr>
      <w:bookmarkStart w:id="32" w:name="data-and-code-sharing-1"/>
      <w:bookmarkEnd w:id="31"/>
      <w:r>
        <w:t>31 Data and code sharing</w:t>
      </w:r>
    </w:p>
    <w:p w14:paraId="27DB8BE8" w14:textId="77777777" w:rsidR="004310CD" w:rsidRDefault="00000000">
      <w:pPr>
        <w:pStyle w:val="FirstParagraph"/>
      </w:pPr>
      <w:r>
        <w:t xml:space="preserve">It is great that data are shared but analyses show they are not always readily usable (Towse et al., 2021) but </w:t>
      </w:r>
      <w:r>
        <w:rPr>
          <w:i/>
          <w:iCs/>
        </w:rPr>
        <w:t>should be</w:t>
      </w:r>
    </w:p>
    <w:p w14:paraId="27DB8BE9" w14:textId="77777777" w:rsidR="004310CD" w:rsidRDefault="00000000">
      <w:pPr>
        <w:pStyle w:val="Compact"/>
        <w:numPr>
          <w:ilvl w:val="0"/>
          <w:numId w:val="29"/>
        </w:numPr>
      </w:pPr>
      <w:r>
        <w:rPr>
          <w:b/>
          <w:bCs/>
        </w:rPr>
        <w:t>completeness</w:t>
      </w:r>
      <w:r>
        <w:t>: are all the data and the data descriptors supporting a study’s findings publicly available?</w:t>
      </w:r>
    </w:p>
    <w:p w14:paraId="27DB8BEA" w14:textId="77777777" w:rsidR="004310CD" w:rsidRDefault="00000000">
      <w:pPr>
        <w:pStyle w:val="Compact"/>
        <w:numPr>
          <w:ilvl w:val="0"/>
          <w:numId w:val="29"/>
        </w:numPr>
      </w:pPr>
      <w:r>
        <w:rPr>
          <w:b/>
          <w:bCs/>
        </w:rPr>
        <w:t>reusability</w:t>
      </w:r>
      <w:r>
        <w:t>: how readily can the data be accessed and understood by others?</w:t>
      </w:r>
    </w:p>
    <w:p w14:paraId="27DB8BEB" w14:textId="77777777" w:rsidR="004310CD" w:rsidRDefault="00000000">
      <w:pPr>
        <w:pStyle w:val="Heading2"/>
      </w:pPr>
      <w:bookmarkStart w:id="33" w:name="X5878c56ae6dfe2d0c9fe511252fa8a034ea36a9"/>
      <w:bookmarkEnd w:id="32"/>
      <w:r>
        <w:t>32 Enabling others to check or query analyses</w:t>
      </w:r>
    </w:p>
    <w:p w14:paraId="27DB8BEC" w14:textId="77777777" w:rsidR="004310CD" w:rsidRDefault="00000000">
      <w:pPr>
        <w:pStyle w:val="FirstParagraph"/>
      </w:pPr>
      <w:r>
        <w:t xml:space="preserve">Overall, the </w:t>
      </w:r>
      <w:r>
        <w:rPr>
          <w:i/>
          <w:iCs/>
        </w:rPr>
        <w:t>good news</w:t>
      </w:r>
      <w:r>
        <w:t xml:space="preserve"> is</w:t>
      </w:r>
    </w:p>
    <w:p w14:paraId="27DB8BED" w14:textId="77777777" w:rsidR="004310CD" w:rsidRDefault="00000000">
      <w:pPr>
        <w:pStyle w:val="Compact"/>
        <w:numPr>
          <w:ilvl w:val="0"/>
          <w:numId w:val="30"/>
        </w:numPr>
      </w:pPr>
      <w:r>
        <w:t xml:space="preserve">for many published reports, </w:t>
      </w:r>
      <w:r>
        <w:rPr>
          <w:i/>
          <w:iCs/>
        </w:rPr>
        <w:t>if</w:t>
      </w:r>
      <w:r>
        <w:t xml:space="preserve"> data are shared and </w:t>
      </w:r>
      <w:r>
        <w:rPr>
          <w:i/>
          <w:iCs/>
        </w:rPr>
        <w:t>if</w:t>
      </w:r>
      <w:r>
        <w:t xml:space="preserve"> the shared data are accessible and reusable </w:t>
      </w:r>
      <w:r>
        <w:rPr>
          <w:i/>
          <w:iCs/>
        </w:rPr>
        <w:t>then</w:t>
      </w:r>
    </w:p>
    <w:p w14:paraId="27DB8BEE" w14:textId="77777777" w:rsidR="004310CD" w:rsidRDefault="00000000">
      <w:pPr>
        <w:pStyle w:val="Compact"/>
        <w:numPr>
          <w:ilvl w:val="0"/>
          <w:numId w:val="30"/>
        </w:numPr>
      </w:pPr>
      <w:r>
        <w:lastRenderedPageBreak/>
        <w:t xml:space="preserve">most of the time, the researchers </w:t>
      </w:r>
      <w:r>
        <w:rPr>
          <w:b/>
          <w:bCs/>
        </w:rPr>
        <w:t>can reproduce</w:t>
      </w:r>
      <w:r>
        <w:t xml:space="preserve"> the results presented by the original study authors (Hardwicke et al., n.d.; Hardwicke et al., 2018; Laurinavichyute et al., 2022; Minocher et al., n.d.; Obels et al., 2020; but see Crüwell et al., n.d.)</w:t>
      </w:r>
    </w:p>
    <w:p w14:paraId="27DB8BEF" w14:textId="77777777" w:rsidR="004310CD" w:rsidRDefault="00000000">
      <w:pPr>
        <w:pStyle w:val="FirstParagraph"/>
      </w:pPr>
      <w:r>
        <w:t>Yet studies of reproducibility identify challenges</w:t>
      </w:r>
    </w:p>
    <w:p w14:paraId="27DB8BF0" w14:textId="77777777" w:rsidR="004310CD" w:rsidRDefault="00000000">
      <w:pPr>
        <w:pStyle w:val="Heading2"/>
      </w:pPr>
      <w:bookmarkStart w:id="34" w:name="data-challenges"/>
      <w:bookmarkEnd w:id="33"/>
      <w:r>
        <w:t>33 Data challenges</w:t>
      </w:r>
    </w:p>
    <w:p w14:paraId="27DB8BF1" w14:textId="77777777" w:rsidR="004310CD" w:rsidRDefault="00000000">
      <w:pPr>
        <w:pStyle w:val="Compact"/>
        <w:numPr>
          <w:ilvl w:val="0"/>
          <w:numId w:val="31"/>
        </w:numPr>
      </w:pPr>
      <w:r>
        <w:t>Data Availability Statements or open science badges indicate data are shared but data may not be directly accessible</w:t>
      </w:r>
    </w:p>
    <w:p w14:paraId="27DB8BF2" w14:textId="77777777" w:rsidR="004310CD" w:rsidRDefault="00000000">
      <w:pPr>
        <w:pStyle w:val="Compact"/>
        <w:numPr>
          <w:ilvl w:val="0"/>
          <w:numId w:val="31"/>
        </w:numPr>
      </w:pPr>
      <w:r>
        <w:t xml:space="preserve">The data are shared and accessible but there may be missing or incorrect information </w:t>
      </w:r>
      <w:r>
        <w:rPr>
          <w:i/>
          <w:iCs/>
        </w:rPr>
        <w:t>about</w:t>
      </w:r>
      <w:r>
        <w:t xml:space="preserve"> the data</w:t>
      </w:r>
    </w:p>
    <w:p w14:paraId="27DB8BF3" w14:textId="77777777" w:rsidR="004310CD" w:rsidRDefault="00000000">
      <w:pPr>
        <w:pStyle w:val="Compact"/>
        <w:numPr>
          <w:ilvl w:val="0"/>
          <w:numId w:val="31"/>
        </w:numPr>
      </w:pPr>
      <w:r>
        <w:t>Original study authors may share raw and processed data or just processed or just raw data</w:t>
      </w:r>
    </w:p>
    <w:p w14:paraId="27DB8BF4" w14:textId="77777777" w:rsidR="004310CD" w:rsidRDefault="00000000">
      <w:pPr>
        <w:pStyle w:val="Compact"/>
        <w:numPr>
          <w:ilvl w:val="0"/>
          <w:numId w:val="31"/>
        </w:numPr>
      </w:pPr>
      <w:r>
        <w:t>There may be mismatches between the variables referred to in the report and the variables named in the data file</w:t>
      </w:r>
    </w:p>
    <w:p w14:paraId="27DB8BF5" w14:textId="77777777" w:rsidR="004310CD" w:rsidRDefault="00000000">
      <w:pPr>
        <w:pStyle w:val="Heading2"/>
      </w:pPr>
      <w:bookmarkStart w:id="35" w:name="analysis-challenges"/>
      <w:bookmarkEnd w:id="34"/>
      <w:r>
        <w:t>34 Analysis challenges</w:t>
      </w:r>
    </w:p>
    <w:p w14:paraId="27DB8BF6" w14:textId="77777777" w:rsidR="004310CD" w:rsidRDefault="00000000">
      <w:pPr>
        <w:pStyle w:val="Compact"/>
        <w:numPr>
          <w:ilvl w:val="0"/>
          <w:numId w:val="32"/>
        </w:numPr>
      </w:pPr>
      <w:r>
        <w:t>The description of the analysis procedure may be incomplete or ambiguous</w:t>
      </w:r>
    </w:p>
    <w:p w14:paraId="27DB8BF7" w14:textId="77777777" w:rsidR="004310CD" w:rsidRDefault="00000000">
      <w:pPr>
        <w:pStyle w:val="Compact"/>
        <w:numPr>
          <w:ilvl w:val="0"/>
          <w:numId w:val="32"/>
        </w:numPr>
      </w:pPr>
      <w:r>
        <w:t>It may be difficult to identify the key analysis</w:t>
      </w:r>
    </w:p>
    <w:p w14:paraId="27DB8BF8" w14:textId="77777777" w:rsidR="004310CD" w:rsidRDefault="00000000">
      <w:pPr>
        <w:pStyle w:val="Compact"/>
        <w:numPr>
          <w:ilvl w:val="0"/>
          <w:numId w:val="32"/>
        </w:numPr>
      </w:pPr>
      <w:r>
        <w:t>It is easier to reproduce results if both data and code are shared but code is not always shared</w:t>
      </w:r>
    </w:p>
    <w:p w14:paraId="27DB8BF9" w14:textId="77777777" w:rsidR="004310CD" w:rsidRDefault="00000000">
      <w:pPr>
        <w:pStyle w:val="Compact"/>
        <w:numPr>
          <w:ilvl w:val="0"/>
          <w:numId w:val="32"/>
        </w:numPr>
      </w:pPr>
      <w:r>
        <w:t>Sometimes, analysis code is shared but it is difficult to use</w:t>
      </w:r>
    </w:p>
    <w:p w14:paraId="27DB8BFA" w14:textId="77777777" w:rsidR="004310CD" w:rsidRDefault="00000000">
      <w:pPr>
        <w:pStyle w:val="Compact"/>
        <w:numPr>
          <w:ilvl w:val="0"/>
          <w:numId w:val="32"/>
        </w:numPr>
      </w:pPr>
      <w:r>
        <w:t>Sometimes, there are errors in the analysis</w:t>
      </w:r>
    </w:p>
    <w:p w14:paraId="27DB8BFB" w14:textId="77777777" w:rsidR="004310CD" w:rsidRDefault="00000000">
      <w:pPr>
        <w:pStyle w:val="Heading2"/>
      </w:pPr>
      <w:bookmarkStart w:id="36" w:name="summary-why-this"/>
      <w:bookmarkEnd w:id="35"/>
      <w:r>
        <w:t>35 Summary: why this?</w:t>
      </w:r>
    </w:p>
    <w:p w14:paraId="27DB8BFC" w14:textId="77777777" w:rsidR="004310CD" w:rsidRDefault="00000000">
      <w:pPr>
        <w:pStyle w:val="Compact"/>
        <w:numPr>
          <w:ilvl w:val="0"/>
          <w:numId w:val="33"/>
        </w:numPr>
      </w:pPr>
      <w:r>
        <w:t>We are in the middle of a credibility revolution</w:t>
      </w:r>
    </w:p>
    <w:p w14:paraId="27DB8BFD" w14:textId="77777777" w:rsidR="004310CD" w:rsidRDefault="00000000">
      <w:pPr>
        <w:pStyle w:val="Compact"/>
        <w:numPr>
          <w:ilvl w:val="0"/>
          <w:numId w:val="33"/>
        </w:numPr>
      </w:pPr>
      <w:r>
        <w:t xml:space="preserve">Focusing on data analysis, it is useful to think about the whole </w:t>
      </w:r>
      <w:r>
        <w:rPr>
          <w:i/>
          <w:iCs/>
        </w:rPr>
        <w:t>data pipeline</w:t>
      </w:r>
    </w:p>
    <w:p w14:paraId="27DB8BFE" w14:textId="77777777" w:rsidR="004310CD" w:rsidRDefault="00000000">
      <w:pPr>
        <w:pStyle w:val="Compact"/>
        <w:numPr>
          <w:ilvl w:val="0"/>
          <w:numId w:val="33"/>
        </w:numPr>
      </w:pPr>
      <w:r>
        <w:t>At every stage of the data pipeline, there are choices: forking paths</w:t>
      </w:r>
    </w:p>
    <w:p w14:paraId="27DB8BFF" w14:textId="77777777" w:rsidR="004310CD" w:rsidRDefault="00000000">
      <w:pPr>
        <w:pStyle w:val="Compact"/>
        <w:numPr>
          <w:ilvl w:val="0"/>
          <w:numId w:val="33"/>
        </w:numPr>
      </w:pPr>
      <w:r>
        <w:t>We can share data and enable others to check, query analysis choices</w:t>
      </w:r>
    </w:p>
    <w:tbl>
      <w:tblPr>
        <w:tblStyle w:val="Table"/>
        <w:tblW w:w="5000" w:type="pct"/>
        <w:tblInd w:w="164" w:type="dxa"/>
        <w:tblBorders>
          <w:top w:val="single" w:sz="4" w:space="0" w:color="00A047"/>
          <w:left w:val="single" w:sz="24" w:space="0" w:color="00A047"/>
          <w:bottom w:val="single" w:sz="4" w:space="0" w:color="00A047"/>
          <w:right w:val="single" w:sz="4" w:space="0" w:color="00A047"/>
        </w:tblBorders>
        <w:tblCellMar>
          <w:left w:w="144" w:type="dxa"/>
          <w:right w:w="144" w:type="dxa"/>
        </w:tblCellMar>
        <w:tblLook w:val="0000" w:firstRow="0" w:lastRow="0" w:firstColumn="0" w:lastColumn="0" w:noHBand="0" w:noVBand="0"/>
      </w:tblPr>
      <w:tblGrid>
        <w:gridCol w:w="9648"/>
      </w:tblGrid>
      <w:tr w:rsidR="004310CD" w14:paraId="27DB8C01" w14:textId="77777777" w:rsidTr="004310CD">
        <w:trPr>
          <w:cantSplit/>
        </w:trPr>
        <w:tc>
          <w:tcPr>
            <w:tcW w:w="0" w:type="auto"/>
            <w:shd w:val="clear" w:color="auto" w:fill="CCF1E3"/>
            <w:tcMar>
              <w:top w:w="92" w:type="dxa"/>
              <w:bottom w:w="92" w:type="dxa"/>
            </w:tcMar>
          </w:tcPr>
          <w:p w14:paraId="27DB8C00" w14:textId="77777777" w:rsidR="004310CD" w:rsidRDefault="00000000">
            <w:pPr>
              <w:pStyle w:val="FirstParagraph"/>
              <w:spacing w:before="0" w:after="0"/>
              <w:textAlignment w:val="center"/>
            </w:pPr>
            <w:r>
              <w:rPr>
                <w:noProof/>
              </w:rPr>
              <w:drawing>
                <wp:inline distT="0" distB="0" distL="0" distR="0" wp14:anchorId="27DB8C49" wp14:editId="27DB8C4A">
                  <wp:extent cx="152400" cy="152400"/>
                  <wp:effectExtent l="0" t="0" r="0" b="0"/>
                  <wp:docPr id="9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Picture" descr="/Applications/RStudio.app/Contents/Resources/app/quarto/share/formats/docx/ti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Tip</w:t>
            </w:r>
          </w:p>
        </w:tc>
      </w:tr>
      <w:tr w:rsidR="004310CD" w14:paraId="27DB8C03" w14:textId="77777777" w:rsidTr="004310CD">
        <w:trPr>
          <w:cantSplit/>
        </w:trPr>
        <w:tc>
          <w:tcPr>
            <w:tcW w:w="0" w:type="auto"/>
            <w:tcMar>
              <w:top w:w="108" w:type="dxa"/>
              <w:bottom w:w="108" w:type="dxa"/>
            </w:tcMar>
          </w:tcPr>
          <w:p w14:paraId="27DB8C02" w14:textId="77777777" w:rsidR="004310CD" w:rsidRDefault="00000000">
            <w:pPr>
              <w:pStyle w:val="Compact"/>
              <w:numPr>
                <w:ilvl w:val="0"/>
                <w:numId w:val="34"/>
              </w:numPr>
            </w:pPr>
            <w:r>
              <w:t>Learning to do data analysis requires learning good workflow practices</w:t>
            </w:r>
          </w:p>
        </w:tc>
      </w:tr>
    </w:tbl>
    <w:p w14:paraId="27DB8C04" w14:textId="77777777" w:rsidR="004310CD" w:rsidRDefault="00000000">
      <w:pPr>
        <w:pStyle w:val="Heading2"/>
      </w:pPr>
      <w:bookmarkStart w:id="37" w:name="opportunities"/>
      <w:bookmarkEnd w:id="36"/>
      <w:r>
        <w:t>36 Opportunities</w:t>
      </w:r>
    </w:p>
    <w:p w14:paraId="27DB8C05" w14:textId="77777777" w:rsidR="004310CD" w:rsidRDefault="00000000">
      <w:pPr>
        <w:pStyle w:val="Compact"/>
        <w:numPr>
          <w:ilvl w:val="0"/>
          <w:numId w:val="35"/>
        </w:numPr>
      </w:pPr>
      <w:r>
        <w:t xml:space="preserve">The conventions of normal scientific practice can work so that if we encounter an </w:t>
      </w:r>
      <w:r>
        <w:rPr>
          <w:i/>
          <w:iCs/>
        </w:rPr>
        <w:t>anomaly</w:t>
      </w:r>
      <w:r>
        <w:t xml:space="preserve"> we blame ourselves (Kuhn, 1970)</w:t>
      </w:r>
    </w:p>
    <w:p w14:paraId="27DB8C06" w14:textId="77777777" w:rsidR="004310CD" w:rsidRDefault="00000000">
      <w:pPr>
        <w:pStyle w:val="Compact"/>
        <w:numPr>
          <w:ilvl w:val="0"/>
          <w:numId w:val="35"/>
        </w:numPr>
      </w:pPr>
      <w:r>
        <w:t xml:space="preserve">Sometimes, if you think you have found an error or a problem in a published analysis or a shared dataset, remember: </w:t>
      </w:r>
      <w:r>
        <w:rPr>
          <w:b/>
          <w:bCs/>
        </w:rPr>
        <w:t>you may be right</w:t>
      </w:r>
      <w:r>
        <w:t xml:space="preserve"> (Herndon et al., 2014)</w:t>
      </w:r>
    </w:p>
    <w:p w14:paraId="27DB8C07" w14:textId="77777777" w:rsidR="004310CD" w:rsidRDefault="00000000">
      <w:pPr>
        <w:pStyle w:val="Heading2"/>
      </w:pPr>
      <w:bookmarkStart w:id="38" w:name="what-we-learn-critical-reading-skills"/>
      <w:bookmarkEnd w:id="37"/>
      <w:r>
        <w:t>37 What we learn: critical reading skills</w:t>
      </w:r>
    </w:p>
    <w:p w14:paraId="27DB8C08" w14:textId="77777777" w:rsidR="004310CD" w:rsidRDefault="00000000">
      <w:pPr>
        <w:pStyle w:val="Compact"/>
        <w:numPr>
          <w:ilvl w:val="0"/>
          <w:numId w:val="36"/>
        </w:numPr>
      </w:pPr>
      <w:r>
        <w:t>Learn to critically read research reports and data documentation</w:t>
      </w:r>
    </w:p>
    <w:p w14:paraId="27DB8C09" w14:textId="77777777" w:rsidR="004310CD" w:rsidRDefault="00000000">
      <w:pPr>
        <w:pStyle w:val="Compact"/>
        <w:numPr>
          <w:ilvl w:val="0"/>
          <w:numId w:val="36"/>
        </w:numPr>
      </w:pPr>
      <w:r>
        <w:t>Develop proficiency in analysis workflow</w:t>
      </w:r>
    </w:p>
    <w:p w14:paraId="27DB8C0A" w14:textId="77777777" w:rsidR="004310CD" w:rsidRDefault="00000000">
      <w:pPr>
        <w:pStyle w:val="Compact"/>
        <w:numPr>
          <w:ilvl w:val="0"/>
          <w:numId w:val="36"/>
        </w:numPr>
      </w:pPr>
      <w:r>
        <w:lastRenderedPageBreak/>
        <w:t>Develop critical skills in analysis</w:t>
      </w:r>
    </w:p>
    <w:p w14:paraId="27DB8C0B" w14:textId="77777777" w:rsidR="004310CD" w:rsidRDefault="00000000">
      <w:pPr>
        <w:pStyle w:val="Heading2"/>
      </w:pPr>
      <w:bookmarkStart w:id="39" w:name="what-we-learn-good-practice-sense"/>
      <w:bookmarkEnd w:id="38"/>
      <w:r>
        <w:t>38 What we learn: good practice sense</w:t>
      </w:r>
    </w:p>
    <w:p w14:paraId="27DB8C0C" w14:textId="77777777" w:rsidR="004310CD" w:rsidRDefault="00000000">
      <w:pPr>
        <w:pStyle w:val="Compact"/>
        <w:numPr>
          <w:ilvl w:val="0"/>
          <w:numId w:val="37"/>
        </w:numPr>
      </w:pPr>
      <w:r>
        <w:t>The credibility revolution requires us to think about and to teach good open science practices that safeguard the value of evidence in psychology</w:t>
      </w:r>
    </w:p>
    <w:p w14:paraId="27DB8C0D" w14:textId="77777777" w:rsidR="004310CD" w:rsidRDefault="00000000">
      <w:pPr>
        <w:pStyle w:val="Heading2"/>
      </w:pPr>
      <w:bookmarkStart w:id="40" w:name="what-we-learn-practical-sense"/>
      <w:bookmarkEnd w:id="39"/>
      <w:r>
        <w:t>39 What we learn: practical sense</w:t>
      </w:r>
    </w:p>
    <w:p w14:paraId="27DB8C0E" w14:textId="77777777" w:rsidR="004310CD" w:rsidRDefault="00000000">
      <w:pPr>
        <w:pStyle w:val="Compact"/>
        <w:numPr>
          <w:ilvl w:val="0"/>
          <w:numId w:val="38"/>
        </w:numPr>
      </w:pPr>
      <w:r>
        <w:t>People make mistakes</w:t>
      </w:r>
    </w:p>
    <w:p w14:paraId="27DB8C0F" w14:textId="77777777" w:rsidR="004310CD" w:rsidRDefault="00000000">
      <w:pPr>
        <w:pStyle w:val="Compact"/>
        <w:numPr>
          <w:ilvl w:val="0"/>
          <w:numId w:val="38"/>
        </w:numPr>
      </w:pPr>
      <w:r>
        <w:t>Different choices are often reasonable</w:t>
      </w:r>
    </w:p>
    <w:p w14:paraId="27DB8C10" w14:textId="77777777" w:rsidR="004310CD" w:rsidRDefault="00000000">
      <w:pPr>
        <w:pStyle w:val="Compact"/>
        <w:numPr>
          <w:ilvl w:val="0"/>
          <w:numId w:val="38"/>
        </w:numPr>
      </w:pPr>
      <w:r>
        <w:t xml:space="preserve">We </w:t>
      </w:r>
      <w:r>
        <w:rPr>
          <w:i/>
          <w:iCs/>
        </w:rPr>
        <w:t>always</w:t>
      </w:r>
      <w:r>
        <w:t xml:space="preserve"> need to check the evidence</w:t>
      </w:r>
    </w:p>
    <w:p w14:paraId="27DB8C11" w14:textId="77777777" w:rsidR="004310CD" w:rsidRDefault="00000000">
      <w:pPr>
        <w:pStyle w:val="Heading2"/>
      </w:pPr>
      <w:bookmarkStart w:id="41" w:name="what-we-learn-do-better"/>
      <w:bookmarkEnd w:id="40"/>
      <w:r>
        <w:t>40 What we learn: do better</w:t>
      </w:r>
    </w:p>
    <w:p w14:paraId="27DB8C12" w14:textId="77777777" w:rsidR="004310CD" w:rsidRDefault="00000000">
      <w:pPr>
        <w:pStyle w:val="Compact"/>
        <w:numPr>
          <w:ilvl w:val="0"/>
          <w:numId w:val="39"/>
        </w:numPr>
      </w:pPr>
      <w:r>
        <w:t>Share data and code</w:t>
      </w:r>
    </w:p>
    <w:p w14:paraId="27DB8C13" w14:textId="77777777" w:rsidR="004310CD" w:rsidRDefault="00000000">
      <w:pPr>
        <w:pStyle w:val="Compact"/>
        <w:numPr>
          <w:ilvl w:val="0"/>
          <w:numId w:val="39"/>
        </w:numPr>
      </w:pPr>
      <w:r>
        <w:t xml:space="preserve">Publish research reports in ways that </w:t>
      </w:r>
      <w:r>
        <w:rPr>
          <w:i/>
          <w:iCs/>
        </w:rPr>
        <w:t>enable</w:t>
      </w:r>
      <w:r>
        <w:t xml:space="preserve"> others to check or query analyses</w:t>
      </w:r>
    </w:p>
    <w:p w14:paraId="27DB8C14" w14:textId="77777777" w:rsidR="004310CD" w:rsidRDefault="00000000">
      <w:pPr>
        <w:pStyle w:val="Heading2"/>
      </w:pPr>
      <w:bookmarkStart w:id="42" w:name="references"/>
      <w:bookmarkEnd w:id="41"/>
      <w:r>
        <w:t>41 References</w:t>
      </w:r>
    </w:p>
    <w:p w14:paraId="27DB8C15" w14:textId="77777777" w:rsidR="004310CD" w:rsidRDefault="00000000">
      <w:pPr>
        <w:pStyle w:val="Bibliography"/>
      </w:pPr>
      <w:bookmarkStart w:id="43" w:name="ref-aarts2015"/>
      <w:bookmarkStart w:id="44" w:name="refs"/>
      <w:r>
        <w:t xml:space="preserve">Aarts, E., Dolan, C. V., Verhage, M., &amp; Van der Sluis, S. (2015). Multilevel analysis quantifies variation in the experimental effect while optimizing power and preventing false positives. </w:t>
      </w:r>
      <w:r>
        <w:rPr>
          <w:i/>
          <w:iCs/>
        </w:rPr>
        <w:t>BMC Neuroscience</w:t>
      </w:r>
      <w:r>
        <w:t xml:space="preserve">, </w:t>
      </w:r>
      <w:r>
        <w:rPr>
          <w:i/>
          <w:iCs/>
        </w:rPr>
        <w:t>16</w:t>
      </w:r>
      <w:r>
        <w:t xml:space="preserve">(1), 1–15. </w:t>
      </w:r>
      <w:hyperlink r:id="rId17">
        <w:r>
          <w:rPr>
            <w:rStyle w:val="Hyperlink"/>
          </w:rPr>
          <w:t>https://doi.org/10.1186/s12868-015-0228-5</w:t>
        </w:r>
      </w:hyperlink>
    </w:p>
    <w:p w14:paraId="27DB8C16" w14:textId="77777777" w:rsidR="004310CD" w:rsidRDefault="00000000">
      <w:pPr>
        <w:pStyle w:val="Bibliography"/>
      </w:pPr>
      <w:bookmarkStart w:id="45" w:name="ref-bourdieu2004"/>
      <w:bookmarkEnd w:id="43"/>
      <w:r>
        <w:t xml:space="preserve">Bourdieu, P. (2004). </w:t>
      </w:r>
      <w:r>
        <w:rPr>
          <w:i/>
          <w:iCs/>
        </w:rPr>
        <w:t>Science of Science and Reflexivity</w:t>
      </w:r>
      <w:r>
        <w:t>. Polity.</w:t>
      </w:r>
    </w:p>
    <w:p w14:paraId="27DB8C17" w14:textId="77777777" w:rsidR="004310CD" w:rsidRDefault="00000000">
      <w:pPr>
        <w:pStyle w:val="Bibliography"/>
      </w:pPr>
      <w:bookmarkStart w:id="46" w:name="ref-button2013"/>
      <w:bookmarkEnd w:id="45"/>
      <w:r>
        <w:t xml:space="preserve">Button, K. S., Ioannidis, J. P. A., Mokrysz, C., Nosek, B. A., Flint, J., Robinson, E. S. J., &amp; Munafò, M. R. (2013). Power failure: Why small sample size undermines the reliability of neuroscience. </w:t>
      </w:r>
      <w:r>
        <w:rPr>
          <w:i/>
          <w:iCs/>
        </w:rPr>
        <w:t>Nature Reviews Neuroscience</w:t>
      </w:r>
      <w:r>
        <w:t xml:space="preserve">, </w:t>
      </w:r>
      <w:r>
        <w:rPr>
          <w:i/>
          <w:iCs/>
        </w:rPr>
        <w:t>14</w:t>
      </w:r>
      <w:r>
        <w:t>(5), 365–376.</w:t>
      </w:r>
    </w:p>
    <w:p w14:paraId="27DB8C18" w14:textId="77777777" w:rsidR="004310CD" w:rsidRDefault="00000000">
      <w:pPr>
        <w:pStyle w:val="Bibliography"/>
      </w:pPr>
      <w:bookmarkStart w:id="47" w:name="ref-crüwell"/>
      <w:bookmarkEnd w:id="46"/>
      <w:r>
        <w:t xml:space="preserve">Crüwell, S., Apthorp, D., Baker, B. J., Colling, L., Elson, M., Geiger, S. J., Lobentanzer, S., Monéger, J., Patterson, A., Schwarzkopf, D. S., Zaneva, M., &amp; Brown, N. J. L. (n.d.). </w:t>
      </w:r>
      <w:r>
        <w:rPr>
          <w:i/>
          <w:iCs/>
        </w:rPr>
        <w:t>What’s in a badge? A computational reproducibility investigation of the open data badge policy in one issue of psychological science</w:t>
      </w:r>
      <w:r>
        <w:t xml:space="preserve">. </w:t>
      </w:r>
      <w:hyperlink r:id="rId18">
        <w:r>
          <w:rPr>
            <w:rStyle w:val="Hyperlink"/>
          </w:rPr>
          <w:t>https://doi.org/10.31234/osf.io/729qt</w:t>
        </w:r>
      </w:hyperlink>
    </w:p>
    <w:p w14:paraId="27DB8C19" w14:textId="77777777" w:rsidR="004310CD" w:rsidRDefault="00000000">
      <w:pPr>
        <w:pStyle w:val="Bibliography"/>
      </w:pPr>
      <w:bookmarkStart w:id="48" w:name="ref-flake2020"/>
      <w:bookmarkEnd w:id="47"/>
      <w:r>
        <w:t xml:space="preserve">Flake, J. K., &amp; Fried, E. I. (2020). Measurement Schmeasurement: Questionable Measurement Practices and How to Avoid Them. </w:t>
      </w:r>
      <w:r>
        <w:rPr>
          <w:i/>
          <w:iCs/>
        </w:rPr>
        <w:t>Advances in Methods and Practices in Psychological Science</w:t>
      </w:r>
      <w:r>
        <w:t xml:space="preserve">, </w:t>
      </w:r>
      <w:r>
        <w:rPr>
          <w:i/>
          <w:iCs/>
        </w:rPr>
        <w:t>3</w:t>
      </w:r>
      <w:r>
        <w:t xml:space="preserve">(4), 456–465. </w:t>
      </w:r>
      <w:hyperlink r:id="rId19">
        <w:r>
          <w:rPr>
            <w:rStyle w:val="Hyperlink"/>
          </w:rPr>
          <w:t>https://doi.org/10.1177/2515245920952393</w:t>
        </w:r>
      </w:hyperlink>
    </w:p>
    <w:p w14:paraId="27DB8C1A" w14:textId="77777777" w:rsidR="004310CD" w:rsidRDefault="00000000">
      <w:pPr>
        <w:pStyle w:val="Bibliography"/>
      </w:pPr>
      <w:bookmarkStart w:id="49" w:name="ref-gelman2014a"/>
      <w:bookmarkEnd w:id="48"/>
      <w:r>
        <w:t xml:space="preserve">Gelman, A., &amp; Loken, E. (2014). The statistical crisis in science. </w:t>
      </w:r>
      <w:r>
        <w:rPr>
          <w:i/>
          <w:iCs/>
        </w:rPr>
        <w:t>American Scientist</w:t>
      </w:r>
      <w:r>
        <w:t xml:space="preserve">, </w:t>
      </w:r>
      <w:r>
        <w:rPr>
          <w:i/>
          <w:iCs/>
        </w:rPr>
        <w:t>102</w:t>
      </w:r>
      <w:r>
        <w:t xml:space="preserve">(6), 460–465. </w:t>
      </w:r>
      <w:hyperlink r:id="rId20">
        <w:r>
          <w:rPr>
            <w:rStyle w:val="Hyperlink"/>
          </w:rPr>
          <w:t>https://doi.org/10.1511/2014.111.460</w:t>
        </w:r>
      </w:hyperlink>
    </w:p>
    <w:p w14:paraId="27DB8C1B" w14:textId="77777777" w:rsidR="004310CD" w:rsidRDefault="00000000">
      <w:pPr>
        <w:pStyle w:val="Bibliography"/>
      </w:pPr>
      <w:bookmarkStart w:id="50" w:name="ref-gilmore2017"/>
      <w:bookmarkEnd w:id="49"/>
      <w:r>
        <w:t xml:space="preserve">Gilmore, R. O., Diaz, M. T., Wyble, B. A., &amp; Yarkoni, T. (2017). Progress toward openness, transparency, and reproducibility in cognitive neuroscience. </w:t>
      </w:r>
      <w:r>
        <w:rPr>
          <w:i/>
          <w:iCs/>
        </w:rPr>
        <w:t>Annals of the New York Academy of Sciences</w:t>
      </w:r>
      <w:r>
        <w:t xml:space="preserve">, </w:t>
      </w:r>
      <w:r>
        <w:rPr>
          <w:i/>
          <w:iCs/>
        </w:rPr>
        <w:t>1396</w:t>
      </w:r>
      <w:r>
        <w:t xml:space="preserve">, 5–18. </w:t>
      </w:r>
      <w:hyperlink r:id="rId21">
        <w:r>
          <w:rPr>
            <w:rStyle w:val="Hyperlink"/>
          </w:rPr>
          <w:t>https://doi.org/10.1111/nyas.13325</w:t>
        </w:r>
      </w:hyperlink>
    </w:p>
    <w:p w14:paraId="27DB8C1C" w14:textId="77777777" w:rsidR="004310CD" w:rsidRDefault="00000000">
      <w:pPr>
        <w:pStyle w:val="Bibliography"/>
      </w:pPr>
      <w:bookmarkStart w:id="51" w:name="ref-goodman2016"/>
      <w:bookmarkEnd w:id="50"/>
      <w:r>
        <w:t xml:space="preserve">Goodman, S. N., Fanelli, D., &amp; Ioannidis, J. P. A. (2016). What does research reproducibility mean? </w:t>
      </w:r>
      <w:r>
        <w:rPr>
          <w:i/>
          <w:iCs/>
        </w:rPr>
        <w:t>Science Translational Medicine</w:t>
      </w:r>
      <w:r>
        <w:t xml:space="preserve">, </w:t>
      </w:r>
      <w:r>
        <w:rPr>
          <w:i/>
          <w:iCs/>
        </w:rPr>
        <w:t>8</w:t>
      </w:r>
      <w:r>
        <w:t>(341).</w:t>
      </w:r>
    </w:p>
    <w:p w14:paraId="27DB8C1D" w14:textId="77777777" w:rsidR="004310CD" w:rsidRDefault="00000000">
      <w:pPr>
        <w:pStyle w:val="Bibliography"/>
      </w:pPr>
      <w:bookmarkStart w:id="52" w:name="ref-hardwicke"/>
      <w:bookmarkEnd w:id="51"/>
      <w:r>
        <w:t xml:space="preserve">Hardwicke, T. E., Bohn, M., MacDonald, K., Hembacher, E., Nuijten, M. B., Peloquin, B. N., deMayo, B. E., Long, B., Yoon, E. J., &amp; Frank, M. C. (n.d.). Analytic reproducibility in articles </w:t>
      </w:r>
      <w:r>
        <w:lastRenderedPageBreak/>
        <w:t xml:space="preserve">receiving open data badges at the journal psychological science: An observational study. </w:t>
      </w:r>
      <w:r>
        <w:rPr>
          <w:i/>
          <w:iCs/>
        </w:rPr>
        <w:t>Royal Society Open Science</w:t>
      </w:r>
      <w:r>
        <w:t xml:space="preserve">, </w:t>
      </w:r>
      <w:r>
        <w:rPr>
          <w:i/>
          <w:iCs/>
        </w:rPr>
        <w:t>8</w:t>
      </w:r>
      <w:r>
        <w:t xml:space="preserve">(1), 201494. </w:t>
      </w:r>
      <w:hyperlink r:id="rId22">
        <w:r>
          <w:rPr>
            <w:rStyle w:val="Hyperlink"/>
          </w:rPr>
          <w:t>https://doi.org/10.1098/rsos.201494</w:t>
        </w:r>
      </w:hyperlink>
    </w:p>
    <w:p w14:paraId="27DB8C1E" w14:textId="77777777" w:rsidR="004310CD" w:rsidRDefault="00000000">
      <w:pPr>
        <w:pStyle w:val="Bibliography"/>
      </w:pPr>
      <w:bookmarkStart w:id="53" w:name="ref-hardwicke2018"/>
      <w:bookmarkEnd w:id="52"/>
      <w:r>
        <w:t xml:space="preserve">Hardwicke, T. E., Mathur, M. B., MacDonald, K., Nilsonne, G., Banks, G. C., Kidwell, M. C., Hofelich Mohr, A., Clayton, E., Yoon, E. J., Henry Tessler, M., Lenne, R. L., Altman, S., Long, B., &amp; Frank, M. C. (2018). Data availability, reusability, and analytic reproducibility: evaluating the impact of a mandatory open data policy at the journal Cognition. </w:t>
      </w:r>
      <w:r>
        <w:rPr>
          <w:i/>
          <w:iCs/>
        </w:rPr>
        <w:t>Royal Society Open Science</w:t>
      </w:r>
      <w:r>
        <w:t xml:space="preserve">, </w:t>
      </w:r>
      <w:r>
        <w:rPr>
          <w:i/>
          <w:iCs/>
        </w:rPr>
        <w:t>5</w:t>
      </w:r>
      <w:r>
        <w:t xml:space="preserve">(8), 180448. </w:t>
      </w:r>
      <w:hyperlink r:id="rId23">
        <w:r>
          <w:rPr>
            <w:rStyle w:val="Hyperlink"/>
          </w:rPr>
          <w:t>https://doi.org/10.1098/rsos.180448</w:t>
        </w:r>
      </w:hyperlink>
    </w:p>
    <w:p w14:paraId="27DB8C1F" w14:textId="77777777" w:rsidR="004310CD" w:rsidRDefault="00000000">
      <w:pPr>
        <w:pStyle w:val="Bibliography"/>
      </w:pPr>
      <w:bookmarkStart w:id="54" w:name="ref-Henrich2010"/>
      <w:bookmarkEnd w:id="53"/>
      <w:r>
        <w:t xml:space="preserve">Henrich, J., Heine, S. J., &amp; Norenzayan, A. (2010). The weirdest people in the world? </w:t>
      </w:r>
      <w:r>
        <w:rPr>
          <w:i/>
          <w:iCs/>
        </w:rPr>
        <w:t>The Behavioral and Brain Sciences</w:t>
      </w:r>
      <w:r>
        <w:t xml:space="preserve">, </w:t>
      </w:r>
      <w:r>
        <w:rPr>
          <w:i/>
          <w:iCs/>
        </w:rPr>
        <w:t>33</w:t>
      </w:r>
      <w:r>
        <w:t xml:space="preserve">(2-3). </w:t>
      </w:r>
      <w:hyperlink r:id="rId24">
        <w:r>
          <w:rPr>
            <w:rStyle w:val="Hyperlink"/>
          </w:rPr>
          <w:t>https://doi.org/10.1017/S0140525X0999152X</w:t>
        </w:r>
      </w:hyperlink>
    </w:p>
    <w:p w14:paraId="27DB8C20" w14:textId="77777777" w:rsidR="004310CD" w:rsidRDefault="00000000">
      <w:pPr>
        <w:pStyle w:val="Bibliography"/>
      </w:pPr>
      <w:bookmarkStart w:id="55" w:name="ref-herndon2014"/>
      <w:bookmarkEnd w:id="54"/>
      <w:r>
        <w:t xml:space="preserve">Herndon, T., Ash, M., &amp; Pollin, R. (2014). Does high public debt consistently stifle economic growth? A critique of Reinhart and Rogoff. </w:t>
      </w:r>
      <w:r>
        <w:rPr>
          <w:i/>
          <w:iCs/>
        </w:rPr>
        <w:t>Cambridge Journal of Economics</w:t>
      </w:r>
      <w:r>
        <w:t xml:space="preserve">, </w:t>
      </w:r>
      <w:r>
        <w:rPr>
          <w:i/>
          <w:iCs/>
        </w:rPr>
        <w:t>38</w:t>
      </w:r>
      <w:r>
        <w:t xml:space="preserve">(2), 257–279. </w:t>
      </w:r>
      <w:hyperlink r:id="rId25">
        <w:r>
          <w:rPr>
            <w:rStyle w:val="Hyperlink"/>
          </w:rPr>
          <w:t>https://doi.org/10.1093/cje/bet075</w:t>
        </w:r>
      </w:hyperlink>
    </w:p>
    <w:p w14:paraId="27DB8C21" w14:textId="77777777" w:rsidR="004310CD" w:rsidRDefault="00000000">
      <w:pPr>
        <w:pStyle w:val="Bibliography"/>
      </w:pPr>
      <w:bookmarkStart w:id="56" w:name="ref-john2012"/>
      <w:bookmarkEnd w:id="55"/>
      <w:r>
        <w:t xml:space="preserve">John, L. K., Loewenstein, G., &amp; Prelec, D. (2012). Measuring the prevalence of questionable research practices with incentives for truth telling. </w:t>
      </w:r>
      <w:r>
        <w:rPr>
          <w:i/>
          <w:iCs/>
        </w:rPr>
        <w:t>Psychological Science</w:t>
      </w:r>
      <w:r>
        <w:t xml:space="preserve">, </w:t>
      </w:r>
      <w:r>
        <w:rPr>
          <w:i/>
          <w:iCs/>
        </w:rPr>
        <w:t>23</w:t>
      </w:r>
      <w:r>
        <w:t xml:space="preserve">(5), 524–532. </w:t>
      </w:r>
      <w:hyperlink r:id="rId26">
        <w:r>
          <w:rPr>
            <w:rStyle w:val="Hyperlink"/>
          </w:rPr>
          <w:t>https://doi.org/10.1177/0956797611430953</w:t>
        </w:r>
      </w:hyperlink>
    </w:p>
    <w:p w14:paraId="27DB8C22" w14:textId="77777777" w:rsidR="004310CD" w:rsidRDefault="00000000">
      <w:pPr>
        <w:pStyle w:val="Bibliography"/>
      </w:pPr>
      <w:bookmarkStart w:id="57" w:name="ref-kidwell2016"/>
      <w:bookmarkEnd w:id="56"/>
      <w:r>
        <w:t xml:space="preserve">Kidwell, M. C., Lazarević, L. B., Baranski, E., Hardwicke, T. E., Piechowski, S., Falkenberg, L. S., Kennett, C., Slowik, A., Sonnleitner, C., Hess-Holden, C., Errington, T. M., Fiedler, S., &amp; Nosek, B. A. (2016). Badges to acknowledge open practices: A simple, low-cost, effective method for increasing transparency. </w:t>
      </w:r>
      <w:r>
        <w:rPr>
          <w:i/>
          <w:iCs/>
        </w:rPr>
        <w:t>PLoS Biology</w:t>
      </w:r>
      <w:r>
        <w:t xml:space="preserve">, </w:t>
      </w:r>
      <w:r>
        <w:rPr>
          <w:i/>
          <w:iCs/>
        </w:rPr>
        <w:t>14</w:t>
      </w:r>
      <w:r>
        <w:t xml:space="preserve">(5), 1–15. </w:t>
      </w:r>
      <w:hyperlink r:id="rId27">
        <w:r>
          <w:rPr>
            <w:rStyle w:val="Hyperlink"/>
          </w:rPr>
          <w:t>https://doi.org/10.1371/journal.pbio.1002456</w:t>
        </w:r>
      </w:hyperlink>
    </w:p>
    <w:p w14:paraId="27DB8C23" w14:textId="77777777" w:rsidR="004310CD" w:rsidRDefault="00000000">
      <w:pPr>
        <w:pStyle w:val="Bibliography"/>
      </w:pPr>
      <w:bookmarkStart w:id="58" w:name="ref-kuhn1970"/>
      <w:bookmarkEnd w:id="57"/>
      <w:r>
        <w:t xml:space="preserve">Kuhn, T. S. (1970). </w:t>
      </w:r>
      <w:r>
        <w:rPr>
          <w:i/>
          <w:iCs/>
        </w:rPr>
        <w:t>The structure of scientific revolutions</w:t>
      </w:r>
      <w:r>
        <w:t xml:space="preserve"> ([2d ed., enl). University of Chicago Press.</w:t>
      </w:r>
    </w:p>
    <w:p w14:paraId="27DB8C24" w14:textId="77777777" w:rsidR="004310CD" w:rsidRDefault="00000000">
      <w:pPr>
        <w:pStyle w:val="Bibliography"/>
      </w:pPr>
      <w:bookmarkStart w:id="59" w:name="ref-laurinavichyute2022"/>
      <w:bookmarkEnd w:id="58"/>
      <w:r>
        <w:t xml:space="preserve">Laurinavichyute, A., Yadav, H., &amp; Vasishth, S. (2022). Share the code, not just the data: A case study of the reproducibility of articles published in the Journal of Memory and Language under the open data policy. </w:t>
      </w:r>
      <w:r>
        <w:rPr>
          <w:i/>
          <w:iCs/>
        </w:rPr>
        <w:t>Journal of Memory and Language</w:t>
      </w:r>
      <w:r>
        <w:t xml:space="preserve">, </w:t>
      </w:r>
      <w:r>
        <w:rPr>
          <w:i/>
          <w:iCs/>
        </w:rPr>
        <w:t>125</w:t>
      </w:r>
      <w:r>
        <w:t xml:space="preserve">, 104332. </w:t>
      </w:r>
      <w:hyperlink r:id="rId28">
        <w:r>
          <w:rPr>
            <w:rStyle w:val="Hyperlink"/>
          </w:rPr>
          <w:t>https://doi.org/10.1016/j.jml.2022.104332</w:t>
        </w:r>
      </w:hyperlink>
    </w:p>
    <w:p w14:paraId="27DB8C25" w14:textId="77777777" w:rsidR="004310CD" w:rsidRDefault="00000000">
      <w:pPr>
        <w:pStyle w:val="Bibliography"/>
      </w:pPr>
      <w:bookmarkStart w:id="60" w:name="ref-minocher"/>
      <w:bookmarkEnd w:id="59"/>
      <w:r>
        <w:t xml:space="preserve">Minocher, R., Atmaca, S., Bavero, C., McElreath, R., &amp; Beheim, B. (n.d.). Estimating the reproducibility of social learning research published between 1955 and 2018. </w:t>
      </w:r>
      <w:r>
        <w:rPr>
          <w:i/>
          <w:iCs/>
        </w:rPr>
        <w:t>Royal Society Open Science</w:t>
      </w:r>
      <w:r>
        <w:t xml:space="preserve">, </w:t>
      </w:r>
      <w:r>
        <w:rPr>
          <w:i/>
          <w:iCs/>
        </w:rPr>
        <w:t>8</w:t>
      </w:r>
      <w:r>
        <w:t xml:space="preserve">(9), 210450. </w:t>
      </w:r>
      <w:hyperlink r:id="rId29">
        <w:r>
          <w:rPr>
            <w:rStyle w:val="Hyperlink"/>
          </w:rPr>
          <w:t>https://doi.org/10.1098/rsos.210450</w:t>
        </w:r>
      </w:hyperlink>
    </w:p>
    <w:p w14:paraId="27DB8C26" w14:textId="77777777" w:rsidR="004310CD" w:rsidRDefault="00000000">
      <w:pPr>
        <w:pStyle w:val="Bibliography"/>
      </w:pPr>
      <w:bookmarkStart w:id="61" w:name="ref-munafò2017"/>
      <w:bookmarkEnd w:id="60"/>
      <w:r>
        <w:t xml:space="preserve">Munafò, M. R., Nosek, B. A., Bishop, D. V. M., Button, K. S., Chambers, C. D., Percie Du Sert, N., Simonsohn, U., Wagenmakers, E. J., Ware, J. J., &amp; Ioannidis, J. P. A. (2017). A manifesto for reproducible science. </w:t>
      </w:r>
      <w:r>
        <w:rPr>
          <w:i/>
          <w:iCs/>
        </w:rPr>
        <w:t>Nature Human Behaviour</w:t>
      </w:r>
      <w:r>
        <w:t xml:space="preserve">, </w:t>
      </w:r>
      <w:r>
        <w:rPr>
          <w:i/>
          <w:iCs/>
        </w:rPr>
        <w:t>1</w:t>
      </w:r>
      <w:r>
        <w:t xml:space="preserve">(1), 1–9. </w:t>
      </w:r>
      <w:hyperlink r:id="rId30">
        <w:r>
          <w:rPr>
            <w:rStyle w:val="Hyperlink"/>
          </w:rPr>
          <w:t>https://doi.org/10.1038/s41562-016-0021</w:t>
        </w:r>
      </w:hyperlink>
    </w:p>
    <w:p w14:paraId="27DB8C27" w14:textId="77777777" w:rsidR="004310CD" w:rsidRDefault="00000000">
      <w:pPr>
        <w:pStyle w:val="Bibliography"/>
      </w:pPr>
      <w:bookmarkStart w:id="62" w:name="ref-nosek2019prereg"/>
      <w:bookmarkEnd w:id="61"/>
      <w:r>
        <w:t xml:space="preserve">Nosek, B. A., Beck, E. D., Campbell, L., Flake, J. K., Hardwicke, T. E., Mellor, D. T., van?t Veer, A. E., &amp; Vazire, S. (2019). Preregistration is hard, and worthwhile. </w:t>
      </w:r>
      <w:r>
        <w:rPr>
          <w:i/>
          <w:iCs/>
        </w:rPr>
        <w:t>Trends in Cognitive Sciences</w:t>
      </w:r>
      <w:r>
        <w:t xml:space="preserve">, </w:t>
      </w:r>
      <w:r>
        <w:rPr>
          <w:i/>
          <w:iCs/>
        </w:rPr>
        <w:t>23</w:t>
      </w:r>
      <w:r>
        <w:t>(10), 815–818.</w:t>
      </w:r>
    </w:p>
    <w:p w14:paraId="27DB8C28" w14:textId="77777777" w:rsidR="004310CD" w:rsidRDefault="00000000">
      <w:pPr>
        <w:pStyle w:val="Bibliography"/>
      </w:pPr>
      <w:bookmarkStart w:id="63" w:name="ref-nosek2018"/>
      <w:bookmarkEnd w:id="62"/>
      <w:r>
        <w:t xml:space="preserve">Nosek, B. A., Ebersole, C. R., DeHaven, A. C., &amp; Mellor, D. T. (2018). The preregistration revolution. </w:t>
      </w:r>
      <w:r>
        <w:rPr>
          <w:i/>
          <w:iCs/>
        </w:rPr>
        <w:t>Proceedings of the National Academy of Sciences</w:t>
      </w:r>
      <w:r>
        <w:t xml:space="preserve">, </w:t>
      </w:r>
      <w:r>
        <w:rPr>
          <w:i/>
          <w:iCs/>
        </w:rPr>
        <w:t>115</w:t>
      </w:r>
      <w:r>
        <w:t>(11), 2600–2606.</w:t>
      </w:r>
    </w:p>
    <w:p w14:paraId="27DB8C29" w14:textId="77777777" w:rsidR="004310CD" w:rsidRDefault="00000000">
      <w:pPr>
        <w:pStyle w:val="Bibliography"/>
      </w:pPr>
      <w:bookmarkStart w:id="64" w:name="ref-nosek2022"/>
      <w:bookmarkEnd w:id="63"/>
      <w:r>
        <w:lastRenderedPageBreak/>
        <w:t xml:space="preserve">Nosek, B. A., Hardwicke, T. E., Moshontz, H., Allard, A., Corker, K. S., Dreber, A., Fidler, F., Hilgard, J., Kline Struhl, M., Nuijten, M. B., Rohrer, J. M., Romero, F., Scheel, A. M., Scherer, L. D., Schönbrodt, F. D., &amp; Vazire, S. (2022). Replicability, Robustness, and Reproducibility in Psychological Science. </w:t>
      </w:r>
      <w:r>
        <w:rPr>
          <w:i/>
          <w:iCs/>
        </w:rPr>
        <w:t>Annual Review of Psychology</w:t>
      </w:r>
      <w:r>
        <w:t xml:space="preserve">, </w:t>
      </w:r>
      <w:r>
        <w:rPr>
          <w:i/>
          <w:iCs/>
        </w:rPr>
        <w:t>73</w:t>
      </w:r>
      <w:r>
        <w:t xml:space="preserve">, 719–748. </w:t>
      </w:r>
      <w:hyperlink r:id="rId31">
        <w:r>
          <w:rPr>
            <w:rStyle w:val="Hyperlink"/>
          </w:rPr>
          <w:t>https://doi.org/10.1146/annurev-psych-020821-114157</w:t>
        </w:r>
      </w:hyperlink>
    </w:p>
    <w:p w14:paraId="27DB8C2A" w14:textId="77777777" w:rsidR="004310CD" w:rsidRDefault="00000000">
      <w:pPr>
        <w:pStyle w:val="Bibliography"/>
      </w:pPr>
      <w:bookmarkStart w:id="65" w:name="ref-nosek2014"/>
      <w:bookmarkEnd w:id="64"/>
      <w:r>
        <w:t xml:space="preserve">Nosek, B. A., &amp; Lakens, D. (2014). Registered reports: A method to increase the credibility of published results. </w:t>
      </w:r>
      <w:r>
        <w:rPr>
          <w:i/>
          <w:iCs/>
        </w:rPr>
        <w:t>Social Psychology</w:t>
      </w:r>
      <w:r>
        <w:t xml:space="preserve">, </w:t>
      </w:r>
      <w:r>
        <w:rPr>
          <w:i/>
          <w:iCs/>
        </w:rPr>
        <w:t>45</w:t>
      </w:r>
      <w:r>
        <w:t xml:space="preserve">(3), 137–141. </w:t>
      </w:r>
      <w:hyperlink r:id="rId32">
        <w:r>
          <w:rPr>
            <w:rStyle w:val="Hyperlink"/>
          </w:rPr>
          <w:t>https://doi.org/10.1027/1864-9335/a000192</w:t>
        </w:r>
      </w:hyperlink>
    </w:p>
    <w:p w14:paraId="27DB8C2B" w14:textId="77777777" w:rsidR="004310CD" w:rsidRDefault="00000000">
      <w:pPr>
        <w:pStyle w:val="Bibliography"/>
      </w:pPr>
      <w:bookmarkStart w:id="66" w:name="ref-obels2020"/>
      <w:bookmarkEnd w:id="65"/>
      <w:r>
        <w:t xml:space="preserve">Obels, P., Lakens, D., Coles, N. A., Gottfried, J., &amp; Green, S. A. (2020). Analysis of open data and computational reproducibility in registered reports in psychology. </w:t>
      </w:r>
      <w:r>
        <w:rPr>
          <w:i/>
          <w:iCs/>
        </w:rPr>
        <w:t>Advances in Methods and Practices in Psychological Science</w:t>
      </w:r>
      <w:r>
        <w:t xml:space="preserve">, </w:t>
      </w:r>
      <w:r>
        <w:rPr>
          <w:i/>
          <w:iCs/>
        </w:rPr>
        <w:t>3</w:t>
      </w:r>
      <w:r>
        <w:t xml:space="preserve">(2), 229–237. </w:t>
      </w:r>
      <w:hyperlink r:id="rId33">
        <w:r>
          <w:rPr>
            <w:rStyle w:val="Hyperlink"/>
          </w:rPr>
          <w:t>https://doi.org/10.1177/2515245920918872</w:t>
        </w:r>
      </w:hyperlink>
    </w:p>
    <w:p w14:paraId="27DB8C2C" w14:textId="77777777" w:rsidR="004310CD" w:rsidRDefault="00000000">
      <w:pPr>
        <w:pStyle w:val="Bibliography"/>
      </w:pPr>
      <w:bookmarkStart w:id="67" w:name="ref-Pashler2012b"/>
      <w:bookmarkEnd w:id="66"/>
      <w:r>
        <w:t xml:space="preserve">Pashler, H., &amp; Wagenmakers, E. J. (2012). Editors’ introduction to the special section on replicability in psychological science: A crisis of confidence? </w:t>
      </w:r>
      <w:r>
        <w:rPr>
          <w:i/>
          <w:iCs/>
        </w:rPr>
        <w:t>Perspectives on Psychological Science</w:t>
      </w:r>
      <w:r>
        <w:t xml:space="preserve">, </w:t>
      </w:r>
      <w:r>
        <w:rPr>
          <w:i/>
          <w:iCs/>
        </w:rPr>
        <w:t>7</w:t>
      </w:r>
      <w:r>
        <w:t xml:space="preserve">(6), 528–530. </w:t>
      </w:r>
      <w:hyperlink r:id="rId34">
        <w:r>
          <w:rPr>
            <w:rStyle w:val="Hyperlink"/>
          </w:rPr>
          <w:t>https://doi.org/10.1177/1745691612465253</w:t>
        </w:r>
      </w:hyperlink>
    </w:p>
    <w:p w14:paraId="27DB8C2D" w14:textId="77777777" w:rsidR="004310CD" w:rsidRDefault="00000000">
      <w:pPr>
        <w:pStyle w:val="Bibliography"/>
      </w:pPr>
      <w:bookmarkStart w:id="68" w:name="ref-silberzahn2015"/>
      <w:bookmarkEnd w:id="67"/>
      <w:r>
        <w:t xml:space="preserve">Silberzahn, R., &amp; Uhlmann, E. L. (2015). Crowdsourced research: Many hands make tight work. </w:t>
      </w:r>
      <w:r>
        <w:rPr>
          <w:i/>
          <w:iCs/>
        </w:rPr>
        <w:t>Nature</w:t>
      </w:r>
      <w:r>
        <w:t xml:space="preserve">, </w:t>
      </w:r>
      <w:r>
        <w:rPr>
          <w:i/>
          <w:iCs/>
        </w:rPr>
        <w:t>526</w:t>
      </w:r>
      <w:r>
        <w:t xml:space="preserve">(7572), 189–191. </w:t>
      </w:r>
      <w:hyperlink r:id="rId35">
        <w:r>
          <w:rPr>
            <w:rStyle w:val="Hyperlink"/>
          </w:rPr>
          <w:t>https://doi.org/10.1038/526189a</w:t>
        </w:r>
      </w:hyperlink>
    </w:p>
    <w:p w14:paraId="27DB8C2E" w14:textId="77777777" w:rsidR="004310CD" w:rsidRDefault="00000000">
      <w:pPr>
        <w:pStyle w:val="Bibliography"/>
      </w:pPr>
      <w:bookmarkStart w:id="69" w:name="ref-towse2021"/>
      <w:bookmarkEnd w:id="68"/>
      <w:r>
        <w:t xml:space="preserve">Towse, J. N., Ellis, D. A., &amp; Towse, A. S. (2021). Opening Pandora’s Box: Peeking inside Psychology’s data sharing practices, and seven recommendations for change. </w:t>
      </w:r>
      <w:r>
        <w:rPr>
          <w:i/>
          <w:iCs/>
        </w:rPr>
        <w:t>Behavior Research Methods</w:t>
      </w:r>
      <w:r>
        <w:t xml:space="preserve">, </w:t>
      </w:r>
      <w:r>
        <w:rPr>
          <w:i/>
          <w:iCs/>
        </w:rPr>
        <w:t>53</w:t>
      </w:r>
      <w:r>
        <w:t xml:space="preserve">(4), 1455–1468. </w:t>
      </w:r>
      <w:hyperlink r:id="rId36">
        <w:r>
          <w:rPr>
            <w:rStyle w:val="Hyperlink"/>
          </w:rPr>
          <w:t>https://doi.org/10.3758/s13428-020-01486-1</w:t>
        </w:r>
      </w:hyperlink>
    </w:p>
    <w:p w14:paraId="27DB8C2F" w14:textId="77777777" w:rsidR="004310CD" w:rsidRDefault="00000000">
      <w:pPr>
        <w:pStyle w:val="Bibliography"/>
      </w:pPr>
      <w:bookmarkStart w:id="70" w:name="ref-wild2022"/>
      <w:bookmarkEnd w:id="69"/>
      <w:r>
        <w:t xml:space="preserve">Wild, H., Kyröläinen, A.-J., &amp; Kuperman, V. (2022). How representative are student convenience samples? A study of literacy and numeracy skills in 32 countries. </w:t>
      </w:r>
      <w:r>
        <w:rPr>
          <w:i/>
          <w:iCs/>
        </w:rPr>
        <w:t>PLOS ONE</w:t>
      </w:r>
      <w:r>
        <w:t xml:space="preserve">, </w:t>
      </w:r>
      <w:r>
        <w:rPr>
          <w:i/>
          <w:iCs/>
        </w:rPr>
        <w:t>17</w:t>
      </w:r>
      <w:r>
        <w:t xml:space="preserve">(7), e0271191. </w:t>
      </w:r>
      <w:hyperlink r:id="rId37">
        <w:r>
          <w:rPr>
            <w:rStyle w:val="Hyperlink"/>
          </w:rPr>
          <w:t>https://doi.org/10.1371/journal.pone.0271191</w:t>
        </w:r>
      </w:hyperlink>
    </w:p>
    <w:p w14:paraId="27DB8C30" w14:textId="77777777" w:rsidR="004310CD" w:rsidRDefault="00000000">
      <w:pPr>
        <w:pStyle w:val="Bibliography"/>
      </w:pPr>
      <w:bookmarkStart w:id="71" w:name="ref-yarkoni2022"/>
      <w:bookmarkEnd w:id="70"/>
      <w:r>
        <w:t xml:space="preserve">Yarkoni, T. (2022). The generalizability crisis. </w:t>
      </w:r>
      <w:r>
        <w:rPr>
          <w:i/>
          <w:iCs/>
        </w:rPr>
        <w:t>Behavioral and Brain Sciences</w:t>
      </w:r>
      <w:r>
        <w:t xml:space="preserve">, </w:t>
      </w:r>
      <w:r>
        <w:rPr>
          <w:i/>
          <w:iCs/>
        </w:rPr>
        <w:t>45</w:t>
      </w:r>
      <w:r>
        <w:t xml:space="preserve">, e1. </w:t>
      </w:r>
      <w:hyperlink r:id="rId38">
        <w:r>
          <w:rPr>
            <w:rStyle w:val="Hyperlink"/>
          </w:rPr>
          <w:t>https://doi.org/10.1017/S0140525X20001685</w:t>
        </w:r>
      </w:hyperlink>
      <w:bookmarkEnd w:id="42"/>
      <w:bookmarkEnd w:id="44"/>
      <w:bookmarkEnd w:id="71"/>
    </w:p>
    <w:sectPr w:rsidR="004310CD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7020AA" w14:textId="77777777" w:rsidR="0081141D" w:rsidRDefault="0081141D">
      <w:pPr>
        <w:spacing w:after="0"/>
      </w:pPr>
      <w:r>
        <w:separator/>
      </w:r>
    </w:p>
  </w:endnote>
  <w:endnote w:type="continuationSeparator" w:id="0">
    <w:p w14:paraId="43FA1E0D" w14:textId="77777777" w:rsidR="0081141D" w:rsidRDefault="0081141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27D8EF" w14:textId="77777777" w:rsidR="0081141D" w:rsidRDefault="0081141D">
      <w:r>
        <w:separator/>
      </w:r>
    </w:p>
  </w:footnote>
  <w:footnote w:type="continuationSeparator" w:id="0">
    <w:p w14:paraId="13040C16" w14:textId="77777777" w:rsidR="0081141D" w:rsidRDefault="008114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58F66E5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65C0DC1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0AA602F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857626162">
    <w:abstractNumId w:val="0"/>
  </w:num>
  <w:num w:numId="2" w16cid:durableId="1560088196">
    <w:abstractNumId w:val="1"/>
  </w:num>
  <w:num w:numId="3" w16cid:durableId="1693451646">
    <w:abstractNumId w:val="1"/>
  </w:num>
  <w:num w:numId="4" w16cid:durableId="63356445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35214907">
    <w:abstractNumId w:val="1"/>
  </w:num>
  <w:num w:numId="6" w16cid:durableId="2000497142">
    <w:abstractNumId w:val="1"/>
  </w:num>
  <w:num w:numId="7" w16cid:durableId="188606056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722592">
    <w:abstractNumId w:val="1"/>
  </w:num>
  <w:num w:numId="9" w16cid:durableId="270748735">
    <w:abstractNumId w:val="1"/>
  </w:num>
  <w:num w:numId="10" w16cid:durableId="1333490984">
    <w:abstractNumId w:val="1"/>
  </w:num>
  <w:num w:numId="11" w16cid:durableId="649482865">
    <w:abstractNumId w:val="1"/>
  </w:num>
  <w:num w:numId="12" w16cid:durableId="1886141855">
    <w:abstractNumId w:val="1"/>
  </w:num>
  <w:num w:numId="13" w16cid:durableId="148136997">
    <w:abstractNumId w:val="1"/>
  </w:num>
  <w:num w:numId="14" w16cid:durableId="205917680">
    <w:abstractNumId w:val="1"/>
  </w:num>
  <w:num w:numId="15" w16cid:durableId="1091511936">
    <w:abstractNumId w:val="1"/>
  </w:num>
  <w:num w:numId="16" w16cid:durableId="1879119196">
    <w:abstractNumId w:val="1"/>
  </w:num>
  <w:num w:numId="17" w16cid:durableId="2002614993">
    <w:abstractNumId w:val="1"/>
  </w:num>
  <w:num w:numId="18" w16cid:durableId="249779602">
    <w:abstractNumId w:val="1"/>
  </w:num>
  <w:num w:numId="19" w16cid:durableId="1428574597">
    <w:abstractNumId w:val="1"/>
  </w:num>
  <w:num w:numId="20" w16cid:durableId="1635939652">
    <w:abstractNumId w:val="1"/>
  </w:num>
  <w:num w:numId="21" w16cid:durableId="186598293">
    <w:abstractNumId w:val="1"/>
  </w:num>
  <w:num w:numId="22" w16cid:durableId="131946616">
    <w:abstractNumId w:val="1"/>
  </w:num>
  <w:num w:numId="23" w16cid:durableId="765879082">
    <w:abstractNumId w:val="1"/>
  </w:num>
  <w:num w:numId="24" w16cid:durableId="799616795">
    <w:abstractNumId w:val="1"/>
  </w:num>
  <w:num w:numId="25" w16cid:durableId="1651248480">
    <w:abstractNumId w:val="1"/>
  </w:num>
  <w:num w:numId="26" w16cid:durableId="24018475">
    <w:abstractNumId w:val="1"/>
  </w:num>
  <w:num w:numId="27" w16cid:durableId="2093504412">
    <w:abstractNumId w:val="1"/>
  </w:num>
  <w:num w:numId="28" w16cid:durableId="1206869049">
    <w:abstractNumId w:val="1"/>
  </w:num>
  <w:num w:numId="29" w16cid:durableId="1217159811">
    <w:abstractNumId w:val="1"/>
  </w:num>
  <w:num w:numId="30" w16cid:durableId="1079012485">
    <w:abstractNumId w:val="1"/>
  </w:num>
  <w:num w:numId="31" w16cid:durableId="112114365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9488555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779619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918129681">
    <w:abstractNumId w:val="1"/>
  </w:num>
  <w:num w:numId="35" w16cid:durableId="1975139334">
    <w:abstractNumId w:val="1"/>
  </w:num>
  <w:num w:numId="36" w16cid:durableId="782502618">
    <w:abstractNumId w:val="1"/>
  </w:num>
  <w:num w:numId="37" w16cid:durableId="874581758">
    <w:abstractNumId w:val="1"/>
  </w:num>
  <w:num w:numId="38" w16cid:durableId="785081932">
    <w:abstractNumId w:val="1"/>
  </w:num>
  <w:num w:numId="39" w16cid:durableId="7684270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310CD"/>
    <w:rsid w:val="00194700"/>
    <w:rsid w:val="004310CD"/>
    <w:rsid w:val="00533509"/>
    <w:rsid w:val="0081141D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DB8B50"/>
  <w15:docId w15:val="{9F5130F0-06CF-8D42-8A21-8A5028B43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1F3F5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DataTypeTok">
    <w:name w:val="DataType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DecValTok">
    <w:name w:val="DecVal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BaseNTok">
    <w:name w:val="BaseN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FloatTok">
    <w:name w:val="Floa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1F3F5"/>
    </w:rPr>
  </w:style>
  <w:style w:type="character" w:customStyle="1" w:styleId="CharTok">
    <w:name w:val="Char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CharTok">
    <w:name w:val="SpecialCha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StringTok">
    <w:name w:val="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VerbatimStringTok">
    <w:name w:val="Verbatim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StringTok">
    <w:name w:val="Special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ImportTok">
    <w:name w:val="ImportTok"/>
    <w:basedOn w:val="VerbatimChar"/>
    <w:rPr>
      <w:rFonts w:ascii="Consolas" w:hAnsi="Consolas"/>
      <w:color w:val="00769E"/>
      <w:sz w:val="22"/>
      <w:shd w:val="clear" w:color="auto" w:fill="F1F3F5"/>
    </w:rPr>
  </w:style>
  <w:style w:type="character" w:customStyle="1" w:styleId="CommentTok">
    <w:name w:val="Comment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nnotationTok">
    <w:name w:val="Annot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CommentVarTok">
    <w:name w:val="CommentVar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OtherTok">
    <w:name w:val="Oth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FunctionTok">
    <w:name w:val="FunctionTok"/>
    <w:basedOn w:val="VerbatimChar"/>
    <w:rPr>
      <w:rFonts w:ascii="Consolas" w:hAnsi="Consolas"/>
      <w:color w:val="4758AB"/>
      <w:sz w:val="22"/>
      <w:shd w:val="clear" w:color="auto" w:fill="F1F3F5"/>
    </w:rPr>
  </w:style>
  <w:style w:type="character" w:customStyle="1" w:styleId="VariableTok">
    <w:name w:val="VariableTok"/>
    <w:basedOn w:val="VerbatimChar"/>
    <w:rPr>
      <w:rFonts w:ascii="Consolas" w:hAnsi="Consolas"/>
      <w:color w:val="111111"/>
      <w:sz w:val="22"/>
      <w:shd w:val="clear" w:color="auto" w:fill="F1F3F5"/>
    </w:rPr>
  </w:style>
  <w:style w:type="character" w:customStyle="1" w:styleId="ControlFlowTok">
    <w:name w:val="ControlFlow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OperatorTok">
    <w:name w:val="Operato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BuiltInTok">
    <w:name w:val="BuiltI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ExtensionTok">
    <w:name w:val="Extensio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PreprocessorTok">
    <w:name w:val="Preprocess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AttributeTok">
    <w:name w:val="AttributeTok"/>
    <w:basedOn w:val="VerbatimChar"/>
    <w:rPr>
      <w:rFonts w:ascii="Consolas" w:hAnsi="Consolas"/>
      <w:color w:val="657422"/>
      <w:sz w:val="22"/>
      <w:shd w:val="clear" w:color="auto" w:fill="F1F3F5"/>
    </w:rPr>
  </w:style>
  <w:style w:type="character" w:customStyle="1" w:styleId="RegionMarkerTok">
    <w:name w:val="RegionMark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InformationTok">
    <w:name w:val="Inform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WarningTok">
    <w:name w:val="Warning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lertTok">
    <w:name w:val="Aler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ErrorTok">
    <w:name w:val="Err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NormalTok">
    <w:name w:val="NormalTok"/>
    <w:basedOn w:val="VerbatimChar"/>
    <w:rPr>
      <w:rFonts w:ascii="Consolas" w:hAnsi="Consolas"/>
      <w:color w:val="003B4F"/>
      <w:sz w:val="22"/>
      <w:shd w:val="clear" w:color="auto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doi.org/10.31234/osf.io/729qt" TargetMode="External"/><Relationship Id="rId26" Type="http://schemas.openxmlformats.org/officeDocument/2006/relationships/hyperlink" Target="https://doi.org/10.1177/0956797611430953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doi.org/10.1111/nyas.13325" TargetMode="External"/><Relationship Id="rId34" Type="http://schemas.openxmlformats.org/officeDocument/2006/relationships/hyperlink" Target="https://doi.org/10.1177/1745691612465253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doi.org/10.1186/s12868-015-0228-5" TargetMode="External"/><Relationship Id="rId25" Type="http://schemas.openxmlformats.org/officeDocument/2006/relationships/hyperlink" Target="https://doi.org/10.1093/cje/bet075" TargetMode="External"/><Relationship Id="rId33" Type="http://schemas.openxmlformats.org/officeDocument/2006/relationships/hyperlink" Target="https://doi.org/10.1177/2515245920918872" TargetMode="External"/><Relationship Id="rId38" Type="http://schemas.openxmlformats.org/officeDocument/2006/relationships/hyperlink" Target="https://doi.org/10.1017/S0140525X20001685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doi.org/10.1511/2014.111.460" TargetMode="External"/><Relationship Id="rId29" Type="http://schemas.openxmlformats.org/officeDocument/2006/relationships/hyperlink" Target="https://doi.org/10.1098/rsos.21045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doi.org/10.1017/S0140525X0999152X" TargetMode="External"/><Relationship Id="rId32" Type="http://schemas.openxmlformats.org/officeDocument/2006/relationships/hyperlink" Target="https://doi.org/10.1027/1864-9335/a000192" TargetMode="External"/><Relationship Id="rId37" Type="http://schemas.openxmlformats.org/officeDocument/2006/relationships/hyperlink" Target="https://doi.org/10.1371/journal.pone.0271191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doi.org/10.1098/rsos.180448" TargetMode="External"/><Relationship Id="rId28" Type="http://schemas.openxmlformats.org/officeDocument/2006/relationships/hyperlink" Target="https://doi.org/10.1016/j.jml.2022.104332" TargetMode="External"/><Relationship Id="rId36" Type="http://schemas.openxmlformats.org/officeDocument/2006/relationships/hyperlink" Target="https://doi.org/10.3758/s13428-020-01486-1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doi.org/10.1177/2515245920952393" TargetMode="External"/><Relationship Id="rId31" Type="http://schemas.openxmlformats.org/officeDocument/2006/relationships/hyperlink" Target="https://doi.org/10.1146/annurev-psych-020821-11415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oi.org/10.1098/rsos.201494" TargetMode="External"/><Relationship Id="rId27" Type="http://schemas.openxmlformats.org/officeDocument/2006/relationships/hyperlink" Target="https://doi.org/10.1371/journal.pbio.1002456" TargetMode="External"/><Relationship Id="rId30" Type="http://schemas.openxmlformats.org/officeDocument/2006/relationships/hyperlink" Target="https://doi.org/10.1038/s41562-016-0021" TargetMode="External"/><Relationship Id="rId35" Type="http://schemas.openxmlformats.org/officeDocument/2006/relationships/hyperlink" Target="https://doi.org/10.1038/526189a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2690</Words>
  <Characters>15335</Characters>
  <Application>Microsoft Office Word</Application>
  <DocSecurity>0</DocSecurity>
  <Lines>127</Lines>
  <Paragraphs>35</Paragraphs>
  <ScaleCrop>false</ScaleCrop>
  <Company/>
  <LinksUpToDate>false</LinksUpToDate>
  <CharactersWithSpaces>17990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Research report – why?</dc:title>
  <dc:creator>Rob Davies</dc:creator>
  <cp:keywords/>
  <cp:lastModifiedBy>Davies, Robert</cp:lastModifiedBy>
  <cp:revision>3</cp:revision>
  <dcterms:created xsi:type="dcterms:W3CDTF">2023-10-31T12:35:00Z</dcterms:created>
  <dcterms:modified xsi:type="dcterms:W3CDTF">2023-10-31T12:39:00Z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>references.bib</vt:lpwstr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olorlinks">
    <vt:lpwstr>True</vt:lpwstr>
  </property>
  <property fmtid="{D5CDD505-2E9C-101B-9397-08002B2CF9AE}" pid="9" name="controls">
    <vt:lpwstr>True</vt:lpwstr>
  </property>
  <property fmtid="{D5CDD505-2E9C-101B-9397-08002B2CF9AE}" pid="10" name="csl">
    <vt:lpwstr>psychological-bulletin.csl</vt:lpwstr>
  </property>
  <property fmtid="{D5CDD505-2E9C-101B-9397-08002B2CF9AE}" pid="11" name="date">
    <vt:lpwstr>2023-11-14</vt:lpwstr>
  </property>
  <property fmtid="{D5CDD505-2E9C-101B-9397-08002B2CF9AE}" pid="12" name="editor">
    <vt:lpwstr>visual</vt:lpwstr>
  </property>
  <property fmtid="{D5CDD505-2E9C-101B-9397-08002B2CF9AE}" pid="13" name="execute">
    <vt:lpwstr/>
  </property>
  <property fmtid="{D5CDD505-2E9C-101B-9397-08002B2CF9AE}" pid="14" name="header-includes">
    <vt:lpwstr/>
  </property>
  <property fmtid="{D5CDD505-2E9C-101B-9397-08002B2CF9AE}" pid="15" name="include-after">
    <vt:lpwstr/>
  </property>
  <property fmtid="{D5CDD505-2E9C-101B-9397-08002B2CF9AE}" pid="16" name="include-before">
    <vt:lpwstr/>
  </property>
  <property fmtid="{D5CDD505-2E9C-101B-9397-08002B2CF9AE}" pid="17" name="institute">
    <vt:lpwstr>Department of Psychology, Lancaster University</vt:lpwstr>
  </property>
  <property fmtid="{D5CDD505-2E9C-101B-9397-08002B2CF9AE}" pid="18" name="institutes">
    <vt:lpwstr/>
  </property>
  <property fmtid="{D5CDD505-2E9C-101B-9397-08002B2CF9AE}" pid="19" name="labels">
    <vt:lpwstr/>
  </property>
  <property fmtid="{D5CDD505-2E9C-101B-9397-08002B2CF9AE}" pid="20" name="toc-title">
    <vt:lpwstr>Table of contents</vt:lpwstr>
  </property>
</Properties>
</file>