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C058B6" w14:textId="77777777" w:rsidR="00C0020C" w:rsidRDefault="00000000">
      <w:pPr>
        <w:pStyle w:val="Title"/>
      </w:pPr>
      <w:r>
        <w:t>Data visualization: practices</w:t>
      </w:r>
    </w:p>
    <w:p w14:paraId="6B1807D8" w14:textId="77777777" w:rsidR="00C0020C" w:rsidRDefault="00000000">
      <w:pPr>
        <w:pStyle w:val="Author"/>
      </w:pPr>
      <w:r>
        <w:t>Rob Davies</w:t>
      </w:r>
    </w:p>
    <w:p w14:paraId="13F1DF7C" w14:textId="77777777" w:rsidR="00C0020C" w:rsidRDefault="00000000">
      <w:pPr>
        <w:pStyle w:val="Date"/>
      </w:pPr>
      <w:r>
        <w:t>2023-11-27</w:t>
      </w:r>
    </w:p>
    <w:p w14:paraId="41174ED2" w14:textId="77777777" w:rsidR="00C0020C" w:rsidRDefault="00000000">
      <w:pPr>
        <w:pStyle w:val="Heading2"/>
      </w:pPr>
      <w:bookmarkStart w:id="0" w:name="psyc401-data-visualization-practices"/>
      <w:r>
        <w:t>1 PSYC401: Data visualization – practices</w:t>
      </w:r>
    </w:p>
    <w:p w14:paraId="36379FAA" w14:textId="77777777" w:rsidR="00C0020C" w:rsidRDefault="00000000">
      <w:pPr>
        <w:pStyle w:val="Compact"/>
        <w:numPr>
          <w:ilvl w:val="0"/>
          <w:numId w:val="2"/>
        </w:numPr>
      </w:pPr>
      <w:r>
        <w:t>My name is Dr Rob Davies, I am an expert in communication, individual differences, and methods</w:t>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648"/>
      </w:tblGrid>
      <w:tr w:rsidR="00C0020C" w14:paraId="67322E23" w14:textId="77777777" w:rsidTr="00C0020C">
        <w:trPr>
          <w:cantSplit/>
        </w:trPr>
        <w:tc>
          <w:tcPr>
            <w:tcW w:w="0" w:type="auto"/>
            <w:shd w:val="clear" w:color="auto" w:fill="CCF1E3"/>
            <w:tcMar>
              <w:top w:w="92" w:type="dxa"/>
              <w:bottom w:w="92" w:type="dxa"/>
            </w:tcMar>
          </w:tcPr>
          <w:p w14:paraId="0EF4FA47" w14:textId="77777777" w:rsidR="00C0020C" w:rsidRDefault="00000000">
            <w:pPr>
              <w:pStyle w:val="FirstParagraph"/>
              <w:spacing w:before="0" w:after="0"/>
              <w:textAlignment w:val="center"/>
            </w:pPr>
            <w:r>
              <w:rPr>
                <w:noProof/>
              </w:rPr>
              <w:drawing>
                <wp:inline distT="0" distB="0" distL="0" distR="0" wp14:anchorId="7F73E38D" wp14:editId="1BEDA59D">
                  <wp:extent cx="152400" cy="1524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2" name="Picture" descr="/Applications/RStudio.app/Contents/Resources/app/quarto/share/formats/docx/tip.png"/>
                          <pic:cNvPicPr>
                            <a:picLocks noChangeAspect="1" noChangeArrowheads="1"/>
                          </pic:cNvPicPr>
                        </pic:nvPicPr>
                        <pic:blipFill>
                          <a:blip r:embed="rId7"/>
                          <a:stretch>
                            <a:fillRect/>
                          </a:stretch>
                        </pic:blipFill>
                        <pic:spPr bwMode="auto">
                          <a:xfrm>
                            <a:off x="0" y="0"/>
                            <a:ext cx="152400" cy="152400"/>
                          </a:xfrm>
                          <a:prstGeom prst="rect">
                            <a:avLst/>
                          </a:prstGeom>
                          <a:noFill/>
                          <a:ln w="9525">
                            <a:noFill/>
                            <a:headEnd/>
                            <a:tailEnd/>
                          </a:ln>
                        </pic:spPr>
                      </pic:pic>
                    </a:graphicData>
                  </a:graphic>
                </wp:inline>
              </w:drawing>
            </w:r>
            <w:r>
              <w:t xml:space="preserve">  Tip</w:t>
            </w:r>
          </w:p>
        </w:tc>
      </w:tr>
      <w:tr w:rsidR="00C0020C" w14:paraId="00D97205" w14:textId="77777777" w:rsidTr="00C0020C">
        <w:trPr>
          <w:cantSplit/>
        </w:trPr>
        <w:tc>
          <w:tcPr>
            <w:tcW w:w="0" w:type="auto"/>
            <w:tcMar>
              <w:top w:w="108" w:type="dxa"/>
              <w:bottom w:w="108" w:type="dxa"/>
            </w:tcMar>
          </w:tcPr>
          <w:p w14:paraId="0B20E556" w14:textId="77777777" w:rsidR="00C0020C" w:rsidRDefault="00000000">
            <w:pPr>
              <w:pStyle w:val="BodyText"/>
              <w:spacing w:before="16"/>
            </w:pPr>
            <w:r>
              <w:rPr>
                <w:b/>
                <w:bCs/>
              </w:rPr>
              <w:t>Ask me anything</w:t>
            </w:r>
            <w:r>
              <w:t>:</w:t>
            </w:r>
          </w:p>
          <w:p w14:paraId="080AC7F2" w14:textId="77777777" w:rsidR="00C0020C" w:rsidRDefault="00000000">
            <w:pPr>
              <w:pStyle w:val="Compact"/>
              <w:numPr>
                <w:ilvl w:val="0"/>
                <w:numId w:val="3"/>
              </w:numPr>
            </w:pPr>
            <w:r>
              <w:t>questions during class in person or anonymously through slido;</w:t>
            </w:r>
          </w:p>
          <w:p w14:paraId="20A54F21" w14:textId="77777777" w:rsidR="00C0020C" w:rsidRDefault="00000000">
            <w:pPr>
              <w:pStyle w:val="Compact"/>
              <w:numPr>
                <w:ilvl w:val="0"/>
                <w:numId w:val="3"/>
              </w:numPr>
            </w:pPr>
            <w:r>
              <w:t>all other questions on discussion forum</w:t>
            </w:r>
          </w:p>
        </w:tc>
      </w:tr>
    </w:tbl>
    <w:p w14:paraId="30F7D2CE" w14:textId="77777777" w:rsidR="00C0020C" w:rsidRDefault="00000000">
      <w:pPr>
        <w:pStyle w:val="Heading2"/>
      </w:pPr>
      <w:bookmarkStart w:id="1" w:name="X74bbc18a1e026bd9fbb70f7d73c6adb18fe5fe4"/>
      <w:bookmarkEnd w:id="0"/>
      <w:r>
        <w:t>2 Introduction: Data visualization – perspectives</w:t>
      </w:r>
    </w:p>
    <w:p w14:paraId="2E5EEA07" w14:textId="77777777" w:rsidR="00C0020C" w:rsidRDefault="00000000">
      <w:pPr>
        <w:pStyle w:val="Compact"/>
        <w:numPr>
          <w:ilvl w:val="0"/>
          <w:numId w:val="4"/>
        </w:numPr>
      </w:pPr>
      <w:r>
        <w:t xml:space="preserve">In this </w:t>
      </w:r>
      <w:r>
        <w:rPr>
          <w:i/>
          <w:iCs/>
        </w:rPr>
        <w:t>PSYC401</w:t>
      </w:r>
      <w:r>
        <w:t xml:space="preserve"> class, we look at </w:t>
      </w:r>
      <w:r>
        <w:rPr>
          <w:i/>
          <w:iCs/>
        </w:rPr>
        <w:t>practices</w:t>
      </w:r>
      <w:r>
        <w:t xml:space="preserve"> or how we get visualization done</w:t>
      </w:r>
    </w:p>
    <w:p w14:paraId="0A44CE93" w14:textId="77777777" w:rsidR="00C0020C" w:rsidRDefault="00000000">
      <w:pPr>
        <w:pStyle w:val="Compact"/>
        <w:numPr>
          <w:ilvl w:val="0"/>
          <w:numId w:val="4"/>
        </w:numPr>
      </w:pPr>
      <w:r>
        <w:t xml:space="preserve">In the linked </w:t>
      </w:r>
      <w:r>
        <w:rPr>
          <w:i/>
          <w:iCs/>
        </w:rPr>
        <w:t>PSYC403</w:t>
      </w:r>
      <w:r>
        <w:t xml:space="preserve"> class, we focus on </w:t>
      </w:r>
      <w:r>
        <w:rPr>
          <w:i/>
          <w:iCs/>
        </w:rPr>
        <w:t>perspectives</w:t>
      </w:r>
      <w:r>
        <w:t xml:space="preserve"> or how to think about visualization</w:t>
      </w:r>
    </w:p>
    <w:p w14:paraId="0CB585D4" w14:textId="77777777" w:rsidR="00C0020C" w:rsidRDefault="00000000">
      <w:pPr>
        <w:pStyle w:val="Heading2"/>
      </w:pPr>
      <w:bookmarkStart w:id="2" w:name="our-lesson-plan"/>
      <w:bookmarkEnd w:id="1"/>
      <w:r>
        <w:t>3 Our lesson plan</w:t>
      </w:r>
    </w:p>
    <w:p w14:paraId="2ADBDC7D" w14:textId="77777777" w:rsidR="00C0020C" w:rsidRDefault="00000000">
      <w:pPr>
        <w:pStyle w:val="Compact"/>
        <w:numPr>
          <w:ilvl w:val="0"/>
          <w:numId w:val="5"/>
        </w:numPr>
      </w:pPr>
      <w:r>
        <w:t>Identify your goals</w:t>
      </w:r>
    </w:p>
    <w:p w14:paraId="4FA667A9" w14:textId="77777777" w:rsidR="00C0020C" w:rsidRDefault="00000000">
      <w:pPr>
        <w:pStyle w:val="Compact"/>
        <w:numPr>
          <w:ilvl w:val="0"/>
          <w:numId w:val="5"/>
        </w:numPr>
      </w:pPr>
      <w:r>
        <w:t>Think about your audience</w:t>
      </w:r>
    </w:p>
    <w:p w14:paraId="3DE3A216" w14:textId="77777777" w:rsidR="00C0020C" w:rsidRDefault="00000000">
      <w:pPr>
        <w:pStyle w:val="Compact"/>
        <w:numPr>
          <w:ilvl w:val="0"/>
          <w:numId w:val="5"/>
        </w:numPr>
      </w:pPr>
      <w:r>
        <w:t>Develop reflectively</w:t>
      </w:r>
    </w:p>
    <w:p w14:paraId="60CE0680" w14:textId="77777777" w:rsidR="00C0020C" w:rsidRDefault="00000000">
      <w:pPr>
        <w:pStyle w:val="Compact"/>
        <w:numPr>
          <w:ilvl w:val="0"/>
          <w:numId w:val="5"/>
        </w:numPr>
      </w:pPr>
      <w:r>
        <w:t>Implement good practice</w:t>
      </w:r>
    </w:p>
    <w:p w14:paraId="5ADC348A" w14:textId="77777777" w:rsidR="00C0020C" w:rsidRDefault="00000000">
      <w:pPr>
        <w:pStyle w:val="Heading2"/>
      </w:pPr>
      <w:bookmarkStart w:id="3" w:name="Xc0d218981d4e5bd4d4f5b9e3aaff518cd6a9fdc"/>
      <w:bookmarkEnd w:id="2"/>
      <w:r>
        <w:t>4 Our learning objectives: — what are we learning about?</w:t>
      </w:r>
    </w:p>
    <w:p w14:paraId="4CD87C61" w14:textId="77777777" w:rsidR="00C0020C" w:rsidRDefault="00000000">
      <w:pPr>
        <w:pStyle w:val="FirstParagraph"/>
      </w:pPr>
      <w:r>
        <w:t>We are working together to help you:</w:t>
      </w:r>
    </w:p>
    <w:p w14:paraId="282884CF" w14:textId="77777777" w:rsidR="00C0020C" w:rsidRDefault="00000000">
      <w:pPr>
        <w:pStyle w:val="Compact"/>
        <w:numPr>
          <w:ilvl w:val="0"/>
          <w:numId w:val="6"/>
        </w:numPr>
      </w:pPr>
      <w:r>
        <w:rPr>
          <w:i/>
          <w:iCs/>
        </w:rPr>
        <w:t>Goals</w:t>
      </w:r>
      <w:r>
        <w:t xml:space="preserve"> — Formulate questions you can ask yourself to help you to work effectively</w:t>
      </w:r>
    </w:p>
    <w:p w14:paraId="357BBE6F" w14:textId="77777777" w:rsidR="00C0020C" w:rsidRDefault="00000000">
      <w:pPr>
        <w:pStyle w:val="Compact"/>
        <w:numPr>
          <w:ilvl w:val="0"/>
          <w:numId w:val="6"/>
        </w:numPr>
      </w:pPr>
      <w:r>
        <w:rPr>
          <w:i/>
          <w:iCs/>
        </w:rPr>
        <w:t>Audience</w:t>
      </w:r>
      <w:r>
        <w:t xml:space="preserve"> — Understand the psychological factors that affect your impact</w:t>
      </w:r>
    </w:p>
    <w:p w14:paraId="67457BDE" w14:textId="77777777" w:rsidR="00C0020C" w:rsidRDefault="00000000">
      <w:pPr>
        <w:pStyle w:val="Compact"/>
        <w:numPr>
          <w:ilvl w:val="0"/>
          <w:numId w:val="6"/>
        </w:numPr>
      </w:pPr>
      <w:r>
        <w:rPr>
          <w:i/>
          <w:iCs/>
        </w:rPr>
        <w:t>Development</w:t>
      </w:r>
      <w:r>
        <w:t xml:space="preserve"> — Work reflectively through a development process</w:t>
      </w:r>
    </w:p>
    <w:p w14:paraId="6FADE1CA" w14:textId="77777777" w:rsidR="00C0020C" w:rsidRDefault="00000000">
      <w:pPr>
        <w:pStyle w:val="Compact"/>
        <w:numPr>
          <w:ilvl w:val="0"/>
          <w:numId w:val="6"/>
        </w:numPr>
      </w:pPr>
      <w:r>
        <w:rPr>
          <w:i/>
          <w:iCs/>
        </w:rPr>
        <w:t>Implement</w:t>
      </w:r>
      <w:r>
        <w:t xml:space="preserve"> — Produce visualizations in line with best practice</w:t>
      </w:r>
    </w:p>
    <w:p w14:paraId="7CBC0308" w14:textId="77777777" w:rsidR="00C0020C" w:rsidRDefault="00000000">
      <w:pPr>
        <w:pStyle w:val="Heading2"/>
      </w:pPr>
      <w:bookmarkStart w:id="4" w:name="X680c25de721c9eafe23cd85faa5d5a7970c0038"/>
      <w:bookmarkEnd w:id="3"/>
      <w:r>
        <w:t>5 Our assessment targets: — how do you know if you have learned?</w:t>
      </w:r>
    </w:p>
    <w:p w14:paraId="53CD4576" w14:textId="77777777" w:rsidR="00C0020C" w:rsidRDefault="00000000">
      <w:pPr>
        <w:pStyle w:val="FirstParagraph"/>
      </w:pPr>
      <w:r>
        <w:t>We are working together so you can:</w:t>
      </w:r>
    </w:p>
    <w:p w14:paraId="04EEADF1" w14:textId="77777777" w:rsidR="00C0020C" w:rsidRDefault="00000000">
      <w:pPr>
        <w:pStyle w:val="Compact"/>
        <w:numPr>
          <w:ilvl w:val="0"/>
          <w:numId w:val="7"/>
        </w:numPr>
      </w:pPr>
      <w:r>
        <w:rPr>
          <w:i/>
          <w:iCs/>
        </w:rPr>
        <w:t>Goals</w:t>
      </w:r>
      <w:r>
        <w:t xml:space="preserve"> — Identify a set of targets for a development process in your professional teams</w:t>
      </w:r>
    </w:p>
    <w:p w14:paraId="5393A382" w14:textId="77777777" w:rsidR="00C0020C" w:rsidRDefault="00000000">
      <w:pPr>
        <w:pStyle w:val="Compact"/>
        <w:numPr>
          <w:ilvl w:val="0"/>
          <w:numId w:val="7"/>
        </w:numPr>
      </w:pPr>
      <w:r>
        <w:rPr>
          <w:i/>
          <w:iCs/>
        </w:rPr>
        <w:t>Audience</w:t>
      </w:r>
      <w:r>
        <w:t xml:space="preserve"> — Explain what you need to do to make a visualization effective</w:t>
      </w:r>
    </w:p>
    <w:p w14:paraId="61F48B77" w14:textId="77777777" w:rsidR="00C0020C" w:rsidRDefault="00000000">
      <w:pPr>
        <w:pStyle w:val="Compact"/>
        <w:numPr>
          <w:ilvl w:val="0"/>
          <w:numId w:val="7"/>
        </w:numPr>
      </w:pPr>
      <w:r>
        <w:rPr>
          <w:i/>
          <w:iCs/>
        </w:rPr>
        <w:lastRenderedPageBreak/>
        <w:t>Development</w:t>
      </w:r>
      <w:r>
        <w:t xml:space="preserve"> — Locate yourself within the stages of the development process</w:t>
      </w:r>
    </w:p>
    <w:p w14:paraId="7D973AE1" w14:textId="77777777" w:rsidR="00C0020C" w:rsidRDefault="00000000">
      <w:pPr>
        <w:pStyle w:val="Compact"/>
        <w:numPr>
          <w:ilvl w:val="0"/>
          <w:numId w:val="7"/>
        </w:numPr>
      </w:pPr>
      <w:r>
        <w:rPr>
          <w:i/>
          <w:iCs/>
        </w:rPr>
        <w:t>Implement</w:t>
      </w:r>
      <w:r>
        <w:t xml:space="preserve"> — Produce visualizations that look good and are useful</w:t>
      </w:r>
    </w:p>
    <w:p w14:paraId="2DBAC419" w14:textId="77777777" w:rsidR="00C0020C" w:rsidRDefault="00000000">
      <w:pPr>
        <w:pStyle w:val="Heading2"/>
      </w:pPr>
      <w:bookmarkStart w:id="5" w:name="X17fcbcce8d8368388609e5c798bffb77fa03944"/>
      <w:bookmarkEnd w:id="4"/>
      <w:r>
        <w:t>6 What are our goals – Questions to help you to work effectively</w:t>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648"/>
      </w:tblGrid>
      <w:tr w:rsidR="00C0020C" w14:paraId="6AF1A47E" w14:textId="77777777" w:rsidTr="00C0020C">
        <w:trPr>
          <w:cantSplit/>
        </w:trPr>
        <w:tc>
          <w:tcPr>
            <w:tcW w:w="0" w:type="auto"/>
            <w:shd w:val="clear" w:color="auto" w:fill="CCF1E3"/>
            <w:tcMar>
              <w:top w:w="92" w:type="dxa"/>
              <w:bottom w:w="92" w:type="dxa"/>
            </w:tcMar>
          </w:tcPr>
          <w:p w14:paraId="7101BE62" w14:textId="77777777" w:rsidR="00C0020C" w:rsidRDefault="00000000">
            <w:pPr>
              <w:pStyle w:val="FirstParagraph"/>
              <w:spacing w:before="0" w:after="0"/>
              <w:textAlignment w:val="center"/>
            </w:pPr>
            <w:r>
              <w:rPr>
                <w:noProof/>
              </w:rPr>
              <w:drawing>
                <wp:inline distT="0" distB="0" distL="0" distR="0" wp14:anchorId="06F74896" wp14:editId="57A86015">
                  <wp:extent cx="152400" cy="15240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29" name="Picture" descr="/Applications/RStudio.app/Contents/Resources/app/quarto/share/formats/docx/tip.png"/>
                          <pic:cNvPicPr>
                            <a:picLocks noChangeAspect="1" noChangeArrowheads="1"/>
                          </pic:cNvPicPr>
                        </pic:nvPicPr>
                        <pic:blipFill>
                          <a:blip r:embed="rId7"/>
                          <a:stretch>
                            <a:fillRect/>
                          </a:stretch>
                        </pic:blipFill>
                        <pic:spPr bwMode="auto">
                          <a:xfrm>
                            <a:off x="0" y="0"/>
                            <a:ext cx="152400" cy="152400"/>
                          </a:xfrm>
                          <a:prstGeom prst="rect">
                            <a:avLst/>
                          </a:prstGeom>
                          <a:noFill/>
                          <a:ln w="9525">
                            <a:noFill/>
                            <a:headEnd/>
                            <a:tailEnd/>
                          </a:ln>
                        </pic:spPr>
                      </pic:pic>
                    </a:graphicData>
                  </a:graphic>
                </wp:inline>
              </w:drawing>
            </w:r>
            <w:r>
              <w:t xml:space="preserve">  Tip</w:t>
            </w:r>
          </w:p>
        </w:tc>
      </w:tr>
      <w:tr w:rsidR="00C0020C" w14:paraId="49DF39A8" w14:textId="77777777" w:rsidTr="00C0020C">
        <w:trPr>
          <w:cantSplit/>
        </w:trPr>
        <w:tc>
          <w:tcPr>
            <w:tcW w:w="0" w:type="auto"/>
            <w:tcMar>
              <w:top w:w="108" w:type="dxa"/>
              <w:bottom w:w="108" w:type="dxa"/>
            </w:tcMar>
          </w:tcPr>
          <w:p w14:paraId="53406F62" w14:textId="77777777" w:rsidR="00C0020C" w:rsidRDefault="00000000">
            <w:pPr>
              <w:pStyle w:val="Compact"/>
              <w:numPr>
                <w:ilvl w:val="0"/>
                <w:numId w:val="8"/>
              </w:numPr>
            </w:pPr>
            <w:r>
              <w:t xml:space="preserve">We begin by thinking about the questions you will ask yourself when you need to decide </w:t>
            </w:r>
            <w:r>
              <w:rPr>
                <w:i/>
                <w:iCs/>
              </w:rPr>
              <w:t>what you will do</w:t>
            </w:r>
          </w:p>
          <w:p w14:paraId="69FDD4F2" w14:textId="77777777" w:rsidR="00C0020C" w:rsidRDefault="00000000">
            <w:pPr>
              <w:pStyle w:val="Compact"/>
              <w:numPr>
                <w:ilvl w:val="0"/>
                <w:numId w:val="8"/>
              </w:numPr>
            </w:pPr>
            <w:r>
              <w:t>We build, here, on the insights developed by A. Gelman &amp; Unwin (2013).</w:t>
            </w:r>
          </w:p>
        </w:tc>
      </w:tr>
    </w:tbl>
    <w:p w14:paraId="13B3B188" w14:textId="77777777" w:rsidR="00C0020C" w:rsidRDefault="00000000">
      <w:pPr>
        <w:pStyle w:val="Heading2"/>
      </w:pPr>
      <w:bookmarkStart w:id="6" w:name="what-are-our-goals"/>
      <w:bookmarkEnd w:id="5"/>
      <w:r>
        <w:t>7 What are our goals?</w:t>
      </w:r>
    </w:p>
    <w:p w14:paraId="6FAE7D87" w14:textId="77777777" w:rsidR="00C0020C" w:rsidRDefault="00000000">
      <w:pPr>
        <w:pStyle w:val="Compact"/>
        <w:numPr>
          <w:ilvl w:val="0"/>
          <w:numId w:val="9"/>
        </w:numPr>
      </w:pPr>
      <w:r>
        <w:t xml:space="preserve">Why don’t we just use the </w:t>
      </w:r>
      <w:r>
        <w:rPr>
          <w:i/>
          <w:iCs/>
        </w:rPr>
        <w:t>good enough</w:t>
      </w:r>
      <w:r>
        <w:t xml:space="preserve"> easy to produce plots in Excel? </w:t>
      </w:r>
      <m:oMath>
        <m:r>
          <m:rPr>
            <m:sty m:val="p"/>
          </m:rPr>
          <w:rPr>
            <w:rFonts w:ascii="Cambria Math" w:hAnsi="Cambria Math"/>
          </w:rPr>
          <m:t>→</m:t>
        </m:r>
      </m:oMath>
      <w:r>
        <w:t xml:space="preserve"> </w:t>
      </w:r>
      <w:r>
        <w:rPr>
          <w:i/>
          <w:iCs/>
        </w:rPr>
        <w:t>Why bother?</w:t>
      </w:r>
    </w:p>
    <w:p w14:paraId="14129D0E" w14:textId="77777777" w:rsidR="00C0020C" w:rsidRDefault="00000000">
      <w:pPr>
        <w:pStyle w:val="Compact"/>
        <w:numPr>
          <w:ilvl w:val="0"/>
          <w:numId w:val="9"/>
        </w:numPr>
      </w:pPr>
      <w:r>
        <w:t xml:space="preserve">Why don’t we just produce a summary table? </w:t>
      </w:r>
      <m:oMath>
        <m:r>
          <m:rPr>
            <m:sty m:val="p"/>
          </m:rPr>
          <w:rPr>
            <w:rFonts w:ascii="Cambria Math" w:hAnsi="Cambria Math"/>
          </w:rPr>
          <m:t>→</m:t>
        </m:r>
      </m:oMath>
      <w:r>
        <w:t xml:space="preserve"> </w:t>
      </w:r>
      <w:r>
        <w:rPr>
          <w:i/>
          <w:iCs/>
        </w:rPr>
        <w:t>Why bother?</w:t>
      </w:r>
    </w:p>
    <w:p w14:paraId="291FE30D" w14:textId="77777777" w:rsidR="00C0020C" w:rsidRDefault="00000000">
      <w:pPr>
        <w:pStyle w:val="Compact"/>
        <w:numPr>
          <w:ilvl w:val="0"/>
          <w:numId w:val="9"/>
        </w:numPr>
      </w:pPr>
      <w:r>
        <w:t xml:space="preserve">Are we engaged in making beautiful graphics or informative displays or both? </w:t>
      </w:r>
      <m:oMath>
        <m:r>
          <m:rPr>
            <m:sty m:val="p"/>
          </m:rPr>
          <w:rPr>
            <w:rFonts w:ascii="Cambria Math" w:hAnsi="Cambria Math"/>
          </w:rPr>
          <m:t>→</m:t>
        </m:r>
      </m:oMath>
      <w:r>
        <w:t xml:space="preserve"> </w:t>
      </w:r>
      <w:r>
        <w:rPr>
          <w:i/>
          <w:iCs/>
        </w:rPr>
        <w:t>What are we doing?</w:t>
      </w:r>
    </w:p>
    <w:p w14:paraId="47562FB5" w14:textId="77777777" w:rsidR="00C0020C" w:rsidRDefault="00000000">
      <w:pPr>
        <w:pStyle w:val="Compact"/>
        <w:numPr>
          <w:ilvl w:val="0"/>
          <w:numId w:val="9"/>
        </w:numPr>
      </w:pPr>
      <w:r>
        <w:t xml:space="preserve">In </w:t>
      </w:r>
      <w:r>
        <w:rPr>
          <w:i/>
          <w:iCs/>
        </w:rPr>
        <w:t>PSYC403</w:t>
      </w:r>
      <w:r>
        <w:t xml:space="preserve">, we look at </w:t>
      </w:r>
      <m:oMath>
        <m:r>
          <m:rPr>
            <m:sty m:val="p"/>
          </m:rPr>
          <w:rPr>
            <w:rFonts w:ascii="Cambria Math" w:hAnsi="Cambria Math"/>
          </w:rPr>
          <m:t>→</m:t>
        </m:r>
      </m:oMath>
      <w:r>
        <w:t xml:space="preserve"> </w:t>
      </w:r>
      <w:r>
        <w:rPr>
          <w:i/>
          <w:iCs/>
        </w:rPr>
        <w:t>Perspectives: the context and history of thinking about visualization</w:t>
      </w:r>
    </w:p>
    <w:p w14:paraId="5070FF41" w14:textId="77777777" w:rsidR="00C0020C" w:rsidRDefault="00000000">
      <w:pPr>
        <w:pStyle w:val="Heading2"/>
      </w:pPr>
      <w:bookmarkStart w:id="7" w:name="visualize-to-enable-comparison"/>
      <w:bookmarkEnd w:id="6"/>
      <w:r>
        <w:t>8 Visualize to enable comparison</w:t>
      </w:r>
    </w:p>
    <w:tbl>
      <w:tblPr>
        <w:tblStyle w:val="Table"/>
        <w:tblW w:w="5000" w:type="pct"/>
        <w:tblLook w:val="0000" w:firstRow="0" w:lastRow="0" w:firstColumn="0" w:lastColumn="0" w:noHBand="0" w:noVBand="0"/>
      </w:tblPr>
      <w:tblGrid>
        <w:gridCol w:w="9576"/>
      </w:tblGrid>
      <w:tr w:rsidR="00C0020C" w14:paraId="70717679" w14:textId="77777777">
        <w:tc>
          <w:tcPr>
            <w:tcW w:w="0" w:type="auto"/>
          </w:tcPr>
          <w:p w14:paraId="19FD4BEA" w14:textId="77777777" w:rsidR="00C0020C" w:rsidRDefault="00000000">
            <w:pPr>
              <w:jc w:val="center"/>
            </w:pPr>
            <w:bookmarkStart w:id="8" w:name="fig-sleep-study-scatterplot-all"/>
            <w:r>
              <w:rPr>
                <w:noProof/>
              </w:rPr>
              <w:drawing>
                <wp:inline distT="0" distB="0" distL="0" distR="0" wp14:anchorId="717AEB4E" wp14:editId="251CF5E6">
                  <wp:extent cx="3810000" cy="3788229"/>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34" name="Picture" descr="401-data-visualisation-practices-printable_files/figure-docx/fig-sleep-study-scatterplot-all-1.png"/>
                          <pic:cNvPicPr>
                            <a:picLocks noChangeAspect="1" noChangeArrowheads="1"/>
                          </pic:cNvPicPr>
                        </pic:nvPicPr>
                        <pic:blipFill>
                          <a:blip r:embed="rId8"/>
                          <a:stretch>
                            <a:fillRect/>
                          </a:stretch>
                        </pic:blipFill>
                        <pic:spPr bwMode="auto">
                          <a:xfrm>
                            <a:off x="0" y="0"/>
                            <a:ext cx="3838481" cy="3816547"/>
                          </a:xfrm>
                          <a:prstGeom prst="rect">
                            <a:avLst/>
                          </a:prstGeom>
                          <a:noFill/>
                          <a:ln w="9525">
                            <a:noFill/>
                            <a:headEnd/>
                            <a:tailEnd/>
                          </a:ln>
                        </pic:spPr>
                      </pic:pic>
                    </a:graphicData>
                  </a:graphic>
                </wp:inline>
              </w:drawing>
            </w:r>
          </w:p>
          <w:p w14:paraId="255607AE" w14:textId="77777777" w:rsidR="00C0020C" w:rsidRDefault="00000000">
            <w:pPr>
              <w:pStyle w:val="ImageCaption"/>
              <w:spacing w:before="200"/>
            </w:pPr>
            <w:r>
              <w:t xml:space="preserve">Figure 1: Scatterplot of the relation between reaction time and days in the </w:t>
            </w:r>
            <w:r>
              <w:rPr>
                <w:rStyle w:val="VerbatimChar"/>
              </w:rPr>
              <w:t>sleepstudy</w:t>
            </w:r>
            <w:r>
              <w:t xml:space="preserve"> data</w:t>
            </w:r>
          </w:p>
        </w:tc>
        <w:bookmarkEnd w:id="8"/>
      </w:tr>
    </w:tbl>
    <w:p w14:paraId="4BDAFF1C" w14:textId="77777777" w:rsidR="00C0020C" w:rsidRDefault="00000000">
      <w:pPr>
        <w:pStyle w:val="BodyText"/>
      </w:pPr>
      <w:r>
        <w:lastRenderedPageBreak/>
        <w:t xml:space="preserve"> </w:t>
      </w:r>
    </w:p>
    <w:tbl>
      <w:tblPr>
        <w:tblStyle w:val="Table"/>
        <w:tblW w:w="5000" w:type="pct"/>
        <w:tblLook w:val="0000" w:firstRow="0" w:lastRow="0" w:firstColumn="0" w:lastColumn="0" w:noHBand="0" w:noVBand="0"/>
      </w:tblPr>
      <w:tblGrid>
        <w:gridCol w:w="9576"/>
      </w:tblGrid>
      <w:tr w:rsidR="00C0020C" w14:paraId="37794B74" w14:textId="77777777">
        <w:tc>
          <w:tcPr>
            <w:tcW w:w="0" w:type="auto"/>
          </w:tcPr>
          <w:p w14:paraId="2B79B874" w14:textId="77777777" w:rsidR="00C0020C" w:rsidRDefault="00000000">
            <w:pPr>
              <w:jc w:val="center"/>
            </w:pPr>
            <w:bookmarkStart w:id="9" w:name="fig-sleep-study-scatterplot-by-subject-1"/>
            <w:r>
              <w:rPr>
                <w:noProof/>
              </w:rPr>
              <w:drawing>
                <wp:inline distT="0" distB="0" distL="0" distR="0" wp14:anchorId="4846F4D1" wp14:editId="0D50CE10">
                  <wp:extent cx="5334000" cy="3787200"/>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38" name="Picture" descr="401-data-visualisation-practices-printable_files/figure-docx/fig-sleep-study-scatterplot-by-subject-1-1.png"/>
                          <pic:cNvPicPr>
                            <a:picLocks noChangeAspect="1" noChangeArrowheads="1"/>
                          </pic:cNvPicPr>
                        </pic:nvPicPr>
                        <pic:blipFill>
                          <a:blip r:embed="rId9"/>
                          <a:stretch>
                            <a:fillRect/>
                          </a:stretch>
                        </pic:blipFill>
                        <pic:spPr bwMode="auto">
                          <a:xfrm>
                            <a:off x="0" y="0"/>
                            <a:ext cx="5334000" cy="3787200"/>
                          </a:xfrm>
                          <a:prstGeom prst="rect">
                            <a:avLst/>
                          </a:prstGeom>
                          <a:noFill/>
                          <a:ln w="9525">
                            <a:noFill/>
                            <a:headEnd/>
                            <a:tailEnd/>
                          </a:ln>
                        </pic:spPr>
                      </pic:pic>
                    </a:graphicData>
                  </a:graphic>
                </wp:inline>
              </w:drawing>
            </w:r>
          </w:p>
          <w:p w14:paraId="77A60777" w14:textId="77777777" w:rsidR="00C0020C" w:rsidRDefault="00000000">
            <w:pPr>
              <w:pStyle w:val="ImageCaption"/>
              <w:spacing w:before="200"/>
            </w:pPr>
            <w:r>
              <w:t>Figure 2: The relation between reaction time and days: here, we plot the data for each participant separately</w:t>
            </w:r>
          </w:p>
        </w:tc>
        <w:bookmarkEnd w:id="9"/>
      </w:tr>
    </w:tbl>
    <w:p w14:paraId="43507848" w14:textId="77777777" w:rsidR="00C0020C" w:rsidRDefault="00000000">
      <w:pPr>
        <w:pStyle w:val="Heading2"/>
      </w:pPr>
      <w:bookmarkStart w:id="10" w:name="what-are-our-goals-what-are-our-jobs"/>
      <w:bookmarkEnd w:id="7"/>
      <w:r>
        <w:t>9 What are our goals? — What are our jobs?</w:t>
      </w:r>
    </w:p>
    <w:p w14:paraId="01234584" w14:textId="77777777" w:rsidR="00C0020C" w:rsidRDefault="00000000">
      <w:pPr>
        <w:pStyle w:val="Compact"/>
        <w:numPr>
          <w:ilvl w:val="0"/>
          <w:numId w:val="10"/>
        </w:numPr>
      </w:pPr>
      <w:r>
        <w:rPr>
          <w:i/>
          <w:iCs/>
        </w:rPr>
        <w:t>Data visualization</w:t>
      </w:r>
      <w:r>
        <w:t xml:space="preserve"> workers: we may aim to get and keep the attention of our audience, to tell a story, to persuade our viewers</w:t>
      </w:r>
    </w:p>
    <w:p w14:paraId="412E86E2" w14:textId="77777777" w:rsidR="00C0020C" w:rsidRDefault="00000000">
      <w:pPr>
        <w:pStyle w:val="Compact"/>
        <w:numPr>
          <w:ilvl w:val="0"/>
          <w:numId w:val="10"/>
        </w:numPr>
      </w:pPr>
      <w:r>
        <w:rPr>
          <w:i/>
          <w:iCs/>
        </w:rPr>
        <w:t>Data analysis</w:t>
      </w:r>
      <w:r>
        <w:t xml:space="preserve"> workers: we may aim to enable our audience to understand our data, our findings, and to discover more for themselves</w:t>
      </w:r>
    </w:p>
    <w:p w14:paraId="30F97335" w14:textId="77777777" w:rsidR="00C0020C" w:rsidRDefault="00000000">
      <w:pPr>
        <w:pStyle w:val="Heading2"/>
      </w:pPr>
      <w:bookmarkStart w:id="11" w:name="X80124014c909a9ec0dc9acea64d681574982a0c"/>
      <w:bookmarkEnd w:id="10"/>
      <w:r>
        <w:t>10 What are our goals? — Where or when are we in our process?</w:t>
      </w:r>
    </w:p>
    <w:p w14:paraId="6CC574CB" w14:textId="77777777" w:rsidR="00C0020C" w:rsidRDefault="00000000">
      <w:pPr>
        <w:pStyle w:val="Compact"/>
        <w:numPr>
          <w:ilvl w:val="0"/>
          <w:numId w:val="11"/>
        </w:numPr>
      </w:pPr>
      <w:r>
        <w:t xml:space="preserve">Sometimes in a </w:t>
      </w:r>
      <w:r>
        <w:rPr>
          <w:i/>
          <w:iCs/>
        </w:rPr>
        <w:t>workflow</w:t>
      </w:r>
      <w:r>
        <w:t>, we are quickly sketching draft visualizations: exploring, for ourselves, or with others, what we can see in our data</w:t>
      </w:r>
    </w:p>
    <w:p w14:paraId="6E1E86F4" w14:textId="77777777" w:rsidR="00C0020C" w:rsidRDefault="00000000">
      <w:pPr>
        <w:pStyle w:val="Compact"/>
        <w:numPr>
          <w:ilvl w:val="0"/>
          <w:numId w:val="11"/>
        </w:numPr>
      </w:pPr>
      <w:r>
        <w:t>Sometimes, we are ready to present our visualization to a wider audience: we aim to share a polished visual object</w:t>
      </w:r>
    </w:p>
    <w:p w14:paraId="242C3E8C" w14:textId="77777777" w:rsidR="00C0020C" w:rsidRDefault="00000000">
      <w:pPr>
        <w:pStyle w:val="Heading2"/>
      </w:pPr>
      <w:bookmarkStart w:id="12" w:name="what-are-our-goals-discovery"/>
      <w:bookmarkEnd w:id="11"/>
      <w:r>
        <w:t>11 What are our goals? — Discovery</w:t>
      </w:r>
    </w:p>
    <w:p w14:paraId="506836BB" w14:textId="77777777" w:rsidR="00C0020C" w:rsidRDefault="00000000">
      <w:pPr>
        <w:pStyle w:val="FirstParagraph"/>
      </w:pPr>
      <w:r>
        <w:rPr>
          <w:i/>
          <w:iCs/>
        </w:rPr>
        <w:t>Discovery goals</w:t>
      </w:r>
    </w:p>
    <w:p w14:paraId="490894C6" w14:textId="77777777" w:rsidR="00C0020C" w:rsidRDefault="00000000">
      <w:pPr>
        <w:pStyle w:val="Compact"/>
        <w:numPr>
          <w:ilvl w:val="0"/>
          <w:numId w:val="12"/>
        </w:numPr>
      </w:pPr>
      <w:r>
        <w:t>Do we need an overview? – To get a sense of what is in the data, and to check our assumptions</w:t>
      </w:r>
    </w:p>
    <w:p w14:paraId="69405EE5" w14:textId="77777777" w:rsidR="00C0020C" w:rsidRDefault="00000000">
      <w:pPr>
        <w:pStyle w:val="Compact"/>
        <w:numPr>
          <w:ilvl w:val="0"/>
          <w:numId w:val="12"/>
        </w:numPr>
      </w:pPr>
      <w:r>
        <w:lastRenderedPageBreak/>
        <w:t>Are we looking for the unexpected? – Comparing groups to check for variability, exploring data open to surprises</w:t>
      </w:r>
    </w:p>
    <w:p w14:paraId="658577C4" w14:textId="77777777" w:rsidR="00C0020C" w:rsidRDefault="00000000">
      <w:pPr>
        <w:pStyle w:val="Heading2"/>
      </w:pPr>
      <w:bookmarkStart w:id="13" w:name="what-are-our-goals-communication"/>
      <w:bookmarkEnd w:id="12"/>
      <w:r>
        <w:t>12 What are our goals? — Communication</w:t>
      </w:r>
    </w:p>
    <w:p w14:paraId="4C508EB7" w14:textId="77777777" w:rsidR="00C0020C" w:rsidRDefault="00000000">
      <w:pPr>
        <w:pStyle w:val="FirstParagraph"/>
      </w:pPr>
      <w:r>
        <w:rPr>
          <w:i/>
          <w:iCs/>
        </w:rPr>
        <w:t>Communication goals</w:t>
      </w:r>
    </w:p>
    <w:p w14:paraId="497FEDA1" w14:textId="77777777" w:rsidR="00C0020C" w:rsidRDefault="00000000">
      <w:pPr>
        <w:pStyle w:val="Compact"/>
        <w:numPr>
          <w:ilvl w:val="0"/>
          <w:numId w:val="13"/>
        </w:numPr>
      </w:pPr>
      <w:r>
        <w:t>What do we need our audience to understand?</w:t>
      </w:r>
    </w:p>
    <w:p w14:paraId="4BCC0996" w14:textId="77777777" w:rsidR="00C0020C" w:rsidRDefault="00000000">
      <w:pPr>
        <w:pStyle w:val="Compact"/>
        <w:numPr>
          <w:ilvl w:val="0"/>
          <w:numId w:val="13"/>
        </w:numPr>
      </w:pPr>
      <w:r>
        <w:t>What story are we telling?</w:t>
      </w:r>
    </w:p>
    <w:p w14:paraId="6D989FFF" w14:textId="77777777" w:rsidR="00C0020C" w:rsidRDefault="00000000">
      <w:pPr>
        <w:pStyle w:val="Compact"/>
        <w:numPr>
          <w:ilvl w:val="0"/>
          <w:numId w:val="13"/>
        </w:numPr>
      </w:pPr>
      <w:r>
        <w:t>Do we need to attract attention or stimulate interest?</w:t>
      </w:r>
    </w:p>
    <w:p w14:paraId="133EF80B" w14:textId="77777777" w:rsidR="00C0020C" w:rsidRDefault="00000000">
      <w:pPr>
        <w:pStyle w:val="Heading2"/>
      </w:pPr>
      <w:bookmarkStart w:id="14" w:name="Xf0369450d59c1dfc34bf8a462b13ad2da8bbc5d"/>
      <w:bookmarkEnd w:id="13"/>
      <w:r>
        <w:t>13 Think about your audience – An evidence based account of what works</w:t>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648"/>
      </w:tblGrid>
      <w:tr w:rsidR="00C0020C" w14:paraId="348C642E" w14:textId="77777777" w:rsidTr="00C0020C">
        <w:trPr>
          <w:cantSplit/>
        </w:trPr>
        <w:tc>
          <w:tcPr>
            <w:tcW w:w="0" w:type="auto"/>
            <w:shd w:val="clear" w:color="auto" w:fill="CCF1E3"/>
            <w:tcMar>
              <w:top w:w="92" w:type="dxa"/>
              <w:bottom w:w="92" w:type="dxa"/>
            </w:tcMar>
          </w:tcPr>
          <w:p w14:paraId="71BE81F4" w14:textId="77777777" w:rsidR="00C0020C" w:rsidRDefault="00000000">
            <w:pPr>
              <w:pStyle w:val="FirstParagraph"/>
              <w:spacing w:before="0" w:after="0"/>
              <w:textAlignment w:val="center"/>
            </w:pPr>
            <w:r>
              <w:rPr>
                <w:noProof/>
              </w:rPr>
              <w:drawing>
                <wp:inline distT="0" distB="0" distL="0" distR="0" wp14:anchorId="37D2F3F8" wp14:editId="32E64251">
                  <wp:extent cx="152400" cy="152400"/>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46" name="Picture" descr="/Applications/RStudio.app/Contents/Resources/app/quarto/share/formats/docx/tip.png"/>
                          <pic:cNvPicPr>
                            <a:picLocks noChangeAspect="1" noChangeArrowheads="1"/>
                          </pic:cNvPicPr>
                        </pic:nvPicPr>
                        <pic:blipFill>
                          <a:blip r:embed="rId7"/>
                          <a:stretch>
                            <a:fillRect/>
                          </a:stretch>
                        </pic:blipFill>
                        <pic:spPr bwMode="auto">
                          <a:xfrm>
                            <a:off x="0" y="0"/>
                            <a:ext cx="152400" cy="152400"/>
                          </a:xfrm>
                          <a:prstGeom prst="rect">
                            <a:avLst/>
                          </a:prstGeom>
                          <a:noFill/>
                          <a:ln w="9525">
                            <a:noFill/>
                            <a:headEnd/>
                            <a:tailEnd/>
                          </a:ln>
                        </pic:spPr>
                      </pic:pic>
                    </a:graphicData>
                  </a:graphic>
                </wp:inline>
              </w:drawing>
            </w:r>
            <w:r>
              <w:t xml:space="preserve">  Tip</w:t>
            </w:r>
          </w:p>
        </w:tc>
      </w:tr>
      <w:tr w:rsidR="00C0020C" w14:paraId="124FB6AA" w14:textId="77777777" w:rsidTr="00C0020C">
        <w:trPr>
          <w:cantSplit/>
        </w:trPr>
        <w:tc>
          <w:tcPr>
            <w:tcW w:w="0" w:type="auto"/>
            <w:tcMar>
              <w:top w:w="108" w:type="dxa"/>
              <w:bottom w:w="108" w:type="dxa"/>
            </w:tcMar>
          </w:tcPr>
          <w:p w14:paraId="08EBF9D4" w14:textId="77777777" w:rsidR="00C0020C" w:rsidRDefault="00000000">
            <w:pPr>
              <w:pStyle w:val="Compact"/>
              <w:numPr>
                <w:ilvl w:val="0"/>
                <w:numId w:val="14"/>
              </w:numPr>
            </w:pPr>
            <w:r>
              <w:t xml:space="preserve">We will produce more effective visualizations if we think about how our audience </w:t>
            </w:r>
            <w:r>
              <w:rPr>
                <w:i/>
                <w:iCs/>
              </w:rPr>
              <w:t>sees</w:t>
            </w:r>
            <w:r>
              <w:t xml:space="preserve">, and what they </w:t>
            </w:r>
            <w:r>
              <w:rPr>
                <w:i/>
                <w:iCs/>
              </w:rPr>
              <w:t>expect</w:t>
            </w:r>
            <w:r>
              <w:t xml:space="preserve"> (Franconeri et al., 2021)</w:t>
            </w:r>
          </w:p>
          <w:p w14:paraId="5FDBE792" w14:textId="77777777" w:rsidR="00C0020C" w:rsidRDefault="00000000">
            <w:pPr>
              <w:pStyle w:val="Compact"/>
              <w:numPr>
                <w:ilvl w:val="0"/>
                <w:numId w:val="14"/>
              </w:numPr>
            </w:pPr>
            <w:r>
              <w:t xml:space="preserve">Check out the </w:t>
            </w:r>
            <w:r>
              <w:rPr>
                <w:i/>
                <w:iCs/>
              </w:rPr>
              <w:t>PSYC403 Perspectives</w:t>
            </w:r>
            <w:r>
              <w:t xml:space="preserve"> lecture for more in-depth explanation; here, I present a selective summary</w:t>
            </w:r>
          </w:p>
        </w:tc>
      </w:tr>
    </w:tbl>
    <w:p w14:paraId="171F5D72" w14:textId="77777777" w:rsidR="00C0020C" w:rsidRDefault="00000000">
      <w:pPr>
        <w:pStyle w:val="Heading2"/>
      </w:pPr>
      <w:bookmarkStart w:id="15" w:name="X417ecfba69fb02ccdd32fde8b558ebc34185a5b"/>
      <w:bookmarkEnd w:id="14"/>
      <w:r>
        <w:t>14 The human visual system is highly developed</w:t>
      </w:r>
    </w:p>
    <w:p w14:paraId="29508F0B" w14:textId="77777777" w:rsidR="00C0020C" w:rsidRDefault="00000000">
      <w:pPr>
        <w:pStyle w:val="Compact"/>
        <w:numPr>
          <w:ilvl w:val="0"/>
          <w:numId w:val="15"/>
        </w:numPr>
      </w:pPr>
      <w:r>
        <w:t>Your audience can look at your visualization</w:t>
      </w:r>
    </w:p>
    <w:p w14:paraId="128C6E6B" w14:textId="77777777" w:rsidR="00C0020C" w:rsidRDefault="00000000">
      <w:pPr>
        <w:pStyle w:val="Compact"/>
        <w:numPr>
          <w:ilvl w:val="0"/>
          <w:numId w:val="15"/>
        </w:numPr>
      </w:pPr>
      <w:r>
        <w:t>And quickly and easily extract statistical information from what you show</w:t>
      </w:r>
    </w:p>
    <w:p w14:paraId="3074B50C" w14:textId="77777777" w:rsidR="00C0020C" w:rsidRDefault="00000000">
      <w:pPr>
        <w:pStyle w:val="Compact"/>
        <w:numPr>
          <w:ilvl w:val="0"/>
          <w:numId w:val="15"/>
        </w:numPr>
      </w:pPr>
      <w:r>
        <w:t>You look at a scatterplot and see the minimum, maximum and mean heights of the points</w:t>
      </w:r>
    </w:p>
    <w:tbl>
      <w:tblPr>
        <w:tblStyle w:val="Table"/>
        <w:tblW w:w="5000" w:type="pct"/>
        <w:tblLook w:val="0000" w:firstRow="0" w:lastRow="0" w:firstColumn="0" w:lastColumn="0" w:noHBand="0" w:noVBand="0"/>
      </w:tblPr>
      <w:tblGrid>
        <w:gridCol w:w="9576"/>
      </w:tblGrid>
      <w:tr w:rsidR="00C0020C" w14:paraId="15E086A4" w14:textId="77777777">
        <w:tc>
          <w:tcPr>
            <w:tcW w:w="0" w:type="auto"/>
          </w:tcPr>
          <w:p w14:paraId="08524D5A" w14:textId="77777777" w:rsidR="00C0020C" w:rsidRDefault="00000000">
            <w:pPr>
              <w:jc w:val="center"/>
            </w:pPr>
            <w:r>
              <w:rPr>
                <w:noProof/>
              </w:rPr>
              <w:lastRenderedPageBreak/>
              <w:drawing>
                <wp:inline distT="0" distB="0" distL="0" distR="0" wp14:anchorId="468AF35E" wp14:editId="4A0F98C4">
                  <wp:extent cx="2097365" cy="7225678"/>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50" name="Picture" descr="franconeri_2021_fig2_global-statistics.png"/>
                          <pic:cNvPicPr>
                            <a:picLocks noChangeAspect="1" noChangeArrowheads="1"/>
                          </pic:cNvPicPr>
                        </pic:nvPicPr>
                        <pic:blipFill>
                          <a:blip r:embed="rId10"/>
                          <a:stretch>
                            <a:fillRect/>
                          </a:stretch>
                        </pic:blipFill>
                        <pic:spPr bwMode="auto">
                          <a:xfrm>
                            <a:off x="0" y="0"/>
                            <a:ext cx="2097365" cy="7225678"/>
                          </a:xfrm>
                          <a:prstGeom prst="rect">
                            <a:avLst/>
                          </a:prstGeom>
                          <a:noFill/>
                          <a:ln w="9525">
                            <a:noFill/>
                            <a:headEnd/>
                            <a:tailEnd/>
                          </a:ln>
                        </pic:spPr>
                      </pic:pic>
                    </a:graphicData>
                  </a:graphic>
                </wp:inline>
              </w:drawing>
            </w:r>
          </w:p>
          <w:p w14:paraId="586E2DD1" w14:textId="77777777" w:rsidR="00C0020C" w:rsidRDefault="00000000">
            <w:pPr>
              <w:pStyle w:val="ImageCaption"/>
              <w:spacing w:before="200"/>
            </w:pPr>
            <w:r>
              <w:t>Franconeri et al. (2021) Fig. 2</w:t>
            </w:r>
          </w:p>
        </w:tc>
      </w:tr>
    </w:tbl>
    <w:p w14:paraId="619A01A4" w14:textId="77777777" w:rsidR="00C0020C" w:rsidRDefault="00000000">
      <w:pPr>
        <w:pStyle w:val="Heading2"/>
      </w:pPr>
      <w:bookmarkStart w:id="16" w:name="communicating-uncertainty-is-critical"/>
      <w:bookmarkEnd w:id="15"/>
      <w:r>
        <w:t>15 Communicating uncertainty is critical</w:t>
      </w:r>
    </w:p>
    <w:p w14:paraId="6C3DD607" w14:textId="77777777" w:rsidR="00C0020C" w:rsidRDefault="00000000">
      <w:pPr>
        <w:pStyle w:val="Compact"/>
        <w:numPr>
          <w:ilvl w:val="0"/>
          <w:numId w:val="16"/>
        </w:numPr>
      </w:pPr>
      <w:r>
        <w:t>As scientists, we think about uncertainty all the time</w:t>
      </w:r>
    </w:p>
    <w:p w14:paraId="1B48C880" w14:textId="77777777" w:rsidR="00C0020C" w:rsidRDefault="00000000">
      <w:pPr>
        <w:pStyle w:val="Compact"/>
        <w:numPr>
          <w:ilvl w:val="0"/>
          <w:numId w:val="16"/>
        </w:numPr>
      </w:pPr>
      <w:r>
        <w:lastRenderedPageBreak/>
        <w:t>We quantify and typically show uncertainty over estimates e.g. average differences</w:t>
      </w:r>
    </w:p>
    <w:p w14:paraId="52409703" w14:textId="77777777" w:rsidR="00C0020C" w:rsidRDefault="00000000">
      <w:pPr>
        <w:pStyle w:val="Compact"/>
        <w:numPr>
          <w:ilvl w:val="0"/>
          <w:numId w:val="16"/>
        </w:numPr>
      </w:pPr>
      <w:r>
        <w:t xml:space="preserve">We should also show </w:t>
      </w:r>
      <w:r>
        <w:rPr>
          <w:i/>
          <w:iCs/>
        </w:rPr>
        <w:t>and think about</w:t>
      </w:r>
      <w:r>
        <w:t xml:space="preserve"> outcome variability</w:t>
      </w:r>
    </w:p>
    <w:tbl>
      <w:tblPr>
        <w:tblStyle w:val="Table"/>
        <w:tblW w:w="5000" w:type="pct"/>
        <w:tblLook w:val="0000" w:firstRow="0" w:lastRow="0" w:firstColumn="0" w:lastColumn="0" w:noHBand="0" w:noVBand="0"/>
      </w:tblPr>
      <w:tblGrid>
        <w:gridCol w:w="9576"/>
      </w:tblGrid>
      <w:tr w:rsidR="00C0020C" w14:paraId="0C27C0C5" w14:textId="77777777">
        <w:tc>
          <w:tcPr>
            <w:tcW w:w="0" w:type="auto"/>
          </w:tcPr>
          <w:p w14:paraId="12EE36FE" w14:textId="77777777" w:rsidR="00C0020C" w:rsidRDefault="00000000">
            <w:pPr>
              <w:jc w:val="center"/>
            </w:pPr>
            <w:r>
              <w:rPr>
                <w:noProof/>
              </w:rPr>
              <w:drawing>
                <wp:inline distT="0" distB="0" distL="0" distR="0" wp14:anchorId="3AEC62F3" wp14:editId="12CF0FED">
                  <wp:extent cx="3604001" cy="3091543"/>
                  <wp:effectExtent l="0" t="0" r="0" b="0"/>
                  <wp:docPr id="5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descr="zhang_et_al_2023_An_illusion_of_predictability_in_scientific_results_--_Even_experts_confuse_inferential_uncertainty_and_outcome_variability.png"/>
                          <pic:cNvPicPr>
                            <a:picLocks noChangeAspect="1" noChangeArrowheads="1"/>
                          </pic:cNvPicPr>
                        </pic:nvPicPr>
                        <pic:blipFill>
                          <a:blip r:embed="rId11"/>
                          <a:stretch>
                            <a:fillRect/>
                          </a:stretch>
                        </pic:blipFill>
                        <pic:spPr bwMode="auto">
                          <a:xfrm>
                            <a:off x="0" y="0"/>
                            <a:ext cx="3643207" cy="3125174"/>
                          </a:xfrm>
                          <a:prstGeom prst="rect">
                            <a:avLst/>
                          </a:prstGeom>
                          <a:noFill/>
                          <a:ln w="9525">
                            <a:noFill/>
                            <a:headEnd/>
                            <a:tailEnd/>
                          </a:ln>
                        </pic:spPr>
                      </pic:pic>
                    </a:graphicData>
                  </a:graphic>
                </wp:inline>
              </w:drawing>
            </w:r>
          </w:p>
          <w:p w14:paraId="57C06D23" w14:textId="77777777" w:rsidR="00C0020C" w:rsidRDefault="00000000">
            <w:pPr>
              <w:pStyle w:val="ImageCaption"/>
              <w:spacing w:before="200"/>
            </w:pPr>
            <w:r>
              <w:t>Zhang et al. (2023): The difference between uncertainty over estimates and uncertainty over the predictability of outcomes</w:t>
            </w:r>
          </w:p>
        </w:tc>
      </w:tr>
    </w:tbl>
    <w:p w14:paraId="6C1AEC01" w14:textId="77777777" w:rsidR="00C0020C" w:rsidRDefault="00000000">
      <w:pPr>
        <w:pStyle w:val="Heading2"/>
      </w:pPr>
      <w:bookmarkStart w:id="17" w:name="consider-accessibility-from-the-start"/>
      <w:bookmarkEnd w:id="16"/>
      <w:r>
        <w:t>16 Consider accessibility from the start</w:t>
      </w:r>
    </w:p>
    <w:p w14:paraId="5FDCC32B" w14:textId="77777777" w:rsidR="00C0020C" w:rsidRDefault="00000000">
      <w:pPr>
        <w:pStyle w:val="Compact"/>
        <w:numPr>
          <w:ilvl w:val="0"/>
          <w:numId w:val="17"/>
        </w:numPr>
      </w:pPr>
      <w:r>
        <w:t>The first row shows a scatterplot encoded with two colors, green and orange</w:t>
      </w:r>
    </w:p>
    <w:p w14:paraId="33383C89" w14:textId="77777777" w:rsidR="00C0020C" w:rsidRDefault="00000000">
      <w:pPr>
        <w:pStyle w:val="Compact"/>
        <w:numPr>
          <w:ilvl w:val="0"/>
          <w:numId w:val="17"/>
        </w:numPr>
      </w:pPr>
      <w:r>
        <w:t>People with typical vision can see that the green dots have a steep positive correlation and the orange dots make a flat line</w:t>
      </w:r>
    </w:p>
    <w:p w14:paraId="0F772D89" w14:textId="77777777" w:rsidR="00C0020C" w:rsidRDefault="00000000">
      <w:pPr>
        <w:pStyle w:val="Compact"/>
        <w:numPr>
          <w:ilvl w:val="0"/>
          <w:numId w:val="17"/>
        </w:numPr>
      </w:pPr>
      <w:r>
        <w:t>We use colour blindness friendly colour palettes</w:t>
      </w:r>
    </w:p>
    <w:tbl>
      <w:tblPr>
        <w:tblStyle w:val="Table"/>
        <w:tblW w:w="5000" w:type="pct"/>
        <w:tblLook w:val="0000" w:firstRow="0" w:lastRow="0" w:firstColumn="0" w:lastColumn="0" w:noHBand="0" w:noVBand="0"/>
      </w:tblPr>
      <w:tblGrid>
        <w:gridCol w:w="9576"/>
      </w:tblGrid>
      <w:tr w:rsidR="00C0020C" w14:paraId="236AAF72" w14:textId="77777777">
        <w:tc>
          <w:tcPr>
            <w:tcW w:w="0" w:type="auto"/>
          </w:tcPr>
          <w:p w14:paraId="6A1AAB79" w14:textId="77777777" w:rsidR="00C0020C" w:rsidRDefault="00000000">
            <w:pPr>
              <w:jc w:val="center"/>
            </w:pPr>
            <w:r>
              <w:rPr>
                <w:noProof/>
              </w:rPr>
              <w:lastRenderedPageBreak/>
              <w:drawing>
                <wp:inline distT="0" distB="0" distL="0" distR="0" wp14:anchorId="3318CA07" wp14:editId="5C82F997">
                  <wp:extent cx="2593218" cy="3222171"/>
                  <wp:effectExtent l="0" t="0" r="0" b="0"/>
                  <wp:docPr id="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descr="franconeri_2021_fig5-colour-blindness.png"/>
                          <pic:cNvPicPr>
                            <a:picLocks noChangeAspect="1" noChangeArrowheads="1"/>
                          </pic:cNvPicPr>
                        </pic:nvPicPr>
                        <pic:blipFill>
                          <a:blip r:embed="rId12"/>
                          <a:stretch>
                            <a:fillRect/>
                          </a:stretch>
                        </pic:blipFill>
                        <pic:spPr bwMode="auto">
                          <a:xfrm>
                            <a:off x="0" y="0"/>
                            <a:ext cx="2609914" cy="3242917"/>
                          </a:xfrm>
                          <a:prstGeom prst="rect">
                            <a:avLst/>
                          </a:prstGeom>
                          <a:noFill/>
                          <a:ln w="9525">
                            <a:noFill/>
                            <a:headEnd/>
                            <a:tailEnd/>
                          </a:ln>
                        </pic:spPr>
                      </pic:pic>
                    </a:graphicData>
                  </a:graphic>
                </wp:inline>
              </w:drawing>
            </w:r>
          </w:p>
          <w:p w14:paraId="1C311E78" w14:textId="77777777" w:rsidR="00C0020C" w:rsidRDefault="00000000">
            <w:pPr>
              <w:pStyle w:val="ImageCaption"/>
              <w:spacing w:before="200"/>
            </w:pPr>
            <w:r>
              <w:t>Franconeri et al. (2021) Fig.5</w:t>
            </w:r>
          </w:p>
        </w:tc>
      </w:tr>
    </w:tbl>
    <w:p w14:paraId="4ED977B0" w14:textId="77777777" w:rsidR="00C0020C" w:rsidRDefault="00000000">
      <w:pPr>
        <w:pStyle w:val="Heading2"/>
      </w:pPr>
      <w:bookmarkStart w:id="18" w:name="X468e53c9d3c0652788e5b28fca9dab4bc3e9e56"/>
      <w:bookmarkEnd w:id="17"/>
      <w:r>
        <w:t>17 Development – Work reflectively through a development process</w:t>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648"/>
      </w:tblGrid>
      <w:tr w:rsidR="00C0020C" w14:paraId="0A7C7C54" w14:textId="77777777" w:rsidTr="00C0020C">
        <w:trPr>
          <w:cantSplit/>
        </w:trPr>
        <w:tc>
          <w:tcPr>
            <w:tcW w:w="0" w:type="auto"/>
            <w:shd w:val="clear" w:color="auto" w:fill="CCF1E3"/>
            <w:tcMar>
              <w:top w:w="92" w:type="dxa"/>
              <w:bottom w:w="92" w:type="dxa"/>
            </w:tcMar>
          </w:tcPr>
          <w:p w14:paraId="07D17B86" w14:textId="77777777" w:rsidR="00C0020C" w:rsidRDefault="00000000">
            <w:pPr>
              <w:pStyle w:val="FirstParagraph"/>
              <w:spacing w:before="0" w:after="0"/>
              <w:textAlignment w:val="center"/>
            </w:pPr>
            <w:r>
              <w:rPr>
                <w:noProof/>
              </w:rPr>
              <w:drawing>
                <wp:inline distT="0" distB="0" distL="0" distR="0" wp14:anchorId="1E6965DB" wp14:editId="4C7551FB">
                  <wp:extent cx="152400" cy="152400"/>
                  <wp:effectExtent l="0" t="0" r="0" b="0"/>
                  <wp:docPr id="60" name="Picture"/>
                  <wp:cNvGraphicFramePr/>
                  <a:graphic xmlns:a="http://schemas.openxmlformats.org/drawingml/2006/main">
                    <a:graphicData uri="http://schemas.openxmlformats.org/drawingml/2006/picture">
                      <pic:pic xmlns:pic="http://schemas.openxmlformats.org/drawingml/2006/picture">
                        <pic:nvPicPr>
                          <pic:cNvPr id="61" name="Picture" descr="/Applications/RStudio.app/Contents/Resources/app/quarto/share/formats/docx/tip.png"/>
                          <pic:cNvPicPr>
                            <a:picLocks noChangeAspect="1" noChangeArrowheads="1"/>
                          </pic:cNvPicPr>
                        </pic:nvPicPr>
                        <pic:blipFill>
                          <a:blip r:embed="rId7"/>
                          <a:stretch>
                            <a:fillRect/>
                          </a:stretch>
                        </pic:blipFill>
                        <pic:spPr bwMode="auto">
                          <a:xfrm>
                            <a:off x="0" y="0"/>
                            <a:ext cx="152400" cy="152400"/>
                          </a:xfrm>
                          <a:prstGeom prst="rect">
                            <a:avLst/>
                          </a:prstGeom>
                          <a:noFill/>
                          <a:ln w="9525">
                            <a:noFill/>
                            <a:headEnd/>
                            <a:tailEnd/>
                          </a:ln>
                        </pic:spPr>
                      </pic:pic>
                    </a:graphicData>
                  </a:graphic>
                </wp:inline>
              </w:drawing>
            </w:r>
            <w:r>
              <w:t xml:space="preserve">  Tip</w:t>
            </w:r>
          </w:p>
        </w:tc>
      </w:tr>
      <w:tr w:rsidR="00C0020C" w14:paraId="413C6D5F" w14:textId="77777777" w:rsidTr="00C0020C">
        <w:trPr>
          <w:cantSplit/>
        </w:trPr>
        <w:tc>
          <w:tcPr>
            <w:tcW w:w="0" w:type="auto"/>
            <w:tcMar>
              <w:top w:w="108" w:type="dxa"/>
              <w:bottom w:w="108" w:type="dxa"/>
            </w:tcMar>
          </w:tcPr>
          <w:p w14:paraId="64BA6247" w14:textId="77777777" w:rsidR="00C0020C" w:rsidRDefault="00000000">
            <w:pPr>
              <w:pStyle w:val="Compact"/>
              <w:numPr>
                <w:ilvl w:val="0"/>
                <w:numId w:val="18"/>
              </w:numPr>
            </w:pPr>
            <w:r>
              <w:t>Your first question is always going to be: (why) do we need to make a plot?</w:t>
            </w:r>
          </w:p>
          <w:p w14:paraId="5D592DBC" w14:textId="77777777" w:rsidR="00C0020C" w:rsidRDefault="00000000">
            <w:pPr>
              <w:pStyle w:val="Compact"/>
              <w:numPr>
                <w:ilvl w:val="0"/>
                <w:numId w:val="18"/>
              </w:numPr>
            </w:pPr>
            <w:r>
              <w:t>Your answer will evolve through a development process that will gradually reveal the characteristics of your data</w:t>
            </w:r>
          </w:p>
        </w:tc>
      </w:tr>
    </w:tbl>
    <w:p w14:paraId="463CBAD1" w14:textId="77777777" w:rsidR="00C0020C" w:rsidRDefault="00000000">
      <w:pPr>
        <w:pStyle w:val="Heading2"/>
      </w:pPr>
      <w:bookmarkStart w:id="19" w:name="X06d02494861ad78bb6ba26bbc8789c1e176e81f"/>
      <w:bookmarkEnd w:id="18"/>
      <w:r>
        <w:t>18 The benefits of investing in the development process</w:t>
      </w:r>
    </w:p>
    <w:p w14:paraId="22D7AD95" w14:textId="77777777" w:rsidR="00C0020C" w:rsidRDefault="00000000">
      <w:pPr>
        <w:pStyle w:val="Compact"/>
        <w:numPr>
          <w:ilvl w:val="0"/>
          <w:numId w:val="19"/>
        </w:numPr>
      </w:pPr>
      <w:r>
        <w:t>Identifying your goals enables you to understand what you are doing and why</w:t>
      </w:r>
    </w:p>
    <w:p w14:paraId="472AF5CF" w14:textId="77777777" w:rsidR="00C0020C" w:rsidRDefault="00000000">
      <w:pPr>
        <w:pStyle w:val="Compact"/>
        <w:numPr>
          <w:ilvl w:val="0"/>
          <w:numId w:val="19"/>
        </w:numPr>
      </w:pPr>
      <w:r>
        <w:t xml:space="preserve">Through the development process, you may create different versions — </w:t>
      </w:r>
      <w:r>
        <w:rPr>
          <w:i/>
          <w:iCs/>
        </w:rPr>
        <w:t>iterations</w:t>
      </w:r>
      <w:r>
        <w:t xml:space="preserve"> — of a plot</w:t>
      </w:r>
    </w:p>
    <w:p w14:paraId="5624E761" w14:textId="77777777" w:rsidR="00C0020C" w:rsidRDefault="00000000">
      <w:pPr>
        <w:pStyle w:val="Compact"/>
        <w:numPr>
          <w:ilvl w:val="0"/>
          <w:numId w:val="19"/>
        </w:numPr>
      </w:pPr>
      <w:r>
        <w:t>This iterative work benefits both you and your audience (A. Gelman et al., 2002; Kastellec &amp; Leoni, 2007)</w:t>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648"/>
      </w:tblGrid>
      <w:tr w:rsidR="00C0020C" w14:paraId="429A6003" w14:textId="77777777" w:rsidTr="00C0020C">
        <w:trPr>
          <w:cantSplit/>
        </w:trPr>
        <w:tc>
          <w:tcPr>
            <w:tcW w:w="0" w:type="auto"/>
            <w:shd w:val="clear" w:color="auto" w:fill="CCF1E3"/>
            <w:tcMar>
              <w:top w:w="92" w:type="dxa"/>
              <w:bottom w:w="92" w:type="dxa"/>
            </w:tcMar>
          </w:tcPr>
          <w:p w14:paraId="60CD64A1" w14:textId="77777777" w:rsidR="00C0020C" w:rsidRDefault="00000000">
            <w:pPr>
              <w:pStyle w:val="FirstParagraph"/>
              <w:spacing w:before="0" w:after="0"/>
              <w:textAlignment w:val="center"/>
            </w:pPr>
            <w:r>
              <w:rPr>
                <w:noProof/>
              </w:rPr>
              <w:drawing>
                <wp:inline distT="0" distB="0" distL="0" distR="0" wp14:anchorId="4BD6F8B4" wp14:editId="110FE829">
                  <wp:extent cx="152400" cy="152400"/>
                  <wp:effectExtent l="0" t="0" r="0" b="0"/>
                  <wp:docPr id="63" name="Picture"/>
                  <wp:cNvGraphicFramePr/>
                  <a:graphic xmlns:a="http://schemas.openxmlformats.org/drawingml/2006/main">
                    <a:graphicData uri="http://schemas.openxmlformats.org/drawingml/2006/picture">
                      <pic:pic xmlns:pic="http://schemas.openxmlformats.org/drawingml/2006/picture">
                        <pic:nvPicPr>
                          <pic:cNvPr id="64" name="Picture" descr="/Applications/RStudio.app/Contents/Resources/app/quarto/share/formats/docx/tip.png"/>
                          <pic:cNvPicPr>
                            <a:picLocks noChangeAspect="1" noChangeArrowheads="1"/>
                          </pic:cNvPicPr>
                        </pic:nvPicPr>
                        <pic:blipFill>
                          <a:blip r:embed="rId7"/>
                          <a:stretch>
                            <a:fillRect/>
                          </a:stretch>
                        </pic:blipFill>
                        <pic:spPr bwMode="auto">
                          <a:xfrm>
                            <a:off x="0" y="0"/>
                            <a:ext cx="152400" cy="152400"/>
                          </a:xfrm>
                          <a:prstGeom prst="rect">
                            <a:avLst/>
                          </a:prstGeom>
                          <a:noFill/>
                          <a:ln w="9525">
                            <a:noFill/>
                            <a:headEnd/>
                            <a:tailEnd/>
                          </a:ln>
                        </pic:spPr>
                      </pic:pic>
                    </a:graphicData>
                  </a:graphic>
                </wp:inline>
              </w:drawing>
            </w:r>
            <w:r>
              <w:t xml:space="preserve">  Tip</w:t>
            </w:r>
          </w:p>
        </w:tc>
      </w:tr>
      <w:tr w:rsidR="00C0020C" w14:paraId="39F85318" w14:textId="77777777" w:rsidTr="00C0020C">
        <w:trPr>
          <w:cantSplit/>
        </w:trPr>
        <w:tc>
          <w:tcPr>
            <w:tcW w:w="0" w:type="auto"/>
            <w:tcMar>
              <w:top w:w="108" w:type="dxa"/>
              <w:bottom w:w="108" w:type="dxa"/>
            </w:tcMar>
          </w:tcPr>
          <w:p w14:paraId="37621FAB" w14:textId="77777777" w:rsidR="00C0020C" w:rsidRDefault="00000000">
            <w:pPr>
              <w:pStyle w:val="Compact"/>
              <w:numPr>
                <w:ilvl w:val="0"/>
                <w:numId w:val="20"/>
              </w:numPr>
            </w:pPr>
            <w:r>
              <w:t xml:space="preserve">As you iterate, </w:t>
            </w:r>
            <w:r>
              <w:rPr>
                <w:b/>
                <w:bCs/>
              </w:rPr>
              <w:t>reflect</w:t>
            </w:r>
            <w:r>
              <w:t xml:space="preserve"> on what your </w:t>
            </w:r>
            <w:r>
              <w:rPr>
                <w:i/>
                <w:iCs/>
              </w:rPr>
              <w:t>goals</w:t>
            </w:r>
            <w:r>
              <w:t xml:space="preserve"> are, what your </w:t>
            </w:r>
            <w:r>
              <w:rPr>
                <w:i/>
                <w:iCs/>
              </w:rPr>
              <w:t>audience</w:t>
            </w:r>
            <w:r>
              <w:t xml:space="preserve"> needs and expects, and </w:t>
            </w:r>
            <w:r>
              <w:rPr>
                <w:i/>
                <w:iCs/>
              </w:rPr>
              <w:t>how</w:t>
            </w:r>
            <w:r>
              <w:t xml:space="preserve"> each plot version moves you closer to effective discovery or communication</w:t>
            </w:r>
          </w:p>
          <w:p w14:paraId="4A65AF06" w14:textId="77777777" w:rsidR="00C0020C" w:rsidRDefault="00000000">
            <w:pPr>
              <w:pStyle w:val="Compact"/>
              <w:numPr>
                <w:ilvl w:val="0"/>
                <w:numId w:val="20"/>
              </w:numPr>
            </w:pPr>
            <w:r>
              <w:t>This reflection uncovers what is interesting, useful and beautiful about your data</w:t>
            </w:r>
          </w:p>
        </w:tc>
      </w:tr>
    </w:tbl>
    <w:p w14:paraId="0698985D" w14:textId="77777777" w:rsidR="00C0020C" w:rsidRDefault="00000000">
      <w:pPr>
        <w:pStyle w:val="Heading2"/>
      </w:pPr>
      <w:bookmarkStart w:id="20" w:name="Xc2a67cb077fdc90efb431340865ffd59223dfd5"/>
      <w:bookmarkEnd w:id="19"/>
      <w:r>
        <w:t>19 Scientific thinking and data visualisation</w:t>
      </w:r>
    </w:p>
    <w:p w14:paraId="2719D6B1" w14:textId="77777777" w:rsidR="00C0020C" w:rsidRDefault="00000000">
      <w:pPr>
        <w:pStyle w:val="FirstParagraph"/>
      </w:pPr>
      <w:r>
        <w:t>We can use text and tables to communicate specific values but visualizations help us to:</w:t>
      </w:r>
    </w:p>
    <w:p w14:paraId="254E12E7" w14:textId="77777777" w:rsidR="00C0020C" w:rsidRDefault="00000000">
      <w:pPr>
        <w:pStyle w:val="Compact"/>
        <w:numPr>
          <w:ilvl w:val="0"/>
          <w:numId w:val="21"/>
        </w:numPr>
      </w:pPr>
      <w:r>
        <w:lastRenderedPageBreak/>
        <w:t>stimulate thinking</w:t>
      </w:r>
    </w:p>
    <w:p w14:paraId="3F37F026" w14:textId="77777777" w:rsidR="00C0020C" w:rsidRDefault="00000000">
      <w:pPr>
        <w:pStyle w:val="Compact"/>
        <w:numPr>
          <w:ilvl w:val="0"/>
          <w:numId w:val="21"/>
        </w:numPr>
      </w:pPr>
      <w:r>
        <w:t>discover what is unexpected</w:t>
      </w:r>
    </w:p>
    <w:p w14:paraId="6004BF8A" w14:textId="77777777" w:rsidR="00C0020C" w:rsidRDefault="00000000">
      <w:pPr>
        <w:pStyle w:val="Compact"/>
        <w:numPr>
          <w:ilvl w:val="0"/>
          <w:numId w:val="21"/>
        </w:numPr>
      </w:pPr>
      <w:r>
        <w:t>communicate scale and complexity</w:t>
      </w:r>
    </w:p>
    <w:p w14:paraId="3134F3E4" w14:textId="77777777" w:rsidR="00C0020C" w:rsidRDefault="00000000">
      <w:pPr>
        <w:pStyle w:val="Compact"/>
        <w:numPr>
          <w:ilvl w:val="0"/>
          <w:numId w:val="21"/>
        </w:numPr>
      </w:pPr>
      <w:r>
        <w:t xml:space="preserve">make comparisons to show how results </w:t>
      </w:r>
      <w:r>
        <w:rPr>
          <w:i/>
          <w:iCs/>
        </w:rPr>
        <w:t>vary</w:t>
      </w:r>
    </w:p>
    <w:p w14:paraId="577D34BD" w14:textId="77777777" w:rsidR="00C0020C" w:rsidRDefault="00000000">
      <w:pPr>
        <w:pStyle w:val="Compact"/>
        <w:numPr>
          <w:ilvl w:val="0"/>
          <w:numId w:val="21"/>
        </w:numPr>
      </w:pPr>
      <w:r>
        <w:t>display uncertainty about estimates</w:t>
      </w:r>
    </w:p>
    <w:p w14:paraId="795D185D" w14:textId="77777777" w:rsidR="00C0020C" w:rsidRDefault="00000000">
      <w:pPr>
        <w:pStyle w:val="Heading2"/>
      </w:pPr>
      <w:bookmarkStart w:id="21" w:name="X99a3e0264e308dd61ca0931aa224e1d6336d3fd"/>
      <w:bookmarkEnd w:id="20"/>
      <w:r>
        <w:t>20 Anscombe (1973): visualizations show data features quickly and vividly</w:t>
      </w:r>
    </w:p>
    <w:p w14:paraId="037CA299" w14:textId="77777777" w:rsidR="00C0020C" w:rsidRDefault="00000000">
      <w:pPr>
        <w:pStyle w:val="Heading3"/>
      </w:pPr>
      <w:bookmarkStart w:id="22" w:name="data-columns"/>
      <w:r>
        <w:t>20.1 data columns</w:t>
      </w:r>
    </w:p>
    <w:p w14:paraId="5F766FF7" w14:textId="77777777" w:rsidR="00C0020C" w:rsidRDefault="00000000">
      <w:pPr>
        <w:pStyle w:val="SourceCode"/>
      </w:pPr>
      <w:r>
        <w:rPr>
          <w:rStyle w:val="VerbatimChar"/>
        </w:rPr>
        <w:t xml:space="preserve">  x1 x2 x3 x4   y1   y2    y3   y4</w:t>
      </w:r>
      <w:r>
        <w:br/>
      </w:r>
      <w:r>
        <w:rPr>
          <w:rStyle w:val="VerbatimChar"/>
        </w:rPr>
        <w:t>1 10 10 10  8 8.04 9.14  7.46 6.58</w:t>
      </w:r>
      <w:r>
        <w:br/>
      </w:r>
      <w:r>
        <w:rPr>
          <w:rStyle w:val="VerbatimChar"/>
        </w:rPr>
        <w:t>2  8  8  8  8 6.95 8.14  6.77 5.76</w:t>
      </w:r>
      <w:r>
        <w:br/>
      </w:r>
      <w:r>
        <w:rPr>
          <w:rStyle w:val="VerbatimChar"/>
        </w:rPr>
        <w:t>3 13 13 13  8 7.58 8.74 12.74 7.71</w:t>
      </w:r>
      <w:r>
        <w:br/>
      </w:r>
      <w:r>
        <w:rPr>
          <w:rStyle w:val="VerbatimChar"/>
        </w:rPr>
        <w:t>4  9  9  9  8 8.81 8.77  7.11 8.84</w:t>
      </w:r>
      <w:r>
        <w:br/>
      </w:r>
      <w:r>
        <w:rPr>
          <w:rStyle w:val="VerbatimChar"/>
        </w:rPr>
        <w:t>5 11 11 11  8 8.33 9.26  7.81 8.47</w:t>
      </w:r>
      <w:r>
        <w:br/>
      </w:r>
      <w:r>
        <w:rPr>
          <w:rStyle w:val="VerbatimChar"/>
        </w:rPr>
        <w:t>6 14 14 14  8 9.96 8.10  8.84 7.04</w:t>
      </w:r>
    </w:p>
    <w:p w14:paraId="5DB25343" w14:textId="77777777" w:rsidR="00C0020C" w:rsidRDefault="00000000">
      <w:pPr>
        <w:pStyle w:val="Heading3"/>
      </w:pPr>
      <w:bookmarkStart w:id="23" w:name="x-variables"/>
      <w:bookmarkEnd w:id="22"/>
      <w:r>
        <w:t>20.2 x-variables</w:t>
      </w:r>
    </w:p>
    <w:p w14:paraId="1D3106D6" w14:textId="77777777" w:rsidR="00C0020C" w:rsidRDefault="00000000">
      <w:pPr>
        <w:pStyle w:val="SourceCode"/>
      </w:pPr>
      <w:r>
        <w:rPr>
          <w:rStyle w:val="VerbatimChar"/>
        </w:rPr>
        <w:t xml:space="preserve">       x1             x2             x3             x4    </w:t>
      </w:r>
      <w:r>
        <w:br/>
      </w:r>
      <w:r>
        <w:rPr>
          <w:rStyle w:val="VerbatimChar"/>
        </w:rPr>
        <w:t xml:space="preserve"> Min.   : 4.0   Min.   : 4.0   Min.   : 4.0   Min.   : 8  </w:t>
      </w:r>
      <w:r>
        <w:br/>
      </w:r>
      <w:r>
        <w:rPr>
          <w:rStyle w:val="VerbatimChar"/>
        </w:rPr>
        <w:t xml:space="preserve"> 1st Qu.: 6.5   1st Qu.: 6.5   1st Qu.: 6.5   1st Qu.: 8  </w:t>
      </w:r>
      <w:r>
        <w:br/>
      </w:r>
      <w:r>
        <w:rPr>
          <w:rStyle w:val="VerbatimChar"/>
        </w:rPr>
        <w:t xml:space="preserve"> Median : 9.0   Median : 9.0   Median : 9.0   Median : 8  </w:t>
      </w:r>
      <w:r>
        <w:br/>
      </w:r>
      <w:r>
        <w:rPr>
          <w:rStyle w:val="VerbatimChar"/>
        </w:rPr>
        <w:t xml:space="preserve"> Mean   : 9.0   Mean   : 9.0   Mean   : 9.0   Mean   : 9  </w:t>
      </w:r>
      <w:r>
        <w:br/>
      </w:r>
      <w:r>
        <w:rPr>
          <w:rStyle w:val="VerbatimChar"/>
        </w:rPr>
        <w:t xml:space="preserve"> 3rd Qu.:11.5   3rd Qu.:11.5   3rd Qu.:11.5   3rd Qu.: 8  </w:t>
      </w:r>
      <w:r>
        <w:br/>
      </w:r>
      <w:r>
        <w:rPr>
          <w:rStyle w:val="VerbatimChar"/>
        </w:rPr>
        <w:t xml:space="preserve"> Max.   :14.0   Max.   :14.0   Max.   :14.0   Max.   :19  </w:t>
      </w:r>
    </w:p>
    <w:p w14:paraId="7CDFFCE1" w14:textId="77777777" w:rsidR="00C0020C" w:rsidRDefault="00000000">
      <w:pPr>
        <w:pStyle w:val="Heading3"/>
      </w:pPr>
      <w:bookmarkStart w:id="24" w:name="y-variables"/>
      <w:bookmarkEnd w:id="23"/>
      <w:r>
        <w:lastRenderedPageBreak/>
        <w:t>20.3 y-variables</w:t>
      </w:r>
    </w:p>
    <w:p w14:paraId="37F54C55" w14:textId="77777777" w:rsidR="00C0020C" w:rsidRDefault="00000000">
      <w:pPr>
        <w:pStyle w:val="Heading2"/>
      </w:pPr>
      <w:bookmarkStart w:id="25" w:name="X39f185dc26788de539004f000e34ae391420487"/>
      <w:bookmarkEnd w:id="21"/>
      <w:bookmarkEnd w:id="24"/>
      <w:r>
        <w:t>21 Anscombe (1973): visualizations show data features quickly and vividly</w:t>
      </w:r>
    </w:p>
    <w:tbl>
      <w:tblPr>
        <w:tblStyle w:val="Table"/>
        <w:tblW w:w="5000" w:type="pct"/>
        <w:tblLook w:val="0000" w:firstRow="0" w:lastRow="0" w:firstColumn="0" w:lastColumn="0" w:noHBand="0" w:noVBand="0"/>
      </w:tblPr>
      <w:tblGrid>
        <w:gridCol w:w="9576"/>
      </w:tblGrid>
      <w:tr w:rsidR="00C0020C" w14:paraId="365857E9" w14:textId="77777777">
        <w:tc>
          <w:tcPr>
            <w:tcW w:w="0" w:type="auto"/>
          </w:tcPr>
          <w:p w14:paraId="587E37D0" w14:textId="77777777" w:rsidR="00C0020C" w:rsidRDefault="00000000">
            <w:pPr>
              <w:jc w:val="center"/>
            </w:pPr>
            <w:bookmarkStart w:id="26" w:name="fig-anscombe-plots"/>
            <w:r>
              <w:rPr>
                <w:noProof/>
              </w:rPr>
              <w:drawing>
                <wp:inline distT="0" distB="0" distL="0" distR="0" wp14:anchorId="2A4A2D69" wp14:editId="00C0FE0B">
                  <wp:extent cx="3755571" cy="3755571"/>
                  <wp:effectExtent l="0" t="0" r="0" b="0"/>
                  <wp:docPr id="7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descr="401-data-visualisation-practices-printable_files/figure-docx/fig-anscombe-plots-1.png"/>
                          <pic:cNvPicPr>
                            <a:picLocks noChangeAspect="1" noChangeArrowheads="1"/>
                          </pic:cNvPicPr>
                        </pic:nvPicPr>
                        <pic:blipFill>
                          <a:blip r:embed="rId13"/>
                          <a:stretch>
                            <a:fillRect/>
                          </a:stretch>
                        </pic:blipFill>
                        <pic:spPr bwMode="auto">
                          <a:xfrm>
                            <a:off x="0" y="0"/>
                            <a:ext cx="3768620" cy="3768620"/>
                          </a:xfrm>
                          <a:prstGeom prst="rect">
                            <a:avLst/>
                          </a:prstGeom>
                          <a:noFill/>
                          <a:ln w="9525">
                            <a:noFill/>
                            <a:headEnd/>
                            <a:tailEnd/>
                          </a:ln>
                        </pic:spPr>
                      </pic:pic>
                    </a:graphicData>
                  </a:graphic>
                </wp:inline>
              </w:drawing>
            </w:r>
          </w:p>
          <w:p w14:paraId="7D3005B8" w14:textId="77777777" w:rsidR="00C0020C" w:rsidRDefault="00000000">
            <w:pPr>
              <w:pStyle w:val="ImageCaption"/>
              <w:spacing w:before="200"/>
            </w:pPr>
            <w:r>
              <w:t xml:space="preserve">Figure 3: All 4 of the Anscombe (1973) </w:t>
            </w:r>
            <w:r>
              <w:rPr>
                <w:rStyle w:val="VerbatimChar"/>
              </w:rPr>
              <w:t>x,y</w:t>
            </w:r>
            <w:r>
              <w:t xml:space="preserve"> datasets are identical when examined using summary statistics but we see how they vary when we use scatterplots to visualize them</w:t>
            </w:r>
          </w:p>
        </w:tc>
        <w:bookmarkEnd w:id="26"/>
      </w:tr>
    </w:tbl>
    <w:p w14:paraId="7631470E" w14:textId="77777777" w:rsidR="00C0020C" w:rsidRDefault="00000000">
      <w:pPr>
        <w:pStyle w:val="Heading2"/>
      </w:pPr>
      <w:bookmarkStart w:id="27" w:name="matejka2017-give-us-the-datasaurus-dozen"/>
      <w:bookmarkEnd w:id="25"/>
      <w:r>
        <w:lastRenderedPageBreak/>
        <w:t xml:space="preserve">22 Matejka &amp; Fitzmaurice (2017) give us the </w:t>
      </w:r>
      <w:r>
        <w:rPr>
          <w:rStyle w:val="VerbatimChar"/>
        </w:rPr>
        <w:t>Datasaurus dozen</w:t>
      </w:r>
    </w:p>
    <w:tbl>
      <w:tblPr>
        <w:tblStyle w:val="Table"/>
        <w:tblW w:w="5000" w:type="pct"/>
        <w:tblLook w:val="0000" w:firstRow="0" w:lastRow="0" w:firstColumn="0" w:lastColumn="0" w:noHBand="0" w:noVBand="0"/>
      </w:tblPr>
      <w:tblGrid>
        <w:gridCol w:w="9576"/>
      </w:tblGrid>
      <w:tr w:rsidR="00C0020C" w14:paraId="07C2D6ED" w14:textId="77777777">
        <w:tc>
          <w:tcPr>
            <w:tcW w:w="0" w:type="auto"/>
          </w:tcPr>
          <w:p w14:paraId="5B7FD3E1" w14:textId="77777777" w:rsidR="00C0020C" w:rsidRDefault="00000000">
            <w:pPr>
              <w:jc w:val="center"/>
            </w:pPr>
            <w:bookmarkStart w:id="28" w:name="fig-datasaurus-plots"/>
            <w:r>
              <w:rPr>
                <w:noProof/>
              </w:rPr>
              <w:drawing>
                <wp:inline distT="0" distB="0" distL="0" distR="0" wp14:anchorId="39AB1371" wp14:editId="0652607D">
                  <wp:extent cx="3222171" cy="3222171"/>
                  <wp:effectExtent l="0" t="0" r="0" b="0"/>
                  <wp:docPr id="7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descr="401-data-visualisation-practices-printable_files/figure-docx/fig-datasaurus-plots-1.png"/>
                          <pic:cNvPicPr>
                            <a:picLocks noChangeAspect="1" noChangeArrowheads="1"/>
                          </pic:cNvPicPr>
                        </pic:nvPicPr>
                        <pic:blipFill>
                          <a:blip r:embed="rId14"/>
                          <a:stretch>
                            <a:fillRect/>
                          </a:stretch>
                        </pic:blipFill>
                        <pic:spPr bwMode="auto">
                          <a:xfrm>
                            <a:off x="0" y="0"/>
                            <a:ext cx="3244951" cy="3244951"/>
                          </a:xfrm>
                          <a:prstGeom prst="rect">
                            <a:avLst/>
                          </a:prstGeom>
                          <a:noFill/>
                          <a:ln w="9525">
                            <a:noFill/>
                            <a:headEnd/>
                            <a:tailEnd/>
                          </a:ln>
                        </pic:spPr>
                      </pic:pic>
                    </a:graphicData>
                  </a:graphic>
                </wp:inline>
              </w:drawing>
            </w:r>
          </w:p>
          <w:p w14:paraId="51F038E0" w14:textId="77777777" w:rsidR="00C0020C" w:rsidRDefault="00000000">
            <w:pPr>
              <w:pStyle w:val="ImageCaption"/>
              <w:spacing w:before="200"/>
            </w:pPr>
            <w:r>
              <w:t xml:space="preserve">Figure 4: All 12 Matejka &amp; Fitzmaurice (2017) </w:t>
            </w:r>
            <w:r>
              <w:rPr>
                <w:rStyle w:val="VerbatimChar"/>
              </w:rPr>
              <w:t>x,y</w:t>
            </w:r>
            <w:r>
              <w:t xml:space="preserve"> datasets (via jumpingrivers (n.d.)) have the same mean and standard deviation summary statistics but we only understand how the data are structured when we plot them and can </w:t>
            </w:r>
            <w:r>
              <w:rPr>
                <w:iCs/>
              </w:rPr>
              <w:t>look at</w:t>
            </w:r>
            <w:r>
              <w:t xml:space="preserve"> the structure</w:t>
            </w:r>
          </w:p>
        </w:tc>
        <w:bookmarkEnd w:id="28"/>
      </w:tr>
    </w:tbl>
    <w:p w14:paraId="58BBE4A3" w14:textId="77777777" w:rsidR="00C0020C" w:rsidRDefault="00000000">
      <w:pPr>
        <w:pStyle w:val="Heading2"/>
      </w:pPr>
      <w:bookmarkStart w:id="29" w:name="X993ae6548928c3d864cdc4a4dc3d1bbe6d9bc87"/>
      <w:bookmarkEnd w:id="27"/>
      <w:r>
        <w:lastRenderedPageBreak/>
        <w:t>23 Develop visualizations to discover and communicate variability in outcomes</w:t>
      </w:r>
    </w:p>
    <w:tbl>
      <w:tblPr>
        <w:tblStyle w:val="Table"/>
        <w:tblW w:w="5000" w:type="pct"/>
        <w:tblLook w:val="0000" w:firstRow="0" w:lastRow="0" w:firstColumn="0" w:lastColumn="0" w:noHBand="0" w:noVBand="0"/>
      </w:tblPr>
      <w:tblGrid>
        <w:gridCol w:w="9576"/>
      </w:tblGrid>
      <w:tr w:rsidR="00C0020C" w14:paraId="4C7E11A5" w14:textId="77777777">
        <w:tc>
          <w:tcPr>
            <w:tcW w:w="0" w:type="auto"/>
          </w:tcPr>
          <w:p w14:paraId="3B3F374D" w14:textId="77777777" w:rsidR="00C0020C" w:rsidRDefault="00000000">
            <w:pPr>
              <w:jc w:val="center"/>
            </w:pPr>
            <w:bookmarkStart w:id="30" w:name="fig-sleep-study-scatterplot-by-subject-2"/>
            <w:r>
              <w:rPr>
                <w:noProof/>
              </w:rPr>
              <w:drawing>
                <wp:inline distT="0" distB="0" distL="0" distR="0" wp14:anchorId="1E943756" wp14:editId="6AA49C2E">
                  <wp:extent cx="3646714" cy="3646714"/>
                  <wp:effectExtent l="0" t="0" r="0" b="0"/>
                  <wp:docPr id="8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descr="401-data-visualisation-practices-printable_files/figure-docx/fig-sleep-study-scatterplot-by-subject-2-1.png"/>
                          <pic:cNvPicPr>
                            <a:picLocks noChangeAspect="1" noChangeArrowheads="1"/>
                          </pic:cNvPicPr>
                        </pic:nvPicPr>
                        <pic:blipFill>
                          <a:blip r:embed="rId15"/>
                          <a:stretch>
                            <a:fillRect/>
                          </a:stretch>
                        </pic:blipFill>
                        <pic:spPr bwMode="auto">
                          <a:xfrm>
                            <a:off x="0" y="0"/>
                            <a:ext cx="3653113" cy="3653113"/>
                          </a:xfrm>
                          <a:prstGeom prst="rect">
                            <a:avLst/>
                          </a:prstGeom>
                          <a:noFill/>
                          <a:ln w="9525">
                            <a:noFill/>
                            <a:headEnd/>
                            <a:tailEnd/>
                          </a:ln>
                        </pic:spPr>
                      </pic:pic>
                    </a:graphicData>
                  </a:graphic>
                </wp:inline>
              </w:drawing>
            </w:r>
          </w:p>
          <w:p w14:paraId="03396902" w14:textId="77777777" w:rsidR="00C0020C" w:rsidRDefault="00000000">
            <w:pPr>
              <w:pStyle w:val="ImageCaption"/>
              <w:spacing w:before="200"/>
            </w:pPr>
            <w:r>
              <w:t xml:space="preserve">Figure 5: In this plot we show data on the impact of sleep deprivation on reaction time, from Belenky et al. (2003; via Bates et al., 2015). We can see how reaction time slows with increasing deprivation on average (grey line) but that the rate of slowing </w:t>
            </w:r>
            <w:r>
              <w:rPr>
                <w:iCs/>
              </w:rPr>
              <w:t>varies</w:t>
            </w:r>
            <w:r>
              <w:t xml:space="preserve"> between individuals</w:t>
            </w:r>
          </w:p>
        </w:tc>
        <w:bookmarkEnd w:id="30"/>
      </w:tr>
    </w:tbl>
    <w:p w14:paraId="1B77CF52" w14:textId="77777777" w:rsidR="00C0020C" w:rsidRDefault="00000000">
      <w:pPr>
        <w:pStyle w:val="Heading2"/>
      </w:pPr>
      <w:bookmarkStart w:id="31" w:name="reflect-on-kinds-of-uncertainty"/>
      <w:bookmarkEnd w:id="29"/>
      <w:r>
        <w:t>24 Reflect on kinds of uncertainty</w:t>
      </w:r>
    </w:p>
    <w:p w14:paraId="5E59483E" w14:textId="77777777" w:rsidR="00C0020C" w:rsidRDefault="00000000">
      <w:pPr>
        <w:pStyle w:val="Compact"/>
        <w:numPr>
          <w:ilvl w:val="0"/>
          <w:numId w:val="22"/>
        </w:numPr>
      </w:pPr>
      <w:r>
        <w:t>Scientists are often faced with the challenge of conveying uncertainty to their audiences (Hofman et al., 2020):</w:t>
      </w:r>
    </w:p>
    <w:p w14:paraId="223548FE" w14:textId="77777777" w:rsidR="00C0020C" w:rsidRDefault="00000000">
      <w:pPr>
        <w:pStyle w:val="Compact"/>
        <w:numPr>
          <w:ilvl w:val="0"/>
          <w:numId w:val="23"/>
        </w:numPr>
      </w:pPr>
      <w:r>
        <w:rPr>
          <w:i/>
          <w:iCs/>
        </w:rPr>
        <w:t>Inferential uncertainty</w:t>
      </w:r>
      <w:r>
        <w:t xml:space="preserve"> — the degree to which a particular summary statistic (e.g., a population mean) is known to the scientist</w:t>
      </w:r>
    </w:p>
    <w:p w14:paraId="713E0346" w14:textId="77777777" w:rsidR="00C0020C" w:rsidRDefault="00000000">
      <w:pPr>
        <w:pStyle w:val="Compact"/>
        <w:numPr>
          <w:ilvl w:val="0"/>
          <w:numId w:val="23"/>
        </w:numPr>
      </w:pPr>
      <w:r>
        <w:rPr>
          <w:i/>
          <w:iCs/>
        </w:rPr>
        <w:t>Outcome uncertainty</w:t>
      </w:r>
      <w:r>
        <w:t xml:space="preserve"> — how much individual outcomes vary (e.g., around the mean, regardless of how well it has been estimated)</w:t>
      </w:r>
    </w:p>
    <w:p w14:paraId="73108DD0" w14:textId="77777777" w:rsidR="00C0020C" w:rsidRDefault="00000000">
      <w:pPr>
        <w:pStyle w:val="Compact"/>
        <w:numPr>
          <w:ilvl w:val="0"/>
          <w:numId w:val="24"/>
        </w:numPr>
      </w:pPr>
      <w:r>
        <w:t xml:space="preserve">Inferential uncertainty can be reduced by collecting and analyzing more data, whereas </w:t>
      </w:r>
      <w:r>
        <w:rPr>
          <w:i/>
          <w:iCs/>
        </w:rPr>
        <w:t>outcome uncertainty cannot</w:t>
      </w:r>
    </w:p>
    <w:p w14:paraId="5D1D484A" w14:textId="77777777" w:rsidR="00C0020C" w:rsidRDefault="00000000">
      <w:pPr>
        <w:pStyle w:val="Heading2"/>
      </w:pPr>
      <w:bookmarkStart w:id="32" w:name="X477067a1eaca6d5e325841cbad3795b5abba36f"/>
      <w:bookmarkEnd w:id="31"/>
      <w:r>
        <w:t>25 As we work, reflect on the challenges of visualizing uncertainty</w:t>
      </w:r>
    </w:p>
    <w:p w14:paraId="476B3618" w14:textId="77777777" w:rsidR="00C0020C" w:rsidRDefault="00000000">
      <w:pPr>
        <w:pStyle w:val="Compact"/>
        <w:numPr>
          <w:ilvl w:val="0"/>
          <w:numId w:val="25"/>
        </w:numPr>
      </w:pPr>
      <w:r>
        <w:t>The process through which we understand the world is characterized by assumptions, limitations, extrapolations, and generalizations, and this brings uncertainty (Van Der Bles et al., 2019)</w:t>
      </w:r>
    </w:p>
    <w:p w14:paraId="7707102E" w14:textId="77777777" w:rsidR="00C0020C" w:rsidRDefault="00000000">
      <w:pPr>
        <w:pStyle w:val="Compact"/>
        <w:numPr>
          <w:ilvl w:val="0"/>
          <w:numId w:val="25"/>
        </w:numPr>
      </w:pPr>
      <w:r>
        <w:t>We often face the challenge of communicating this</w:t>
      </w:r>
    </w:p>
    <w:tbl>
      <w:tblPr>
        <w:tblStyle w:val="Table"/>
        <w:tblW w:w="5000" w:type="pct"/>
        <w:tblLook w:val="0000" w:firstRow="0" w:lastRow="0" w:firstColumn="0" w:lastColumn="0" w:noHBand="0" w:noVBand="0"/>
      </w:tblPr>
      <w:tblGrid>
        <w:gridCol w:w="9576"/>
      </w:tblGrid>
      <w:tr w:rsidR="00C0020C" w14:paraId="77A2953F" w14:textId="77777777">
        <w:tc>
          <w:tcPr>
            <w:tcW w:w="0" w:type="auto"/>
          </w:tcPr>
          <w:p w14:paraId="6504B044" w14:textId="77777777" w:rsidR="00C0020C" w:rsidRDefault="00000000">
            <w:pPr>
              <w:jc w:val="center"/>
            </w:pPr>
            <w:r>
              <w:rPr>
                <w:noProof/>
              </w:rPr>
              <w:lastRenderedPageBreak/>
              <w:drawing>
                <wp:inline distT="0" distB="0" distL="0" distR="0" wp14:anchorId="381F4C9A" wp14:editId="627FC4B5">
                  <wp:extent cx="3794353" cy="3254829"/>
                  <wp:effectExtent l="0" t="0" r="0" b="0"/>
                  <wp:docPr id="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descr="zhang_et_al_2023_An_illusion_of_predictability_in_scientific_results_--_Even_experts_confuse_inferential_uncertainty_and_outcome_variability.png"/>
                          <pic:cNvPicPr>
                            <a:picLocks noChangeAspect="1" noChangeArrowheads="1"/>
                          </pic:cNvPicPr>
                        </pic:nvPicPr>
                        <pic:blipFill>
                          <a:blip r:embed="rId11"/>
                          <a:stretch>
                            <a:fillRect/>
                          </a:stretch>
                        </pic:blipFill>
                        <pic:spPr bwMode="auto">
                          <a:xfrm>
                            <a:off x="0" y="0"/>
                            <a:ext cx="3801158" cy="3260667"/>
                          </a:xfrm>
                          <a:prstGeom prst="rect">
                            <a:avLst/>
                          </a:prstGeom>
                          <a:noFill/>
                          <a:ln w="9525">
                            <a:noFill/>
                            <a:headEnd/>
                            <a:tailEnd/>
                          </a:ln>
                        </pic:spPr>
                      </pic:pic>
                    </a:graphicData>
                  </a:graphic>
                </wp:inline>
              </w:drawing>
            </w:r>
          </w:p>
          <w:p w14:paraId="7FEB0EC5" w14:textId="77777777" w:rsidR="00C0020C" w:rsidRDefault="00000000">
            <w:pPr>
              <w:pStyle w:val="ImageCaption"/>
              <w:spacing w:before="200"/>
            </w:pPr>
            <w:r>
              <w:t>Zhang et al. (2023): The difference between uncertainty over estimates and uncertainty over the predictability of outcomes</w:t>
            </w:r>
          </w:p>
        </w:tc>
      </w:tr>
    </w:tbl>
    <w:p w14:paraId="3344917E" w14:textId="77777777" w:rsidR="00C0020C" w:rsidRDefault="00000000">
      <w:pPr>
        <w:pStyle w:val="Heading2"/>
      </w:pPr>
      <w:bookmarkStart w:id="33" w:name="the-challenges-of-uncertainty"/>
      <w:bookmarkEnd w:id="32"/>
      <w:r>
        <w:t>26 The challenges of uncertainty</w:t>
      </w:r>
    </w:p>
    <w:p w14:paraId="688E4F22" w14:textId="77777777" w:rsidR="00C0020C" w:rsidRDefault="00000000">
      <w:pPr>
        <w:pStyle w:val="Compact"/>
        <w:numPr>
          <w:ilvl w:val="0"/>
          <w:numId w:val="26"/>
        </w:numPr>
      </w:pPr>
      <w:r>
        <w:t>Non-expert people will tend to overstate the impact of interventions and understate the variability of outcomes</w:t>
      </w:r>
    </w:p>
    <w:p w14:paraId="367ECCAE" w14:textId="77777777" w:rsidR="00C0020C" w:rsidRDefault="00000000">
      <w:pPr>
        <w:pStyle w:val="Compact"/>
        <w:numPr>
          <w:ilvl w:val="0"/>
          <w:numId w:val="26"/>
        </w:numPr>
      </w:pPr>
      <w:r>
        <w:t>when they see visualizations like error bars that show</w:t>
      </w:r>
    </w:p>
    <w:p w14:paraId="397EF652" w14:textId="77777777" w:rsidR="00C0020C" w:rsidRDefault="00000000">
      <w:pPr>
        <w:pStyle w:val="Compact"/>
        <w:numPr>
          <w:ilvl w:val="0"/>
          <w:numId w:val="26"/>
        </w:numPr>
      </w:pPr>
      <w:r>
        <w:t>mean and standard error values, that focus on inferential uncertainty (Hofman et al., 2020)</w:t>
      </w:r>
    </w:p>
    <w:p w14:paraId="14BC9B11" w14:textId="77777777" w:rsidR="00C0020C" w:rsidRDefault="00000000">
      <w:pPr>
        <w:pStyle w:val="Compact"/>
        <w:numPr>
          <w:ilvl w:val="0"/>
          <w:numId w:val="27"/>
        </w:numPr>
      </w:pPr>
      <w:r>
        <w:t xml:space="preserve">Expert scientists also overestimate the impact of interventions when they see standard visualizations that focus on inferential uncertainty: </w:t>
      </w:r>
      <w:r>
        <w:rPr>
          <w:i/>
          <w:iCs/>
        </w:rPr>
        <w:t>the illusion of predictability</w:t>
      </w:r>
    </w:p>
    <w:p w14:paraId="22958B6F" w14:textId="77777777" w:rsidR="00C0020C" w:rsidRDefault="00000000">
      <w:pPr>
        <w:pStyle w:val="Compact"/>
        <w:numPr>
          <w:ilvl w:val="0"/>
          <w:numId w:val="27"/>
        </w:numPr>
      </w:pPr>
      <w:r>
        <w:t>We can stimulate more accurate understanding if we show outcome variability (Zhang et al., 2023)</w:t>
      </w:r>
    </w:p>
    <w:p w14:paraId="5E12D3E6" w14:textId="77777777" w:rsidR="00C0020C" w:rsidRDefault="00000000">
      <w:pPr>
        <w:pStyle w:val="Heading2"/>
      </w:pPr>
      <w:bookmarkStart w:id="34" w:name="X248d50fad3329e9fc5bf4755358f20c2c5fa613"/>
      <w:bookmarkEnd w:id="33"/>
      <w:r>
        <w:t>27 Variation and uncertainty — the importance, the challenges</w:t>
      </w:r>
    </w:p>
    <w:p w14:paraId="13580FB3" w14:textId="77777777" w:rsidR="00C0020C" w:rsidRDefault="00000000">
      <w:pPr>
        <w:pStyle w:val="FirstParagraph"/>
      </w:pPr>
      <w:r>
        <w:t>Vasishth &amp; Gelman (2021):</w:t>
      </w:r>
    </w:p>
    <w:p w14:paraId="345F0425" w14:textId="77777777" w:rsidR="00C0020C" w:rsidRDefault="00000000">
      <w:pPr>
        <w:pStyle w:val="BlockText"/>
      </w:pPr>
      <w:r>
        <w:t>The most difficult idea to digest in data analysis is that conclusions based on data are almost always uncertain, regardless of whether the outcome of the statistical test is statistically significant or not</w:t>
      </w:r>
    </w:p>
    <w:p w14:paraId="3C2EC92C" w14:textId="77777777" w:rsidR="00C0020C" w:rsidRDefault="00000000">
      <w:pPr>
        <w:pStyle w:val="Heading2"/>
      </w:pPr>
      <w:bookmarkStart w:id="35" w:name="Xedff2e069c4bd624fa6d4c9adf49981d91ecd17"/>
      <w:bookmarkEnd w:id="34"/>
      <w:r>
        <w:t>28 Variation and uncertainty — the importance, the challenges</w:t>
      </w:r>
    </w:p>
    <w:p w14:paraId="69E86CA2" w14:textId="77777777" w:rsidR="00C0020C" w:rsidRDefault="00000000">
      <w:pPr>
        <w:pStyle w:val="FirstParagraph"/>
      </w:pPr>
      <w:r>
        <w:t>a. Gelman (2015):</w:t>
      </w:r>
    </w:p>
    <w:p w14:paraId="149C5FEA" w14:textId="77777777" w:rsidR="00C0020C" w:rsidRDefault="00000000">
      <w:pPr>
        <w:pStyle w:val="BlockText"/>
      </w:pPr>
      <w:r>
        <w:lastRenderedPageBreak/>
        <w:t>We must move beyond the idea that effects are ‘there’ or not and the idea that the goal of a study is to reject a null hypothesis. As many observers have noted, these attitudes lead to trouble because they deny the variation inherent in real social phenomena, and they deny the uncertainty inherent in statistical inference</w:t>
      </w:r>
    </w:p>
    <w:p w14:paraId="4E185E69" w14:textId="77777777" w:rsidR="00C0020C" w:rsidRDefault="00000000">
      <w:pPr>
        <w:pStyle w:val="Heading2"/>
      </w:pPr>
      <w:bookmarkStart w:id="36" w:name="Xd96338fe18deb1d12eb107769f4c2a1f21654cb"/>
      <w:bookmarkEnd w:id="35"/>
      <w:r>
        <w:t>29 We use visualizations to help us to see and understand the variation and the uncertainty in our data</w:t>
      </w:r>
    </w:p>
    <w:p w14:paraId="17EACA26" w14:textId="77777777" w:rsidR="00C0020C" w:rsidRDefault="00000000">
      <w:pPr>
        <w:pStyle w:val="Compact"/>
        <w:numPr>
          <w:ilvl w:val="0"/>
          <w:numId w:val="28"/>
        </w:numPr>
      </w:pPr>
      <w:r>
        <w:t>Results will vary: we should expect changes over time, or differences between individuals or between groups</w:t>
      </w:r>
    </w:p>
    <w:p w14:paraId="2559CBC7" w14:textId="77777777" w:rsidR="00C0020C" w:rsidRDefault="00000000">
      <w:pPr>
        <w:pStyle w:val="Compact"/>
        <w:numPr>
          <w:ilvl w:val="0"/>
          <w:numId w:val="28"/>
        </w:numPr>
      </w:pPr>
      <w:r>
        <w:t>Knowledge is uncertain: outcomes will vary even when the average effect is precisely estimated</w:t>
      </w:r>
    </w:p>
    <w:p w14:paraId="00EB5F13" w14:textId="77777777" w:rsidR="00C0020C" w:rsidRDefault="00000000">
      <w:pPr>
        <w:pStyle w:val="Compact"/>
        <w:numPr>
          <w:ilvl w:val="0"/>
          <w:numId w:val="28"/>
        </w:numPr>
      </w:pPr>
      <w:r>
        <w:t>We have the responsibility to accept and to express this uncertainty</w:t>
      </w:r>
    </w:p>
    <w:p w14:paraId="60AAFDD8" w14:textId="77777777" w:rsidR="00C0020C" w:rsidRDefault="00000000">
      <w:pPr>
        <w:pStyle w:val="Heading2"/>
      </w:pPr>
      <w:bookmarkStart w:id="37" w:name="X2115ce6adb49c98f5063c38d8422d160a7024e7"/>
      <w:bookmarkEnd w:id="36"/>
      <w:r>
        <w:t>30 Implement – Produce visualizations in line with best practice</w:t>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648"/>
      </w:tblGrid>
      <w:tr w:rsidR="00C0020C" w14:paraId="18807E16" w14:textId="77777777" w:rsidTr="00C0020C">
        <w:trPr>
          <w:cantSplit/>
        </w:trPr>
        <w:tc>
          <w:tcPr>
            <w:tcW w:w="0" w:type="auto"/>
            <w:shd w:val="clear" w:color="auto" w:fill="CCF1E3"/>
            <w:tcMar>
              <w:top w:w="92" w:type="dxa"/>
              <w:bottom w:w="92" w:type="dxa"/>
            </w:tcMar>
          </w:tcPr>
          <w:p w14:paraId="1AD92C2D" w14:textId="77777777" w:rsidR="00C0020C" w:rsidRDefault="00000000">
            <w:pPr>
              <w:pStyle w:val="FirstParagraph"/>
              <w:spacing w:before="0" w:after="0"/>
              <w:textAlignment w:val="center"/>
            </w:pPr>
            <w:r>
              <w:rPr>
                <w:noProof/>
              </w:rPr>
              <w:drawing>
                <wp:inline distT="0" distB="0" distL="0" distR="0" wp14:anchorId="2322EACC" wp14:editId="0D964916">
                  <wp:extent cx="152400" cy="152400"/>
                  <wp:effectExtent l="0" t="0" r="0" b="0"/>
                  <wp:docPr id="96" name="Picture"/>
                  <wp:cNvGraphicFramePr/>
                  <a:graphic xmlns:a="http://schemas.openxmlformats.org/drawingml/2006/main">
                    <a:graphicData uri="http://schemas.openxmlformats.org/drawingml/2006/picture">
                      <pic:pic xmlns:pic="http://schemas.openxmlformats.org/drawingml/2006/picture">
                        <pic:nvPicPr>
                          <pic:cNvPr id="97" name="Picture" descr="/Applications/RStudio.app/Contents/Resources/app/quarto/share/formats/docx/tip.png"/>
                          <pic:cNvPicPr>
                            <a:picLocks noChangeAspect="1" noChangeArrowheads="1"/>
                          </pic:cNvPicPr>
                        </pic:nvPicPr>
                        <pic:blipFill>
                          <a:blip r:embed="rId7"/>
                          <a:stretch>
                            <a:fillRect/>
                          </a:stretch>
                        </pic:blipFill>
                        <pic:spPr bwMode="auto">
                          <a:xfrm>
                            <a:off x="0" y="0"/>
                            <a:ext cx="152400" cy="152400"/>
                          </a:xfrm>
                          <a:prstGeom prst="rect">
                            <a:avLst/>
                          </a:prstGeom>
                          <a:noFill/>
                          <a:ln w="9525">
                            <a:noFill/>
                            <a:headEnd/>
                            <a:tailEnd/>
                          </a:ln>
                        </pic:spPr>
                      </pic:pic>
                    </a:graphicData>
                  </a:graphic>
                </wp:inline>
              </w:drawing>
            </w:r>
            <w:r>
              <w:t xml:space="preserve">  Tip</w:t>
            </w:r>
          </w:p>
        </w:tc>
      </w:tr>
      <w:tr w:rsidR="00C0020C" w14:paraId="6CDC50D0" w14:textId="77777777" w:rsidTr="00C0020C">
        <w:trPr>
          <w:cantSplit/>
        </w:trPr>
        <w:tc>
          <w:tcPr>
            <w:tcW w:w="0" w:type="auto"/>
            <w:tcMar>
              <w:top w:w="108" w:type="dxa"/>
              <w:bottom w:w="108" w:type="dxa"/>
            </w:tcMar>
          </w:tcPr>
          <w:p w14:paraId="1471CD43" w14:textId="77777777" w:rsidR="00C0020C" w:rsidRDefault="00000000">
            <w:pPr>
              <w:pStyle w:val="Compact"/>
              <w:numPr>
                <w:ilvl w:val="0"/>
                <w:numId w:val="29"/>
              </w:numPr>
            </w:pPr>
            <w:r>
              <w:t>We combine our creative thinking with the flexibility of the Grammar of Graphics to produce effective plots</w:t>
            </w:r>
          </w:p>
        </w:tc>
      </w:tr>
    </w:tbl>
    <w:p w14:paraId="5B1534B8" w14:textId="77777777" w:rsidR="00C0020C" w:rsidRDefault="00000000">
      <w:pPr>
        <w:pStyle w:val="Heading2"/>
      </w:pPr>
      <w:bookmarkStart w:id="38" w:name="Xd91a48f70e7d719b41828fb3cd2cde23f1c6155"/>
      <w:bookmarkEnd w:id="37"/>
      <w:r>
        <w:t xml:space="preserve">31 </w:t>
      </w:r>
      <w:r>
        <w:rPr>
          <w:rStyle w:val="VerbatimChar"/>
        </w:rPr>
        <w:t>{ggplot2}</w:t>
      </w:r>
      <w:r>
        <w:t xml:space="preserve"> means: the </w:t>
      </w:r>
      <w:r>
        <w:rPr>
          <w:i/>
          <w:iCs/>
        </w:rPr>
        <w:t>Grammar of Graphics</w:t>
      </w:r>
      <w:r>
        <w:t xml:space="preserve"> Plot 2</w:t>
      </w:r>
    </w:p>
    <w:p w14:paraId="57946C1B" w14:textId="77777777" w:rsidR="00C0020C" w:rsidRDefault="00000000">
      <w:pPr>
        <w:pStyle w:val="Compact"/>
        <w:numPr>
          <w:ilvl w:val="0"/>
          <w:numId w:val="30"/>
        </w:numPr>
      </w:pPr>
      <w:r>
        <w:t xml:space="preserve">When we use the </w:t>
      </w:r>
      <w:r>
        <w:rPr>
          <w:rStyle w:val="VerbatimChar"/>
        </w:rPr>
        <w:t>{ggplot2}</w:t>
      </w:r>
      <w:r>
        <w:t xml:space="preserve"> to draw plots, we are using tools developed with a philosophy of visualization in mind (Wickham, 2010; Wilkinson, 2013): </w:t>
      </w:r>
      <w:r>
        <w:rPr>
          <w:i/>
          <w:iCs/>
        </w:rPr>
        <w:t>The Grammar of Graphics</w:t>
      </w:r>
    </w:p>
    <w:p w14:paraId="74042BE9" w14:textId="77777777" w:rsidR="00C0020C" w:rsidRDefault="00000000">
      <w:pPr>
        <w:pStyle w:val="Compact"/>
        <w:numPr>
          <w:ilvl w:val="0"/>
          <w:numId w:val="30"/>
        </w:numPr>
      </w:pPr>
      <w:r>
        <w:t>A grammar is a system of rules that allows people to collaborate and individuals to create</w:t>
      </w:r>
    </w:p>
    <w:p w14:paraId="5F157D42" w14:textId="77777777" w:rsidR="00C0020C" w:rsidRDefault="00000000">
      <w:pPr>
        <w:pStyle w:val="Compact"/>
        <w:numPr>
          <w:ilvl w:val="0"/>
          <w:numId w:val="30"/>
        </w:numPr>
      </w:pPr>
      <w:r>
        <w:t>We do not need to think about the grammar when we produce visualizations</w:t>
      </w:r>
    </w:p>
    <w:p w14:paraId="5673314E" w14:textId="77777777" w:rsidR="00C0020C" w:rsidRDefault="00000000">
      <w:pPr>
        <w:pStyle w:val="Compact"/>
        <w:numPr>
          <w:ilvl w:val="0"/>
          <w:numId w:val="30"/>
        </w:numPr>
      </w:pPr>
      <w:r>
        <w:t xml:space="preserve">But it will help you to know that when we puzzle over </w:t>
      </w:r>
      <w:r>
        <w:rPr>
          <w:i/>
          <w:iCs/>
        </w:rPr>
        <w:t>how</w:t>
      </w:r>
      <w:r>
        <w:t xml:space="preserve"> we do things, there are always reasons </w:t>
      </w:r>
      <w:r>
        <w:rPr>
          <w:i/>
          <w:iCs/>
        </w:rPr>
        <w:t>why</w:t>
      </w:r>
      <w:r>
        <w:t xml:space="preserve"> we do things</w:t>
      </w:r>
    </w:p>
    <w:p w14:paraId="1C375F7F" w14:textId="77777777" w:rsidR="00C0020C" w:rsidRDefault="00000000">
      <w:pPr>
        <w:pStyle w:val="Heading2"/>
      </w:pPr>
      <w:bookmarkStart w:id="39" w:name="a-simple-plot-has-many-elements"/>
      <w:bookmarkEnd w:id="38"/>
      <w:r>
        <w:t>32 A simple plot has many elements</w:t>
      </w:r>
    </w:p>
    <w:p w14:paraId="13573CAB" w14:textId="77777777" w:rsidR="00C0020C" w:rsidRDefault="00000000">
      <w:pPr>
        <w:pStyle w:val="Compact"/>
        <w:numPr>
          <w:ilvl w:val="0"/>
          <w:numId w:val="31"/>
        </w:numPr>
      </w:pPr>
      <w:r>
        <w:t>data and aesthetic mappings</w:t>
      </w:r>
    </w:p>
    <w:p w14:paraId="14BF2213" w14:textId="77777777" w:rsidR="00C0020C" w:rsidRDefault="00000000">
      <w:pPr>
        <w:pStyle w:val="Compact"/>
        <w:numPr>
          <w:ilvl w:val="0"/>
          <w:numId w:val="31"/>
        </w:numPr>
      </w:pPr>
      <w:r>
        <w:t>statistical transformations</w:t>
      </w:r>
    </w:p>
    <w:p w14:paraId="038ADDFD" w14:textId="77777777" w:rsidR="00C0020C" w:rsidRDefault="00000000">
      <w:pPr>
        <w:pStyle w:val="Compact"/>
        <w:numPr>
          <w:ilvl w:val="0"/>
          <w:numId w:val="31"/>
        </w:numPr>
      </w:pPr>
      <w:r>
        <w:t>geometric objects</w:t>
      </w:r>
    </w:p>
    <w:p w14:paraId="0172F766" w14:textId="77777777" w:rsidR="00C0020C" w:rsidRDefault="00000000">
      <w:pPr>
        <w:pStyle w:val="Compact"/>
        <w:numPr>
          <w:ilvl w:val="0"/>
          <w:numId w:val="31"/>
        </w:numPr>
      </w:pPr>
      <w:r>
        <w:t>scales</w:t>
      </w:r>
    </w:p>
    <w:tbl>
      <w:tblPr>
        <w:tblStyle w:val="Table"/>
        <w:tblW w:w="5000" w:type="pct"/>
        <w:tblLook w:val="0000" w:firstRow="0" w:lastRow="0" w:firstColumn="0" w:lastColumn="0" w:noHBand="0" w:noVBand="0"/>
      </w:tblPr>
      <w:tblGrid>
        <w:gridCol w:w="9576"/>
      </w:tblGrid>
      <w:tr w:rsidR="00C0020C" w14:paraId="15AD3D11" w14:textId="77777777">
        <w:tc>
          <w:tcPr>
            <w:tcW w:w="0" w:type="auto"/>
          </w:tcPr>
          <w:p w14:paraId="3289B848" w14:textId="77777777" w:rsidR="00C0020C" w:rsidRDefault="00000000">
            <w:pPr>
              <w:jc w:val="center"/>
            </w:pPr>
            <w:bookmarkStart w:id="40" w:name="fig-health-study-one-HLVA-SHIPLEY-1"/>
            <w:r>
              <w:rPr>
                <w:noProof/>
              </w:rPr>
              <w:lastRenderedPageBreak/>
              <w:drawing>
                <wp:inline distT="0" distB="0" distL="0" distR="0" wp14:anchorId="597E9494" wp14:editId="3415DDF3">
                  <wp:extent cx="3461657" cy="3461657"/>
                  <wp:effectExtent l="0" t="0" r="0" b="0"/>
                  <wp:docPr id="1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descr="401-data-visualisation-practices-printable_files/figure-docx/fig-health-study-one-HLVA-SHIPLEY-1-1.png"/>
                          <pic:cNvPicPr>
                            <a:picLocks noChangeAspect="1" noChangeArrowheads="1"/>
                          </pic:cNvPicPr>
                        </pic:nvPicPr>
                        <pic:blipFill>
                          <a:blip r:embed="rId16"/>
                          <a:stretch>
                            <a:fillRect/>
                          </a:stretch>
                        </pic:blipFill>
                        <pic:spPr bwMode="auto">
                          <a:xfrm>
                            <a:off x="0" y="0"/>
                            <a:ext cx="3470943" cy="3470943"/>
                          </a:xfrm>
                          <a:prstGeom prst="rect">
                            <a:avLst/>
                          </a:prstGeom>
                          <a:noFill/>
                          <a:ln w="9525">
                            <a:noFill/>
                            <a:headEnd/>
                            <a:tailEnd/>
                          </a:ln>
                        </pic:spPr>
                      </pic:pic>
                    </a:graphicData>
                  </a:graphic>
                </wp:inline>
              </w:drawing>
            </w:r>
          </w:p>
          <w:p w14:paraId="686F6CC9" w14:textId="77777777" w:rsidR="00C0020C" w:rsidRDefault="00000000">
            <w:pPr>
              <w:pStyle w:val="ImageCaption"/>
              <w:spacing w:before="200"/>
            </w:pPr>
            <w:r>
              <w:t>Figure 6: A scatterplot showing the potential association between health literacy and vocabulary</w:t>
            </w:r>
          </w:p>
        </w:tc>
        <w:bookmarkEnd w:id="40"/>
      </w:tr>
    </w:tbl>
    <w:p w14:paraId="320C6F79" w14:textId="77777777" w:rsidR="00C0020C" w:rsidRDefault="00000000">
      <w:pPr>
        <w:pStyle w:val="Heading2"/>
      </w:pPr>
      <w:bookmarkStart w:id="41" w:name="X70b33b096ac96dfea6e2af83c10d6842d0cd755"/>
      <w:bookmarkEnd w:id="39"/>
      <w:r>
        <w:t>33 We begin with data: here, from the Health Comprehension project</w:t>
      </w:r>
    </w:p>
    <w:p w14:paraId="221D3493" w14:textId="77777777" w:rsidR="00C0020C" w:rsidRDefault="00000000">
      <w:pPr>
        <w:pStyle w:val="SourceCode"/>
      </w:pPr>
      <w:r>
        <w:rPr>
          <w:rStyle w:val="VerbatimChar"/>
        </w:rPr>
        <w:t># A tibble: 6 × 12</w:t>
      </w:r>
      <w:r>
        <w:br/>
      </w:r>
      <w:r>
        <w:rPr>
          <w:rStyle w:val="VerbatimChar"/>
        </w:rPr>
        <w:t xml:space="preserve">  participant_ID mean.acc mean.self study     AGE SHIPLEY  HLVA FACTOR3 QRITOTAL</w:t>
      </w:r>
      <w:r>
        <w:br/>
      </w:r>
      <w:r>
        <w:rPr>
          <w:rStyle w:val="VerbatimChar"/>
        </w:rPr>
        <w:t xml:space="preserve">  &lt;fct&gt;             &lt;dbl&gt;     &lt;dbl&gt; &lt;fct&gt;   &lt;dbl&gt;   &lt;dbl&gt; &lt;dbl&gt;   &lt;dbl&gt;    &lt;dbl&gt;</w:t>
      </w:r>
      <w:r>
        <w:br/>
      </w:r>
      <w:r>
        <w:rPr>
          <w:rStyle w:val="VerbatimChar"/>
        </w:rPr>
        <w:t>1 studyone.1         0.49      7.96 studyo…    34      33     7      53       11</w:t>
      </w:r>
      <w:r>
        <w:br/>
      </w:r>
      <w:r>
        <w:rPr>
          <w:rStyle w:val="VerbatimChar"/>
        </w:rPr>
        <w:t>2 studyone.10        0.85      7.28 studyo…    25      33     7      60       11</w:t>
      </w:r>
      <w:r>
        <w:br/>
      </w:r>
      <w:r>
        <w:rPr>
          <w:rStyle w:val="VerbatimChar"/>
        </w:rPr>
        <w:t>3 studyone.100       0.82      7.36 studyo…    43      40     8      46       12</w:t>
      </w:r>
      <w:r>
        <w:br/>
      </w:r>
      <w:r>
        <w:rPr>
          <w:rStyle w:val="VerbatimChar"/>
        </w:rPr>
        <w:t>4 studyone.101       0.94      7.88 studyo…    46      33    11      51       15</w:t>
      </w:r>
      <w:r>
        <w:br/>
      </w:r>
      <w:r>
        <w:rPr>
          <w:rStyle w:val="VerbatimChar"/>
        </w:rPr>
        <w:t>5 studyone.102       0.58      6.96 studyo…    18      32     3      51       12</w:t>
      </w:r>
      <w:r>
        <w:br/>
      </w:r>
      <w:r>
        <w:rPr>
          <w:rStyle w:val="VerbatimChar"/>
        </w:rPr>
        <w:t>6 studyone.103       0.84      7.88 studyo…    19      37    13      45       19</w:t>
      </w:r>
      <w:r>
        <w:br/>
      </w:r>
      <w:r>
        <w:rPr>
          <w:rStyle w:val="VerbatimChar"/>
        </w:rPr>
        <w:t># ℹ 3 more variables: GENDER &lt;fct&gt;, EDUCATION &lt;fct&gt;, ETHNICITY &lt;fct&gt;</w:t>
      </w:r>
    </w:p>
    <w:p w14:paraId="5576A70B" w14:textId="77777777" w:rsidR="00C0020C" w:rsidRDefault="00000000">
      <w:pPr>
        <w:pStyle w:val="Heading2"/>
      </w:pPr>
      <w:bookmarkStart w:id="42" w:name="a-simple-plot-has-many-elements-1"/>
      <w:bookmarkEnd w:id="41"/>
      <w:r>
        <w:t>34 A simple plot has many elements</w:t>
      </w:r>
    </w:p>
    <w:p w14:paraId="43F34150" w14:textId="77777777" w:rsidR="00C0020C" w:rsidRDefault="00000000">
      <w:pPr>
        <w:pStyle w:val="Heading3"/>
      </w:pPr>
      <w:bookmarkStart w:id="43" w:name="plot-with-no-objects"/>
      <w:r>
        <w:t>34.1 Plot with no objects</w:t>
      </w:r>
    </w:p>
    <w:p w14:paraId="661D7E9D" w14:textId="77777777" w:rsidR="00C0020C" w:rsidRDefault="00000000">
      <w:pPr>
        <w:pStyle w:val="Compact"/>
        <w:numPr>
          <w:ilvl w:val="0"/>
          <w:numId w:val="32"/>
        </w:numPr>
      </w:pPr>
      <w:r>
        <w:t>When we code a plot, we tell R we want:</w:t>
      </w:r>
    </w:p>
    <w:p w14:paraId="148F4419" w14:textId="77777777" w:rsidR="00C0020C" w:rsidRDefault="00000000">
      <w:pPr>
        <w:pStyle w:val="Compact"/>
        <w:numPr>
          <w:ilvl w:val="0"/>
          <w:numId w:val="32"/>
        </w:numPr>
      </w:pPr>
      <w:r>
        <w:lastRenderedPageBreak/>
        <w:t xml:space="preserve">to use </w:t>
      </w:r>
      <w:r>
        <w:rPr>
          <w:rStyle w:val="VerbatimChar"/>
        </w:rPr>
        <w:t>ggplot()</w:t>
      </w:r>
      <w:r>
        <w:t xml:space="preserve"> to create a plot</w:t>
      </w:r>
    </w:p>
    <w:p w14:paraId="57343E9C" w14:textId="77777777" w:rsidR="00C0020C" w:rsidRDefault="00000000">
      <w:pPr>
        <w:pStyle w:val="Compact"/>
        <w:numPr>
          <w:ilvl w:val="0"/>
          <w:numId w:val="32"/>
        </w:numPr>
      </w:pPr>
      <w:r>
        <w:t xml:space="preserve">using the data-set </w:t>
      </w:r>
      <w:r>
        <w:rPr>
          <w:rStyle w:val="VerbatimChar"/>
        </w:rPr>
        <w:t>clearly.one.subjects</w:t>
      </w:r>
    </w:p>
    <w:p w14:paraId="0A52C41C" w14:textId="77777777" w:rsidR="00C0020C" w:rsidRDefault="00000000">
      <w:pPr>
        <w:pStyle w:val="Compact"/>
        <w:numPr>
          <w:ilvl w:val="0"/>
          <w:numId w:val="32"/>
        </w:numPr>
      </w:pPr>
      <w:r>
        <w:t xml:space="preserve">and the variables </w:t>
      </w:r>
      <w:r>
        <w:rPr>
          <w:rStyle w:val="VerbatimChar"/>
        </w:rPr>
        <w:t>SHIPLEY, HLVA</w:t>
      </w:r>
    </w:p>
    <w:tbl>
      <w:tblPr>
        <w:tblStyle w:val="Table"/>
        <w:tblW w:w="5000" w:type="pct"/>
        <w:tblLook w:val="0000" w:firstRow="0" w:lastRow="0" w:firstColumn="0" w:lastColumn="0" w:noHBand="0" w:noVBand="0"/>
      </w:tblPr>
      <w:tblGrid>
        <w:gridCol w:w="9576"/>
      </w:tblGrid>
      <w:tr w:rsidR="00C0020C" w14:paraId="1E795FE5" w14:textId="77777777">
        <w:tc>
          <w:tcPr>
            <w:tcW w:w="0" w:type="auto"/>
          </w:tcPr>
          <w:p w14:paraId="243A2D0E" w14:textId="77777777" w:rsidR="00C0020C" w:rsidRDefault="00000000">
            <w:pPr>
              <w:jc w:val="center"/>
            </w:pPr>
            <w:bookmarkStart w:id="44" w:name="fig-health-study-one-HLVA-SHIPLEY-2"/>
            <w:r>
              <w:rPr>
                <w:noProof/>
              </w:rPr>
              <w:drawing>
                <wp:inline distT="0" distB="0" distL="0" distR="0" wp14:anchorId="4CA21596" wp14:editId="1EC4CA49">
                  <wp:extent cx="3233057" cy="2830286"/>
                  <wp:effectExtent l="0" t="0" r="0" b="0"/>
                  <wp:docPr id="107" name="Picture"/>
                  <wp:cNvGraphicFramePr/>
                  <a:graphic xmlns:a="http://schemas.openxmlformats.org/drawingml/2006/main">
                    <a:graphicData uri="http://schemas.openxmlformats.org/drawingml/2006/picture">
                      <pic:pic xmlns:pic="http://schemas.openxmlformats.org/drawingml/2006/picture">
                        <pic:nvPicPr>
                          <pic:cNvPr id="108" name="Picture" descr="401-data-visualisation-practices-printable_files/figure-docx/fig-health-study-one-HLVA-SHIPLEY-2-1.png"/>
                          <pic:cNvPicPr>
                            <a:picLocks noChangeAspect="1" noChangeArrowheads="1"/>
                          </pic:cNvPicPr>
                        </pic:nvPicPr>
                        <pic:blipFill>
                          <a:blip r:embed="rId17"/>
                          <a:stretch>
                            <a:fillRect/>
                          </a:stretch>
                        </pic:blipFill>
                        <pic:spPr bwMode="auto">
                          <a:xfrm>
                            <a:off x="0" y="0"/>
                            <a:ext cx="3238270" cy="2834850"/>
                          </a:xfrm>
                          <a:prstGeom prst="rect">
                            <a:avLst/>
                          </a:prstGeom>
                          <a:noFill/>
                          <a:ln w="9525">
                            <a:noFill/>
                            <a:headEnd/>
                            <a:tailEnd/>
                          </a:ln>
                        </pic:spPr>
                      </pic:pic>
                    </a:graphicData>
                  </a:graphic>
                </wp:inline>
              </w:drawing>
            </w:r>
          </w:p>
          <w:p w14:paraId="66DF457B" w14:textId="77777777" w:rsidR="00C0020C" w:rsidRDefault="00000000">
            <w:pPr>
              <w:pStyle w:val="ImageCaption"/>
              <w:spacing w:before="200"/>
            </w:pPr>
            <w:r>
              <w:t>Figure 7: Scatterplot showing association between health literacy and vocabulary</w:t>
            </w:r>
          </w:p>
        </w:tc>
        <w:bookmarkEnd w:id="44"/>
      </w:tr>
    </w:tbl>
    <w:p w14:paraId="3160905C" w14:textId="77777777" w:rsidR="00C0020C" w:rsidRDefault="00000000">
      <w:pPr>
        <w:pStyle w:val="Heading3"/>
      </w:pPr>
      <w:bookmarkStart w:id="45" w:name="code-for-the-plot"/>
      <w:bookmarkEnd w:id="43"/>
      <w:r>
        <w:t>34.2 Code for the plot</w:t>
      </w:r>
    </w:p>
    <w:p w14:paraId="608EEDCA" w14:textId="77777777" w:rsidR="00C0020C" w:rsidRDefault="00000000">
      <w:pPr>
        <w:pStyle w:val="SourceCode"/>
      </w:pPr>
      <w:r>
        <w:rPr>
          <w:rStyle w:val="NormalTok"/>
        </w:rPr>
        <w:t xml:space="preserve">  </w:t>
      </w:r>
      <w:r>
        <w:rPr>
          <w:rStyle w:val="FunctionTok"/>
        </w:rPr>
        <w:t>ggplot</w:t>
      </w:r>
      <w:r>
        <w:rPr>
          <w:rStyle w:val="NormalTok"/>
        </w:rPr>
        <w:t>(</w:t>
      </w:r>
      <w:r>
        <w:rPr>
          <w:rStyle w:val="AttributeTok"/>
        </w:rPr>
        <w:t>data =</w:t>
      </w:r>
      <w:r>
        <w:rPr>
          <w:rStyle w:val="NormalTok"/>
        </w:rPr>
        <w:t xml:space="preserve"> clearly.one.subjects, </w:t>
      </w:r>
      <w:r>
        <w:rPr>
          <w:rStyle w:val="FunctionTok"/>
        </w:rPr>
        <w:t>aes</w:t>
      </w:r>
      <w:r>
        <w:rPr>
          <w:rStyle w:val="NormalTok"/>
        </w:rPr>
        <w:t>(</w:t>
      </w:r>
      <w:r>
        <w:rPr>
          <w:rStyle w:val="AttributeTok"/>
        </w:rPr>
        <w:t>x =</w:t>
      </w:r>
      <w:r>
        <w:rPr>
          <w:rStyle w:val="NormalTok"/>
        </w:rPr>
        <w:t xml:space="preserve"> SHIPLEY, </w:t>
      </w:r>
      <w:r>
        <w:rPr>
          <w:rStyle w:val="AttributeTok"/>
        </w:rPr>
        <w:t>y =</w:t>
      </w:r>
      <w:r>
        <w:rPr>
          <w:rStyle w:val="NormalTok"/>
        </w:rPr>
        <w:t xml:space="preserve"> HLVA))</w:t>
      </w:r>
    </w:p>
    <w:p w14:paraId="66454C73" w14:textId="77777777" w:rsidR="00C0020C" w:rsidRDefault="00000000">
      <w:pPr>
        <w:pStyle w:val="Compact"/>
        <w:numPr>
          <w:ilvl w:val="0"/>
          <w:numId w:val="33"/>
        </w:numPr>
      </w:pPr>
      <w:r>
        <w:t>We bring the data-set and the variables</w:t>
      </w:r>
    </w:p>
    <w:p w14:paraId="0B92D177" w14:textId="77777777" w:rsidR="00C0020C" w:rsidRDefault="00000000">
      <w:pPr>
        <w:pStyle w:val="Compact"/>
        <w:numPr>
          <w:ilvl w:val="0"/>
          <w:numId w:val="33"/>
        </w:numPr>
      </w:pPr>
      <w:r>
        <w:t xml:space="preserve">We declare the </w:t>
      </w:r>
      <w:r>
        <w:rPr>
          <w:i/>
          <w:iCs/>
        </w:rPr>
        <w:t>aesthetic mappings</w:t>
      </w:r>
      <w:r>
        <w:t>:</w:t>
      </w:r>
    </w:p>
    <w:p w14:paraId="1A7A751C" w14:textId="77777777" w:rsidR="00C0020C" w:rsidRDefault="00000000">
      <w:pPr>
        <w:pStyle w:val="Compact"/>
        <w:numPr>
          <w:ilvl w:val="0"/>
          <w:numId w:val="34"/>
        </w:numPr>
      </w:pPr>
      <w:r>
        <w:rPr>
          <w:rStyle w:val="VerbatimChar"/>
        </w:rPr>
        <w:t>SHIPLEY</w:t>
      </w:r>
      <w:r>
        <w:t xml:space="preserve"> score </w:t>
      </w:r>
      <m:oMath>
        <m:r>
          <m:rPr>
            <m:sty m:val="p"/>
          </m:rPr>
          <w:rPr>
            <w:rFonts w:ascii="Cambria Math" w:hAnsi="Cambria Math"/>
          </w:rPr>
          <m:t>→</m:t>
        </m:r>
      </m:oMath>
      <w:r>
        <w:t xml:space="preserve"> x-axis (horizontal: left-to-right position)</w:t>
      </w:r>
    </w:p>
    <w:p w14:paraId="66EB7375" w14:textId="77777777" w:rsidR="00C0020C" w:rsidRDefault="00000000">
      <w:pPr>
        <w:pStyle w:val="Compact"/>
        <w:numPr>
          <w:ilvl w:val="0"/>
          <w:numId w:val="34"/>
        </w:numPr>
      </w:pPr>
      <w:r>
        <w:rPr>
          <w:rStyle w:val="VerbatimChar"/>
        </w:rPr>
        <w:t>HLVA</w:t>
      </w:r>
      <w:r>
        <w:t xml:space="preserve"> score </w:t>
      </w:r>
      <m:oMath>
        <m:r>
          <m:rPr>
            <m:sty m:val="p"/>
          </m:rPr>
          <w:rPr>
            <w:rFonts w:ascii="Cambria Math" w:hAnsi="Cambria Math"/>
          </w:rPr>
          <m:t>→</m:t>
        </m:r>
      </m:oMath>
      <w:r>
        <w:t xml:space="preserve"> y-axis (vertical: bottom-to-top position)</w:t>
      </w:r>
    </w:p>
    <w:p w14:paraId="71B949DC" w14:textId="77777777" w:rsidR="00C0020C" w:rsidRDefault="00000000">
      <w:pPr>
        <w:pStyle w:val="Heading2"/>
      </w:pPr>
      <w:bookmarkStart w:id="46" w:name="a-simple-plot-has-many-elements-2"/>
      <w:bookmarkEnd w:id="42"/>
      <w:bookmarkEnd w:id="45"/>
      <w:r>
        <w:t>35 A simple plot has many elements</w:t>
      </w:r>
    </w:p>
    <w:p w14:paraId="6C536E83" w14:textId="77777777" w:rsidR="00C0020C" w:rsidRDefault="00000000">
      <w:pPr>
        <w:pStyle w:val="Heading3"/>
      </w:pPr>
      <w:bookmarkStart w:id="47" w:name="plot-with-only-objects"/>
      <w:r>
        <w:t>35.1 Plot with only objects</w:t>
      </w:r>
    </w:p>
    <w:p w14:paraId="57C37F84" w14:textId="77777777" w:rsidR="00C0020C" w:rsidRDefault="00000000">
      <w:pPr>
        <w:pStyle w:val="Compact"/>
        <w:numPr>
          <w:ilvl w:val="0"/>
          <w:numId w:val="35"/>
        </w:numPr>
      </w:pPr>
      <w:r>
        <w:t>When we code a plot, we tell R we want:</w:t>
      </w:r>
    </w:p>
    <w:p w14:paraId="01FFC266" w14:textId="77777777" w:rsidR="00C0020C" w:rsidRDefault="00000000">
      <w:pPr>
        <w:pStyle w:val="Compact"/>
        <w:numPr>
          <w:ilvl w:val="0"/>
          <w:numId w:val="35"/>
        </w:numPr>
      </w:pPr>
      <w:r>
        <w:t xml:space="preserve">to use a geometric object, like </w:t>
      </w:r>
      <w:r>
        <w:rPr>
          <w:rStyle w:val="VerbatimChar"/>
        </w:rPr>
        <w:t>geom_point</w:t>
      </w:r>
    </w:p>
    <w:p w14:paraId="4BD1758E" w14:textId="77777777" w:rsidR="00C0020C" w:rsidRDefault="00000000">
      <w:pPr>
        <w:pStyle w:val="Compact"/>
        <w:numPr>
          <w:ilvl w:val="0"/>
          <w:numId w:val="35"/>
        </w:numPr>
      </w:pPr>
      <w:r>
        <w:t>to display the data aesthetic mappings</w:t>
      </w:r>
    </w:p>
    <w:tbl>
      <w:tblPr>
        <w:tblStyle w:val="Table"/>
        <w:tblW w:w="5000" w:type="pct"/>
        <w:tblLook w:val="0000" w:firstRow="0" w:lastRow="0" w:firstColumn="0" w:lastColumn="0" w:noHBand="0" w:noVBand="0"/>
      </w:tblPr>
      <w:tblGrid>
        <w:gridCol w:w="9576"/>
      </w:tblGrid>
      <w:tr w:rsidR="00C0020C" w14:paraId="608931EA" w14:textId="77777777">
        <w:tc>
          <w:tcPr>
            <w:tcW w:w="0" w:type="auto"/>
          </w:tcPr>
          <w:p w14:paraId="3D97B2C3" w14:textId="77777777" w:rsidR="00C0020C" w:rsidRDefault="00000000">
            <w:pPr>
              <w:jc w:val="center"/>
            </w:pPr>
            <w:bookmarkStart w:id="48" w:name="fig-health-study-one-HLVA-SHIPLEY-4"/>
            <w:r>
              <w:rPr>
                <w:noProof/>
              </w:rPr>
              <w:lastRenderedPageBreak/>
              <w:drawing>
                <wp:inline distT="0" distB="0" distL="0" distR="0" wp14:anchorId="33FF9D00" wp14:editId="6CD7E60F">
                  <wp:extent cx="3026229" cy="3026229"/>
                  <wp:effectExtent l="0" t="0" r="0" b="0"/>
                  <wp:docPr id="1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descr="401-data-visualisation-practices-printable_files/figure-docx/fig-health-study-one-HLVA-SHIPLEY-4-1.png"/>
                          <pic:cNvPicPr>
                            <a:picLocks noChangeAspect="1" noChangeArrowheads="1"/>
                          </pic:cNvPicPr>
                        </pic:nvPicPr>
                        <pic:blipFill>
                          <a:blip r:embed="rId18"/>
                          <a:stretch>
                            <a:fillRect/>
                          </a:stretch>
                        </pic:blipFill>
                        <pic:spPr bwMode="auto">
                          <a:xfrm>
                            <a:off x="0" y="0"/>
                            <a:ext cx="3042008" cy="3042008"/>
                          </a:xfrm>
                          <a:prstGeom prst="rect">
                            <a:avLst/>
                          </a:prstGeom>
                          <a:noFill/>
                          <a:ln w="9525">
                            <a:noFill/>
                            <a:headEnd/>
                            <a:tailEnd/>
                          </a:ln>
                        </pic:spPr>
                      </pic:pic>
                    </a:graphicData>
                  </a:graphic>
                </wp:inline>
              </w:drawing>
            </w:r>
          </w:p>
          <w:p w14:paraId="7FB1BC13" w14:textId="77777777" w:rsidR="00C0020C" w:rsidRDefault="00000000">
            <w:pPr>
              <w:pStyle w:val="ImageCaption"/>
              <w:spacing w:before="200"/>
            </w:pPr>
            <w:r>
              <w:t>Figure 8: Scatterplot showing association between health literacy and vocabulary</w:t>
            </w:r>
          </w:p>
        </w:tc>
        <w:bookmarkEnd w:id="48"/>
      </w:tr>
    </w:tbl>
    <w:p w14:paraId="0A4CD85F" w14:textId="77777777" w:rsidR="00C0020C" w:rsidRDefault="00000000">
      <w:pPr>
        <w:pStyle w:val="Heading3"/>
      </w:pPr>
      <w:bookmarkStart w:id="49" w:name="code-for-the-plot-1"/>
      <w:bookmarkEnd w:id="47"/>
      <w:r>
        <w:t>35.2 Code for the plot</w:t>
      </w:r>
    </w:p>
    <w:p w14:paraId="41155960" w14:textId="77777777" w:rsidR="00C0020C" w:rsidRDefault="00000000">
      <w:pPr>
        <w:pStyle w:val="SourceCode"/>
      </w:pPr>
      <w:r>
        <w:rPr>
          <w:rStyle w:val="NormalTok"/>
        </w:rPr>
        <w:t xml:space="preserve">  </w:t>
      </w:r>
      <w:r>
        <w:rPr>
          <w:rStyle w:val="FunctionTok"/>
        </w:rPr>
        <w:t>ggplot</w:t>
      </w:r>
      <w:r>
        <w:rPr>
          <w:rStyle w:val="NormalTok"/>
        </w:rPr>
        <w:t>(</w:t>
      </w:r>
      <w:r>
        <w:rPr>
          <w:rStyle w:val="AttributeTok"/>
        </w:rPr>
        <w:t>data =</w:t>
      </w:r>
      <w:r>
        <w:rPr>
          <w:rStyle w:val="NormalTok"/>
        </w:rPr>
        <w:t xml:space="preserve"> clearly.one.subjects, </w:t>
      </w:r>
      <w:r>
        <w:rPr>
          <w:rStyle w:val="FunctionTok"/>
        </w:rPr>
        <w:t>aes</w:t>
      </w:r>
      <w:r>
        <w:rPr>
          <w:rStyle w:val="NormalTok"/>
        </w:rPr>
        <w:t>(</w:t>
      </w:r>
      <w:r>
        <w:rPr>
          <w:rStyle w:val="AttributeTok"/>
        </w:rPr>
        <w:t>x =</w:t>
      </w:r>
      <w:r>
        <w:rPr>
          <w:rStyle w:val="NormalTok"/>
        </w:rPr>
        <w:t xml:space="preserve"> SHIPLEY, </w:t>
      </w:r>
      <w:r>
        <w:rPr>
          <w:rStyle w:val="AttributeTok"/>
        </w:rPr>
        <w:t>y =</w:t>
      </w:r>
      <w:r>
        <w:rPr>
          <w:rStyle w:val="NormalTok"/>
        </w:rPr>
        <w:t xml:space="preserve"> HLVA)) </w:t>
      </w:r>
      <w:r>
        <w:rPr>
          <w:rStyle w:val="SpecialCharTok"/>
        </w:rPr>
        <w:t>+</w:t>
      </w:r>
      <w:r>
        <w:br/>
      </w:r>
      <w:r>
        <w:rPr>
          <w:rStyle w:val="NormalTok"/>
        </w:rPr>
        <w:t xml:space="preserve">  </w:t>
      </w:r>
      <w:r>
        <w:rPr>
          <w:rStyle w:val="FunctionTok"/>
        </w:rPr>
        <w:t>geom_point</w:t>
      </w:r>
      <w:r>
        <w:rPr>
          <w:rStyle w:val="NormalTok"/>
        </w:rPr>
        <w:t>()</w:t>
      </w:r>
    </w:p>
    <w:p w14:paraId="6B129FCC" w14:textId="77777777" w:rsidR="00C0020C" w:rsidRDefault="00000000">
      <w:pPr>
        <w:pStyle w:val="Compact"/>
        <w:numPr>
          <w:ilvl w:val="0"/>
          <w:numId w:val="36"/>
        </w:numPr>
      </w:pPr>
      <w:r>
        <w:t xml:space="preserve">We add the </w:t>
      </w:r>
      <w:r>
        <w:rPr>
          <w:rStyle w:val="VerbatimChar"/>
        </w:rPr>
        <w:t>geom_point()</w:t>
      </w:r>
      <w:r>
        <w:t xml:space="preserve"> to tell R to draw the information about the </w:t>
      </w:r>
      <w:r>
        <w:rPr>
          <w:rStyle w:val="VerbatimChar"/>
        </w:rPr>
        <w:t>SHIPLEY</w:t>
      </w:r>
      <w:r>
        <w:t xml:space="preserve"> and </w:t>
      </w:r>
      <w:r>
        <w:rPr>
          <w:rStyle w:val="VerbatimChar"/>
        </w:rPr>
        <w:t>HLVA</w:t>
      </w:r>
      <w:r>
        <w:t xml:space="preserve"> scores as points</w:t>
      </w:r>
    </w:p>
    <w:p w14:paraId="448952D7" w14:textId="77777777" w:rsidR="00C0020C" w:rsidRDefault="00000000">
      <w:pPr>
        <w:pStyle w:val="Compact"/>
        <w:numPr>
          <w:ilvl w:val="0"/>
          <w:numId w:val="36"/>
        </w:numPr>
      </w:pPr>
      <w:r>
        <w:t xml:space="preserve">Each point represents information about one participant in the </w:t>
      </w:r>
      <w:r>
        <w:rPr>
          <w:rStyle w:val="VerbatimChar"/>
        </w:rPr>
        <w:t>clearly.one.subjects</w:t>
      </w:r>
      <w:r>
        <w:t xml:space="preserve"> data-set</w:t>
      </w:r>
    </w:p>
    <w:p w14:paraId="633BD400" w14:textId="77777777" w:rsidR="00C0020C" w:rsidRDefault="00000000">
      <w:pPr>
        <w:pStyle w:val="Compact"/>
        <w:numPr>
          <w:ilvl w:val="0"/>
          <w:numId w:val="37"/>
        </w:numPr>
      </w:pPr>
      <w:r>
        <w:rPr>
          <w:rStyle w:val="VerbatimChar"/>
        </w:rPr>
        <w:t>SHIPLEY</w:t>
      </w:r>
      <w:r>
        <w:t xml:space="preserve"> score </w:t>
      </w:r>
      <m:oMath>
        <m:r>
          <m:rPr>
            <m:sty m:val="p"/>
          </m:rPr>
          <w:rPr>
            <w:rFonts w:ascii="Cambria Math" w:hAnsi="Cambria Math"/>
          </w:rPr>
          <m:t>→</m:t>
        </m:r>
      </m:oMath>
      <w:r>
        <w:t xml:space="preserve"> x-axis (horizontal: left-to-right position)</w:t>
      </w:r>
    </w:p>
    <w:p w14:paraId="0940F24C" w14:textId="77777777" w:rsidR="00C0020C" w:rsidRDefault="00000000">
      <w:pPr>
        <w:pStyle w:val="Compact"/>
        <w:numPr>
          <w:ilvl w:val="0"/>
          <w:numId w:val="37"/>
        </w:numPr>
      </w:pPr>
      <w:r>
        <w:rPr>
          <w:rStyle w:val="VerbatimChar"/>
        </w:rPr>
        <w:t>HLVA</w:t>
      </w:r>
      <w:r>
        <w:t xml:space="preserve"> score </w:t>
      </w:r>
      <m:oMath>
        <m:r>
          <m:rPr>
            <m:sty m:val="p"/>
          </m:rPr>
          <w:rPr>
            <w:rFonts w:ascii="Cambria Math" w:hAnsi="Cambria Math"/>
          </w:rPr>
          <m:t>→</m:t>
        </m:r>
      </m:oMath>
      <w:r>
        <w:t xml:space="preserve"> y-axis (vertical: bottom-to-top position)</w:t>
      </w:r>
    </w:p>
    <w:p w14:paraId="1B9C0F79" w14:textId="77777777" w:rsidR="00C0020C" w:rsidRDefault="00000000">
      <w:pPr>
        <w:pStyle w:val="Heading2"/>
      </w:pPr>
      <w:bookmarkStart w:id="50" w:name="when-we-use-ggplot2-we-work-in-layers"/>
      <w:bookmarkEnd w:id="46"/>
      <w:bookmarkEnd w:id="49"/>
      <w:r>
        <w:t xml:space="preserve">36 When we use </w:t>
      </w:r>
      <w:r>
        <w:rPr>
          <w:rStyle w:val="VerbatimChar"/>
        </w:rPr>
        <w:t>{ggplot2}</w:t>
      </w:r>
      <w:r>
        <w:t xml:space="preserve"> we work in </w:t>
      </w:r>
      <w:r>
        <w:rPr>
          <w:i/>
          <w:iCs/>
        </w:rPr>
        <w:t>layers</w:t>
      </w:r>
    </w:p>
    <w:p w14:paraId="4D0A61D5" w14:textId="77777777" w:rsidR="00C0020C" w:rsidRDefault="00000000">
      <w:pPr>
        <w:pStyle w:val="Compact"/>
        <w:numPr>
          <w:ilvl w:val="0"/>
          <w:numId w:val="38"/>
        </w:numPr>
      </w:pPr>
      <w:r>
        <w:t>The grammar of graphics define the components of a plot: the data, the mappings, and the geometric object</w:t>
      </w:r>
    </w:p>
    <w:p w14:paraId="22581028" w14:textId="77777777" w:rsidR="00C0020C" w:rsidRDefault="00000000">
      <w:pPr>
        <w:pStyle w:val="Compact"/>
        <w:numPr>
          <w:ilvl w:val="0"/>
          <w:numId w:val="38"/>
        </w:numPr>
      </w:pPr>
      <w:r>
        <w:t xml:space="preserve">Together, the data, mappings, and geometric object form a </w:t>
      </w:r>
      <w:r>
        <w:rPr>
          <w:i/>
          <w:iCs/>
        </w:rPr>
        <w:t>layer</w:t>
      </w:r>
    </w:p>
    <w:p w14:paraId="277097F6" w14:textId="77777777" w:rsidR="00C0020C" w:rsidRDefault="00000000">
      <w:pPr>
        <w:pStyle w:val="Compact"/>
        <w:numPr>
          <w:ilvl w:val="0"/>
          <w:numId w:val="38"/>
        </w:numPr>
      </w:pPr>
      <w:r>
        <w:t>A plot may have multiple layers</w:t>
      </w:r>
    </w:p>
    <w:p w14:paraId="25829282" w14:textId="77777777" w:rsidR="00C0020C" w:rsidRDefault="00000000">
      <w:pPr>
        <w:pStyle w:val="Heading2"/>
      </w:pPr>
      <w:bookmarkStart w:id="51" w:name="X3adea82ebdffadc644ccb379343660ad9fcbf57"/>
      <w:bookmarkEnd w:id="50"/>
      <w:r>
        <w:t xml:space="preserve">37 When we use </w:t>
      </w:r>
      <w:r>
        <w:rPr>
          <w:rStyle w:val="VerbatimChar"/>
        </w:rPr>
        <w:t>{ggplot2}</w:t>
      </w:r>
      <w:r>
        <w:t xml:space="preserve"> we are in control and we can be creative</w:t>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648"/>
      </w:tblGrid>
      <w:tr w:rsidR="00C0020C" w14:paraId="06EF210E" w14:textId="77777777" w:rsidTr="00C0020C">
        <w:trPr>
          <w:cantSplit/>
        </w:trPr>
        <w:tc>
          <w:tcPr>
            <w:tcW w:w="0" w:type="auto"/>
            <w:shd w:val="clear" w:color="auto" w:fill="CCF1E3"/>
            <w:tcMar>
              <w:top w:w="92" w:type="dxa"/>
              <w:bottom w:w="92" w:type="dxa"/>
            </w:tcMar>
          </w:tcPr>
          <w:p w14:paraId="1D3B4C69" w14:textId="77777777" w:rsidR="00C0020C" w:rsidRDefault="00000000">
            <w:pPr>
              <w:pStyle w:val="FirstParagraph"/>
              <w:spacing w:before="0" w:after="0"/>
              <w:textAlignment w:val="center"/>
            </w:pPr>
            <w:r>
              <w:rPr>
                <w:noProof/>
              </w:rPr>
              <w:drawing>
                <wp:inline distT="0" distB="0" distL="0" distR="0" wp14:anchorId="0594E4AE" wp14:editId="3C1589E7">
                  <wp:extent cx="152400" cy="152400"/>
                  <wp:effectExtent l="0" t="0" r="0" b="0"/>
                  <wp:docPr id="121" name="Picture"/>
                  <wp:cNvGraphicFramePr/>
                  <a:graphic xmlns:a="http://schemas.openxmlformats.org/drawingml/2006/main">
                    <a:graphicData uri="http://schemas.openxmlformats.org/drawingml/2006/picture">
                      <pic:pic xmlns:pic="http://schemas.openxmlformats.org/drawingml/2006/picture">
                        <pic:nvPicPr>
                          <pic:cNvPr id="122" name="Picture" descr="/Applications/RStudio.app/Contents/Resources/app/quarto/share/formats/docx/tip.png"/>
                          <pic:cNvPicPr>
                            <a:picLocks noChangeAspect="1" noChangeArrowheads="1"/>
                          </pic:cNvPicPr>
                        </pic:nvPicPr>
                        <pic:blipFill>
                          <a:blip r:embed="rId7"/>
                          <a:stretch>
                            <a:fillRect/>
                          </a:stretch>
                        </pic:blipFill>
                        <pic:spPr bwMode="auto">
                          <a:xfrm>
                            <a:off x="0" y="0"/>
                            <a:ext cx="152400" cy="152400"/>
                          </a:xfrm>
                          <a:prstGeom prst="rect">
                            <a:avLst/>
                          </a:prstGeom>
                          <a:noFill/>
                          <a:ln w="9525">
                            <a:noFill/>
                            <a:headEnd/>
                            <a:tailEnd/>
                          </a:ln>
                        </pic:spPr>
                      </pic:pic>
                    </a:graphicData>
                  </a:graphic>
                </wp:inline>
              </w:drawing>
            </w:r>
            <w:r>
              <w:t xml:space="preserve">  Tip</w:t>
            </w:r>
          </w:p>
        </w:tc>
      </w:tr>
      <w:tr w:rsidR="00C0020C" w14:paraId="713B47B2" w14:textId="77777777" w:rsidTr="00C0020C">
        <w:trPr>
          <w:cantSplit/>
        </w:trPr>
        <w:tc>
          <w:tcPr>
            <w:tcW w:w="0" w:type="auto"/>
            <w:tcMar>
              <w:top w:w="108" w:type="dxa"/>
              <w:bottom w:w="108" w:type="dxa"/>
            </w:tcMar>
          </w:tcPr>
          <w:p w14:paraId="1ED3BF73" w14:textId="77777777" w:rsidR="00C0020C" w:rsidRDefault="00000000">
            <w:pPr>
              <w:pStyle w:val="Compact"/>
              <w:numPr>
                <w:ilvl w:val="0"/>
                <w:numId w:val="39"/>
              </w:numPr>
            </w:pPr>
            <w:r>
              <w:t>Having a system of graphics: with components, layers and rules</w:t>
            </w:r>
          </w:p>
          <w:p w14:paraId="3C645C72" w14:textId="77777777" w:rsidR="00C0020C" w:rsidRDefault="00000000">
            <w:pPr>
              <w:pStyle w:val="Compact"/>
              <w:numPr>
                <w:ilvl w:val="0"/>
                <w:numId w:val="39"/>
              </w:numPr>
            </w:pPr>
            <w:r>
              <w:t xml:space="preserve">Releases us to be </w:t>
            </w:r>
            <w:r>
              <w:rPr>
                <w:i/>
                <w:iCs/>
              </w:rPr>
              <w:t>creative</w:t>
            </w:r>
            <w:r>
              <w:t>: changing a single feature at a time</w:t>
            </w:r>
          </w:p>
        </w:tc>
      </w:tr>
    </w:tbl>
    <w:p w14:paraId="0A3A600B" w14:textId="77777777" w:rsidR="00C0020C" w:rsidRDefault="00000000">
      <w:pPr>
        <w:pStyle w:val="Heading2"/>
      </w:pPr>
      <w:bookmarkStart w:id="52" w:name="plot-with-layers-add-a-smoother"/>
      <w:bookmarkEnd w:id="51"/>
      <w:r>
        <w:lastRenderedPageBreak/>
        <w:t>38 Plot with layers: add a smoother</w:t>
      </w:r>
    </w:p>
    <w:p w14:paraId="7C833A84" w14:textId="77777777" w:rsidR="00C0020C" w:rsidRDefault="00000000">
      <w:pPr>
        <w:pStyle w:val="Heading3"/>
      </w:pPr>
      <w:bookmarkStart w:id="53" w:name="plot-with-smoother"/>
      <w:r>
        <w:t>38.1 Plot with smoother</w:t>
      </w:r>
    </w:p>
    <w:p w14:paraId="5168E6D1" w14:textId="77777777" w:rsidR="00C0020C" w:rsidRDefault="00000000">
      <w:pPr>
        <w:pStyle w:val="Compact"/>
        <w:numPr>
          <w:ilvl w:val="0"/>
          <w:numId w:val="40"/>
        </w:numPr>
      </w:pPr>
      <w:r>
        <w:t xml:space="preserve">Build a plot </w:t>
      </w:r>
      <w:r>
        <w:rPr>
          <w:i/>
          <w:iCs/>
        </w:rPr>
        <w:t>layer by layer</w:t>
      </w:r>
    </w:p>
    <w:p w14:paraId="406BCC59" w14:textId="77777777" w:rsidR="00C0020C" w:rsidRDefault="00000000">
      <w:pPr>
        <w:pStyle w:val="Compact"/>
        <w:numPr>
          <w:ilvl w:val="0"/>
          <w:numId w:val="40"/>
        </w:numPr>
      </w:pPr>
      <w:r>
        <w:t>We can begin by using points to display the vocabulary and health literacy scores for each person</w:t>
      </w:r>
    </w:p>
    <w:p w14:paraId="028B45CE" w14:textId="77777777" w:rsidR="00C0020C" w:rsidRDefault="00000000">
      <w:pPr>
        <w:pStyle w:val="Compact"/>
        <w:numPr>
          <w:ilvl w:val="0"/>
          <w:numId w:val="40"/>
        </w:numPr>
      </w:pPr>
      <w:r>
        <w:t xml:space="preserve">We add a layer using a </w:t>
      </w:r>
      <w:r>
        <w:rPr>
          <w:i/>
          <w:iCs/>
        </w:rPr>
        <w:t>smoother</w:t>
      </w:r>
      <w:r>
        <w:t xml:space="preserve"> to show the average association between vocabulary and literacy</w:t>
      </w:r>
    </w:p>
    <w:tbl>
      <w:tblPr>
        <w:tblStyle w:val="Table"/>
        <w:tblW w:w="5000" w:type="pct"/>
        <w:tblLook w:val="0000" w:firstRow="0" w:lastRow="0" w:firstColumn="0" w:lastColumn="0" w:noHBand="0" w:noVBand="0"/>
      </w:tblPr>
      <w:tblGrid>
        <w:gridCol w:w="9576"/>
      </w:tblGrid>
      <w:tr w:rsidR="00C0020C" w14:paraId="76558E39" w14:textId="77777777">
        <w:tc>
          <w:tcPr>
            <w:tcW w:w="0" w:type="auto"/>
          </w:tcPr>
          <w:p w14:paraId="3401B0A6" w14:textId="77777777" w:rsidR="00C0020C" w:rsidRDefault="00000000">
            <w:pPr>
              <w:jc w:val="center"/>
            </w:pPr>
            <w:bookmarkStart w:id="54" w:name="fig-health-study-one-HLVA-SHIPLEY-6"/>
            <w:r>
              <w:rPr>
                <w:noProof/>
              </w:rPr>
              <w:drawing>
                <wp:inline distT="0" distB="0" distL="0" distR="0" wp14:anchorId="21584095" wp14:editId="18FE10EC">
                  <wp:extent cx="3537857" cy="3537857"/>
                  <wp:effectExtent l="0" t="0" r="0" b="0"/>
                  <wp:docPr id="1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descr="401-data-visualisation-practices-printable_files/figure-docx/fig-health-study-one-HLVA-SHIPLEY-6-1.png"/>
                          <pic:cNvPicPr>
                            <a:picLocks noChangeAspect="1" noChangeArrowheads="1"/>
                          </pic:cNvPicPr>
                        </pic:nvPicPr>
                        <pic:blipFill>
                          <a:blip r:embed="rId19"/>
                          <a:stretch>
                            <a:fillRect/>
                          </a:stretch>
                        </pic:blipFill>
                        <pic:spPr bwMode="auto">
                          <a:xfrm>
                            <a:off x="0" y="0"/>
                            <a:ext cx="3555970" cy="3555970"/>
                          </a:xfrm>
                          <a:prstGeom prst="rect">
                            <a:avLst/>
                          </a:prstGeom>
                          <a:noFill/>
                          <a:ln w="9525">
                            <a:noFill/>
                            <a:headEnd/>
                            <a:tailEnd/>
                          </a:ln>
                        </pic:spPr>
                      </pic:pic>
                    </a:graphicData>
                  </a:graphic>
                </wp:inline>
              </w:drawing>
            </w:r>
          </w:p>
          <w:p w14:paraId="3FE2AEB8" w14:textId="77777777" w:rsidR="00C0020C" w:rsidRDefault="00000000">
            <w:pPr>
              <w:pStyle w:val="ImageCaption"/>
              <w:spacing w:before="200"/>
            </w:pPr>
            <w:r>
              <w:t>Figure 9: Scatterplot showing association between health literacy and vocabulary</w:t>
            </w:r>
          </w:p>
        </w:tc>
        <w:bookmarkEnd w:id="54"/>
      </w:tr>
    </w:tbl>
    <w:p w14:paraId="4B3E288D" w14:textId="77777777" w:rsidR="00C0020C" w:rsidRDefault="00000000">
      <w:pPr>
        <w:pStyle w:val="Heading3"/>
      </w:pPr>
      <w:bookmarkStart w:id="55" w:name="code-for-the-plot-2"/>
      <w:bookmarkEnd w:id="53"/>
      <w:r>
        <w:t>38.2 Code for the plot</w:t>
      </w:r>
    </w:p>
    <w:p w14:paraId="2AA68F34" w14:textId="77777777" w:rsidR="00C0020C" w:rsidRDefault="00000000">
      <w:pPr>
        <w:pStyle w:val="SourceCode"/>
      </w:pPr>
      <w:r>
        <w:rPr>
          <w:rStyle w:val="NormalTok"/>
        </w:rPr>
        <w:t xml:space="preserve">  </w:t>
      </w:r>
      <w:r>
        <w:rPr>
          <w:rStyle w:val="FunctionTok"/>
        </w:rPr>
        <w:t>ggplot</w:t>
      </w:r>
      <w:r>
        <w:rPr>
          <w:rStyle w:val="NormalTok"/>
        </w:rPr>
        <w:t>(</w:t>
      </w:r>
      <w:r>
        <w:rPr>
          <w:rStyle w:val="AttributeTok"/>
        </w:rPr>
        <w:t>data =</w:t>
      </w:r>
      <w:r>
        <w:rPr>
          <w:rStyle w:val="NormalTok"/>
        </w:rPr>
        <w:t xml:space="preserve"> clearly.one.subjects, </w:t>
      </w:r>
      <w:r>
        <w:rPr>
          <w:rStyle w:val="FunctionTok"/>
        </w:rPr>
        <w:t>aes</w:t>
      </w:r>
      <w:r>
        <w:rPr>
          <w:rStyle w:val="NormalTok"/>
        </w:rPr>
        <w:t>(</w:t>
      </w:r>
      <w:r>
        <w:rPr>
          <w:rStyle w:val="AttributeTok"/>
        </w:rPr>
        <w:t>x =</w:t>
      </w:r>
      <w:r>
        <w:rPr>
          <w:rStyle w:val="NormalTok"/>
        </w:rPr>
        <w:t xml:space="preserve"> SHIPLEY, </w:t>
      </w:r>
      <w:r>
        <w:rPr>
          <w:rStyle w:val="AttributeTok"/>
        </w:rPr>
        <w:t>y =</w:t>
      </w:r>
      <w:r>
        <w:rPr>
          <w:rStyle w:val="NormalTok"/>
        </w:rPr>
        <w:t xml:space="preserve"> HLVA)) </w:t>
      </w:r>
      <w:r>
        <w:rPr>
          <w:rStyle w:val="SpecialCharTok"/>
        </w:rPr>
        <w:t>+</w:t>
      </w:r>
      <w:r>
        <w:br/>
      </w:r>
      <w:r>
        <w:rPr>
          <w:rStyle w:val="NormalTok"/>
        </w:rPr>
        <w:t xml:space="preserve">  </w:t>
      </w:r>
      <w:r>
        <w:rPr>
          <w:rStyle w:val="FunctionTok"/>
        </w:rPr>
        <w:t>geom_point</w:t>
      </w:r>
      <w:r>
        <w:rPr>
          <w:rStyle w:val="NormalTok"/>
        </w:rPr>
        <w:t xml:space="preserve">() </w:t>
      </w:r>
      <w:r>
        <w:rPr>
          <w:rStyle w:val="SpecialCharTok"/>
        </w:rPr>
        <w:t>+</w:t>
      </w:r>
      <w:r>
        <w:br/>
      </w:r>
      <w:r>
        <w:rPr>
          <w:rStyle w:val="NormalTok"/>
        </w:rPr>
        <w:t xml:space="preserve">  </w:t>
      </w:r>
      <w:r>
        <w:rPr>
          <w:rStyle w:val="FunctionTok"/>
        </w:rPr>
        <w:t>geom_smooth</w:t>
      </w:r>
      <w:r>
        <w:rPr>
          <w:rStyle w:val="NormalTok"/>
        </w:rPr>
        <w:t>()</w:t>
      </w:r>
    </w:p>
    <w:p w14:paraId="52D07988" w14:textId="77777777" w:rsidR="00C0020C" w:rsidRDefault="00000000">
      <w:pPr>
        <w:pStyle w:val="Compact"/>
        <w:numPr>
          <w:ilvl w:val="0"/>
          <w:numId w:val="41"/>
        </w:numPr>
      </w:pPr>
      <w:r>
        <w:t xml:space="preserve">We add the </w:t>
      </w:r>
      <w:r>
        <w:rPr>
          <w:rStyle w:val="VerbatimChar"/>
        </w:rPr>
        <w:t>geom_smooth()</w:t>
      </w:r>
      <w:r>
        <w:t xml:space="preserve"> to tell R to represent the average trend for the association between </w:t>
      </w:r>
      <w:r>
        <w:rPr>
          <w:rStyle w:val="VerbatimChar"/>
        </w:rPr>
        <w:t>SHIPLEY</w:t>
      </w:r>
      <w:r>
        <w:t xml:space="preserve"> and </w:t>
      </w:r>
      <w:r>
        <w:rPr>
          <w:rStyle w:val="VerbatimChar"/>
        </w:rPr>
        <w:t>HLVA</w:t>
      </w:r>
      <w:r>
        <w:t xml:space="preserve"> scores</w:t>
      </w:r>
    </w:p>
    <w:p w14:paraId="22D346BA" w14:textId="77777777" w:rsidR="00C0020C" w:rsidRDefault="00000000">
      <w:pPr>
        <w:pStyle w:val="Compact"/>
        <w:numPr>
          <w:ilvl w:val="0"/>
          <w:numId w:val="41"/>
        </w:numPr>
      </w:pPr>
      <w:r>
        <w:t xml:space="preserve">The line is drawn by </w:t>
      </w:r>
      <w:r>
        <w:rPr>
          <w:rStyle w:val="VerbatimChar"/>
        </w:rPr>
        <w:t>{ggplot2}</w:t>
      </w:r>
      <w:r>
        <w:t xml:space="preserve"> which calculates a statistical transformation</w:t>
      </w:r>
    </w:p>
    <w:p w14:paraId="1E4D0BC3" w14:textId="77777777" w:rsidR="00C0020C" w:rsidRDefault="00000000">
      <w:pPr>
        <w:pStyle w:val="Compact"/>
        <w:numPr>
          <w:ilvl w:val="0"/>
          <w:numId w:val="41"/>
        </w:numPr>
      </w:pPr>
      <w:r>
        <w:t xml:space="preserve">Here, the transformation summarizes the association for different ranges of </w:t>
      </w:r>
      <w:r>
        <w:rPr>
          <w:rStyle w:val="VerbatimChar"/>
        </w:rPr>
        <w:t>SHIPLEY</w:t>
      </w:r>
      <w:r>
        <w:t xml:space="preserve"> vocabulary scores</w:t>
      </w:r>
    </w:p>
    <w:p w14:paraId="0CC9088B" w14:textId="77777777" w:rsidR="00C0020C" w:rsidRDefault="00000000">
      <w:pPr>
        <w:pStyle w:val="Heading2"/>
      </w:pPr>
      <w:bookmarkStart w:id="56" w:name="defaults-and-arguments"/>
      <w:bookmarkEnd w:id="52"/>
      <w:bookmarkEnd w:id="55"/>
      <w:r>
        <w:t>39 Defaults and arguments</w:t>
      </w:r>
    </w:p>
    <w:p w14:paraId="175961AA" w14:textId="77777777" w:rsidR="00C0020C" w:rsidRDefault="00000000">
      <w:pPr>
        <w:pStyle w:val="SourceCode"/>
      </w:pPr>
      <w:r>
        <w:rPr>
          <w:rStyle w:val="NormalTok"/>
        </w:rPr>
        <w:t xml:space="preserve">clearly.one.subjects </w:t>
      </w:r>
      <w:r>
        <w:rPr>
          <w:rStyle w:val="SpecialCharTok"/>
        </w:rPr>
        <w:t>%&gt;%</w:t>
      </w:r>
      <w:r>
        <w:br/>
      </w:r>
      <w:r>
        <w:rPr>
          <w:rStyle w:val="NormalTok"/>
        </w:rPr>
        <w:t xml:space="preserve">  </w:t>
      </w:r>
      <w:r>
        <w:rPr>
          <w:rStyle w:val="FunctionTok"/>
        </w:rPr>
        <w:t>ggplot</w:t>
      </w:r>
      <w:r>
        <w:rPr>
          <w:rStyle w:val="NormalTok"/>
        </w:rPr>
        <w:t>(</w:t>
      </w:r>
      <w:r>
        <w:rPr>
          <w:rStyle w:val="FunctionTok"/>
        </w:rPr>
        <w:t>aes</w:t>
      </w:r>
      <w:r>
        <w:rPr>
          <w:rStyle w:val="NormalTok"/>
        </w:rPr>
        <w:t xml:space="preserve">(SHIPLEY, HLVA)) </w:t>
      </w:r>
      <w:r>
        <w:rPr>
          <w:rStyle w:val="SpecialCharTok"/>
        </w:rPr>
        <w:t>+</w:t>
      </w:r>
      <w:r>
        <w:br/>
      </w:r>
      <w:r>
        <w:rPr>
          <w:rStyle w:val="NormalTok"/>
        </w:rPr>
        <w:lastRenderedPageBreak/>
        <w:t xml:space="preserve">  </w:t>
      </w:r>
      <w:r>
        <w:rPr>
          <w:rStyle w:val="FunctionTok"/>
        </w:rPr>
        <w:t>geom_smooth</w:t>
      </w:r>
      <w:r>
        <w:rPr>
          <w:rStyle w:val="NormalTok"/>
        </w:rPr>
        <w:t xml:space="preserve">() </w:t>
      </w:r>
      <w:r>
        <w:rPr>
          <w:rStyle w:val="SpecialCharTok"/>
        </w:rPr>
        <w:t>+</w:t>
      </w:r>
      <w:r>
        <w:br/>
      </w:r>
      <w:r>
        <w:rPr>
          <w:rStyle w:val="NormalTok"/>
        </w:rPr>
        <w:t xml:space="preserve">  </w:t>
      </w:r>
      <w:r>
        <w:rPr>
          <w:rStyle w:val="FunctionTok"/>
        </w:rPr>
        <w:t>geom_point</w:t>
      </w:r>
      <w:r>
        <w:rPr>
          <w:rStyle w:val="NormalTok"/>
        </w:rPr>
        <w:t>()</w:t>
      </w:r>
    </w:p>
    <w:p w14:paraId="5B046DD4" w14:textId="77777777" w:rsidR="00C0020C" w:rsidRDefault="00000000">
      <w:pPr>
        <w:pStyle w:val="Compact"/>
        <w:numPr>
          <w:ilvl w:val="0"/>
          <w:numId w:val="42"/>
        </w:numPr>
      </w:pPr>
      <w:r>
        <w:t xml:space="preserve">The </w:t>
      </w:r>
      <w:r>
        <w:rPr>
          <w:rStyle w:val="VerbatimChar"/>
        </w:rPr>
        <w:t>{ggplot2}</w:t>
      </w:r>
      <w:r>
        <w:t xml:space="preserve"> library supplies default values</w:t>
      </w:r>
    </w:p>
    <w:p w14:paraId="53F64B43" w14:textId="77777777" w:rsidR="00C0020C" w:rsidRDefault="00000000">
      <w:pPr>
        <w:pStyle w:val="Compact"/>
        <w:numPr>
          <w:ilvl w:val="0"/>
          <w:numId w:val="42"/>
        </w:numPr>
      </w:pPr>
      <w:r>
        <w:t>So we do not need to tell R how to do every thing</w:t>
      </w:r>
    </w:p>
    <w:p w14:paraId="2AB21CBD" w14:textId="77777777" w:rsidR="00C0020C" w:rsidRDefault="00000000">
      <w:pPr>
        <w:pStyle w:val="Compact"/>
        <w:numPr>
          <w:ilvl w:val="0"/>
          <w:numId w:val="42"/>
        </w:numPr>
      </w:pPr>
      <w:r>
        <w:t>We do not need to tell R that the points in a scatterplot:</w:t>
      </w:r>
    </w:p>
    <w:p w14:paraId="0E053882" w14:textId="77777777" w:rsidR="00C0020C" w:rsidRDefault="00000000">
      <w:pPr>
        <w:pStyle w:val="Compact"/>
        <w:numPr>
          <w:ilvl w:val="0"/>
          <w:numId w:val="42"/>
        </w:numPr>
      </w:pPr>
      <w:r>
        <w:t xml:space="preserve">should represent the data aesthetic mappings in </w:t>
      </w:r>
      <w:r>
        <w:rPr>
          <w:i/>
          <w:iCs/>
        </w:rPr>
        <w:t>Cartesian</w:t>
      </w:r>
      <w:r>
        <w:t xml:space="preserve"> (x-horizontal, y-vertical) 2-dimensional space</w:t>
      </w:r>
    </w:p>
    <w:p w14:paraId="79558F64" w14:textId="77777777" w:rsidR="00C0020C" w:rsidRDefault="00000000">
      <w:pPr>
        <w:pStyle w:val="Compact"/>
        <w:numPr>
          <w:ilvl w:val="0"/>
          <w:numId w:val="42"/>
        </w:numPr>
      </w:pPr>
      <w:r>
        <w:t>and should be black in colour</w:t>
      </w:r>
    </w:p>
    <w:p w14:paraId="626AEA0F" w14:textId="77777777" w:rsidR="00C0020C" w:rsidRDefault="00000000">
      <w:pPr>
        <w:pStyle w:val="SourceCode"/>
      </w:pPr>
      <w:r>
        <w:rPr>
          <w:rStyle w:val="NormalTok"/>
        </w:rPr>
        <w:t xml:space="preserve">clearly.one.subjects </w:t>
      </w:r>
      <w:r>
        <w:rPr>
          <w:rStyle w:val="SpecialCharTok"/>
        </w:rPr>
        <w:t>%&gt;%</w:t>
      </w:r>
      <w:r>
        <w:br/>
      </w:r>
      <w:r>
        <w:rPr>
          <w:rStyle w:val="NormalTok"/>
        </w:rPr>
        <w:t xml:space="preserve">  </w:t>
      </w:r>
      <w:r>
        <w:rPr>
          <w:rStyle w:val="FunctionTok"/>
        </w:rPr>
        <w:t>ggplot</w:t>
      </w:r>
      <w:r>
        <w:rPr>
          <w:rStyle w:val="NormalTok"/>
        </w:rPr>
        <w:t>(</w:t>
      </w:r>
      <w:r>
        <w:rPr>
          <w:rStyle w:val="FunctionTok"/>
        </w:rPr>
        <w:t>aes</w:t>
      </w:r>
      <w:r>
        <w:rPr>
          <w:rStyle w:val="NormalTok"/>
        </w:rPr>
        <w:t xml:space="preserve">(SHIPLEY, HLVA)) </w:t>
      </w:r>
      <w:r>
        <w:rPr>
          <w:rStyle w:val="SpecialCharTok"/>
        </w:rPr>
        <w:t>+</w:t>
      </w:r>
      <w:r>
        <w:br/>
      </w:r>
      <w:r>
        <w:rPr>
          <w:rStyle w:val="NormalTok"/>
        </w:rPr>
        <w:t xml:space="preserve">  </w:t>
      </w:r>
      <w:r>
        <w:rPr>
          <w:rStyle w:val="FunctionTok"/>
        </w:rPr>
        <w:t>geom_smooth</w:t>
      </w:r>
      <w:r>
        <w:rPr>
          <w:rStyle w:val="NormalTok"/>
        </w:rPr>
        <w:t xml:space="preserve">() </w:t>
      </w:r>
      <w:r>
        <w:rPr>
          <w:rStyle w:val="SpecialCharTok"/>
        </w:rPr>
        <w:t>+</w:t>
      </w:r>
      <w:r>
        <w:br/>
      </w:r>
      <w:r>
        <w:rPr>
          <w:rStyle w:val="NormalTok"/>
        </w:rPr>
        <w:t xml:space="preserve">  </w:t>
      </w:r>
      <w:r>
        <w:rPr>
          <w:rStyle w:val="FunctionTok"/>
        </w:rPr>
        <w:t>geom_point</w:t>
      </w:r>
      <w:r>
        <w:rPr>
          <w:rStyle w:val="NormalTok"/>
        </w:rPr>
        <w:t>(</w:t>
      </w:r>
      <w:r>
        <w:rPr>
          <w:rStyle w:val="AttributeTok"/>
        </w:rPr>
        <w:t>colour =</w:t>
      </w:r>
      <w:r>
        <w:rPr>
          <w:rStyle w:val="NormalTok"/>
        </w:rPr>
        <w:t xml:space="preserve"> </w:t>
      </w:r>
      <w:r>
        <w:rPr>
          <w:rStyle w:val="StringTok"/>
        </w:rPr>
        <w:t>"darkgrey"</w:t>
      </w:r>
      <w:r>
        <w:rPr>
          <w:rStyle w:val="NormalTok"/>
        </w:rPr>
        <w:t xml:space="preserve">, </w:t>
      </w:r>
      <w:r>
        <w:rPr>
          <w:rStyle w:val="AttributeTok"/>
        </w:rPr>
        <w:t>size =</w:t>
      </w:r>
      <w:r>
        <w:rPr>
          <w:rStyle w:val="NormalTok"/>
        </w:rPr>
        <w:t xml:space="preserve"> </w:t>
      </w:r>
      <w:r>
        <w:rPr>
          <w:rStyle w:val="DecValTok"/>
        </w:rPr>
        <w:t>3</w:t>
      </w:r>
      <w:r>
        <w:rPr>
          <w:rStyle w:val="NormalTok"/>
        </w:rPr>
        <w:t>)</w:t>
      </w:r>
    </w:p>
    <w:p w14:paraId="3AA22F85" w14:textId="77777777" w:rsidR="00C0020C" w:rsidRDefault="00000000">
      <w:pPr>
        <w:pStyle w:val="Compact"/>
        <w:numPr>
          <w:ilvl w:val="0"/>
          <w:numId w:val="43"/>
        </w:numPr>
      </w:pPr>
      <w:r>
        <w:t xml:space="preserve">We can over-ride the defaults by supplying arguments, entering values </w:t>
      </w:r>
      <w:r>
        <w:rPr>
          <w:i/>
          <w:iCs/>
        </w:rPr>
        <w:t>inside the brackets</w:t>
      </w:r>
      <w:r>
        <w:t xml:space="preserve"> in the function calls</w:t>
      </w:r>
    </w:p>
    <w:p w14:paraId="7B05D4A2" w14:textId="77777777" w:rsidR="00C0020C" w:rsidRDefault="00000000">
      <w:pPr>
        <w:pStyle w:val="Compact"/>
        <w:numPr>
          <w:ilvl w:val="0"/>
          <w:numId w:val="43"/>
        </w:numPr>
      </w:pPr>
      <w:r>
        <w:rPr>
          <w:rStyle w:val="VerbatimChar"/>
        </w:rPr>
        <w:t>geom_point(colour = "darkgrey", size = 3)</w:t>
      </w:r>
      <w:r>
        <w:t xml:space="preserve"> tells R we want:</w:t>
      </w:r>
    </w:p>
    <w:p w14:paraId="29BB4A75" w14:textId="77777777" w:rsidR="00C0020C" w:rsidRDefault="00000000">
      <w:pPr>
        <w:pStyle w:val="Compact"/>
        <w:numPr>
          <w:ilvl w:val="0"/>
          <w:numId w:val="44"/>
        </w:numPr>
      </w:pPr>
      <w:r>
        <w:t>dark grey points when the default is black</w:t>
      </w:r>
    </w:p>
    <w:p w14:paraId="11242ADF" w14:textId="77777777" w:rsidR="00C0020C" w:rsidRDefault="00000000">
      <w:pPr>
        <w:pStyle w:val="Compact"/>
        <w:numPr>
          <w:ilvl w:val="0"/>
          <w:numId w:val="44"/>
        </w:numPr>
      </w:pPr>
      <w:r>
        <w:t>points that are 3x larger than the default size</w:t>
      </w:r>
    </w:p>
    <w:p w14:paraId="338D619D" w14:textId="77777777" w:rsidR="00C0020C" w:rsidRDefault="00000000">
      <w:pPr>
        <w:pStyle w:val="Heading2"/>
      </w:pPr>
      <w:bookmarkStart w:id="57" w:name="Xe95f7ccbdd84a84d44fb4ca9f4fb382c023e5e9"/>
      <w:bookmarkEnd w:id="56"/>
      <w:r>
        <w:t xml:space="preserve">40 When we use </w:t>
      </w:r>
      <w:r>
        <w:rPr>
          <w:rStyle w:val="VerbatimChar"/>
        </w:rPr>
        <w:t>{ggplot2}</w:t>
      </w:r>
      <w:r>
        <w:t xml:space="preserve"> we are in control and we can be creative</w:t>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648"/>
      </w:tblGrid>
      <w:tr w:rsidR="00C0020C" w14:paraId="1474CC62" w14:textId="77777777" w:rsidTr="00C0020C">
        <w:trPr>
          <w:cantSplit/>
        </w:trPr>
        <w:tc>
          <w:tcPr>
            <w:tcW w:w="0" w:type="auto"/>
            <w:shd w:val="clear" w:color="auto" w:fill="CCF1E3"/>
            <w:tcMar>
              <w:top w:w="92" w:type="dxa"/>
              <w:bottom w:w="92" w:type="dxa"/>
            </w:tcMar>
          </w:tcPr>
          <w:p w14:paraId="51E68B24" w14:textId="77777777" w:rsidR="00C0020C" w:rsidRDefault="00000000">
            <w:pPr>
              <w:pStyle w:val="FirstParagraph"/>
              <w:spacing w:before="0" w:after="0"/>
              <w:textAlignment w:val="center"/>
            </w:pPr>
            <w:r>
              <w:rPr>
                <w:noProof/>
              </w:rPr>
              <w:drawing>
                <wp:inline distT="0" distB="0" distL="0" distR="0" wp14:anchorId="3FBC939E" wp14:editId="4077F5BB">
                  <wp:extent cx="152400" cy="152400"/>
                  <wp:effectExtent l="0" t="0" r="0" b="0"/>
                  <wp:docPr id="132" name="Picture"/>
                  <wp:cNvGraphicFramePr/>
                  <a:graphic xmlns:a="http://schemas.openxmlformats.org/drawingml/2006/main">
                    <a:graphicData uri="http://schemas.openxmlformats.org/drawingml/2006/picture">
                      <pic:pic xmlns:pic="http://schemas.openxmlformats.org/drawingml/2006/picture">
                        <pic:nvPicPr>
                          <pic:cNvPr id="133" name="Picture" descr="/Applications/RStudio.app/Contents/Resources/app/quarto/share/formats/docx/tip.png"/>
                          <pic:cNvPicPr>
                            <a:picLocks noChangeAspect="1" noChangeArrowheads="1"/>
                          </pic:cNvPicPr>
                        </pic:nvPicPr>
                        <pic:blipFill>
                          <a:blip r:embed="rId7"/>
                          <a:stretch>
                            <a:fillRect/>
                          </a:stretch>
                        </pic:blipFill>
                        <pic:spPr bwMode="auto">
                          <a:xfrm>
                            <a:off x="0" y="0"/>
                            <a:ext cx="152400" cy="152400"/>
                          </a:xfrm>
                          <a:prstGeom prst="rect">
                            <a:avLst/>
                          </a:prstGeom>
                          <a:noFill/>
                          <a:ln w="9525">
                            <a:noFill/>
                            <a:headEnd/>
                            <a:tailEnd/>
                          </a:ln>
                        </pic:spPr>
                      </pic:pic>
                    </a:graphicData>
                  </a:graphic>
                </wp:inline>
              </w:drawing>
            </w:r>
            <w:r>
              <w:t xml:space="preserve">  Tip</w:t>
            </w:r>
          </w:p>
        </w:tc>
      </w:tr>
      <w:tr w:rsidR="00C0020C" w14:paraId="5EBAE36F" w14:textId="77777777" w:rsidTr="00C0020C">
        <w:trPr>
          <w:cantSplit/>
        </w:trPr>
        <w:tc>
          <w:tcPr>
            <w:tcW w:w="0" w:type="auto"/>
            <w:tcMar>
              <w:top w:w="108" w:type="dxa"/>
              <w:bottom w:w="108" w:type="dxa"/>
            </w:tcMar>
          </w:tcPr>
          <w:p w14:paraId="5FD17915" w14:textId="77777777" w:rsidR="00C0020C" w:rsidRDefault="00000000">
            <w:pPr>
              <w:pStyle w:val="Compact"/>
              <w:numPr>
                <w:ilvl w:val="0"/>
                <w:numId w:val="45"/>
              </w:numPr>
            </w:pPr>
            <w:r>
              <w:t>We can add layers, control the appearance of each component</w:t>
            </w:r>
          </w:p>
          <w:p w14:paraId="021EFE4A" w14:textId="77777777" w:rsidR="00C0020C" w:rsidRDefault="00000000">
            <w:pPr>
              <w:pStyle w:val="Compact"/>
              <w:numPr>
                <w:ilvl w:val="0"/>
                <w:numId w:val="45"/>
              </w:numPr>
            </w:pPr>
            <w:r>
              <w:t xml:space="preserve">To construct more </w:t>
            </w:r>
            <w:r>
              <w:rPr>
                <w:i/>
                <w:iCs/>
              </w:rPr>
              <w:t>effective</w:t>
            </w:r>
            <w:r>
              <w:t xml:space="preserve"> plots</w:t>
            </w:r>
          </w:p>
          <w:p w14:paraId="7A0E0052" w14:textId="77777777" w:rsidR="00C0020C" w:rsidRDefault="00000000">
            <w:pPr>
              <w:pStyle w:val="Compact"/>
              <w:numPr>
                <w:ilvl w:val="0"/>
                <w:numId w:val="45"/>
              </w:numPr>
            </w:pPr>
            <w:r>
              <w:t>The plots can be more effective because we develop them in an iterative process</w:t>
            </w:r>
          </w:p>
          <w:p w14:paraId="062F46C7" w14:textId="77777777" w:rsidR="00C0020C" w:rsidRDefault="00000000">
            <w:pPr>
              <w:pStyle w:val="Compact"/>
              <w:numPr>
                <w:ilvl w:val="0"/>
                <w:numId w:val="45"/>
              </w:numPr>
            </w:pPr>
            <w:r>
              <w:t xml:space="preserve">in which we reflect on our </w:t>
            </w:r>
            <w:r>
              <w:rPr>
                <w:i/>
                <w:iCs/>
              </w:rPr>
              <w:t>goals</w:t>
            </w:r>
            <w:r>
              <w:t xml:space="preserve"> and the </w:t>
            </w:r>
            <w:r>
              <w:rPr>
                <w:i/>
                <w:iCs/>
              </w:rPr>
              <w:t>needs of our audience</w:t>
            </w:r>
          </w:p>
        </w:tc>
      </w:tr>
    </w:tbl>
    <w:p w14:paraId="42B3FA6E" w14:textId="77777777" w:rsidR="00C0020C" w:rsidRDefault="00000000">
      <w:pPr>
        <w:pStyle w:val="Heading2"/>
      </w:pPr>
      <w:bookmarkStart w:id="58" w:name="we-can-use-colour"/>
      <w:bookmarkEnd w:id="57"/>
      <w:r>
        <w:t>41 We can use colour</w:t>
      </w:r>
    </w:p>
    <w:p w14:paraId="0D9B3763" w14:textId="77777777" w:rsidR="00C0020C" w:rsidRDefault="00000000">
      <w:pPr>
        <w:pStyle w:val="Heading3"/>
      </w:pPr>
      <w:bookmarkStart w:id="59" w:name="using-colour"/>
      <w:r>
        <w:t>41.1 Using colour</w:t>
      </w:r>
    </w:p>
    <w:p w14:paraId="16A89A3F" w14:textId="77777777" w:rsidR="00C0020C" w:rsidRDefault="00000000">
      <w:pPr>
        <w:pStyle w:val="Compact"/>
        <w:numPr>
          <w:ilvl w:val="0"/>
          <w:numId w:val="46"/>
        </w:numPr>
      </w:pPr>
      <w:r>
        <w:t>When we code a plot, we tell R we want:</w:t>
      </w:r>
    </w:p>
    <w:p w14:paraId="5D322F16" w14:textId="77777777" w:rsidR="00C0020C" w:rsidRDefault="00000000">
      <w:pPr>
        <w:pStyle w:val="Compact"/>
        <w:numPr>
          <w:ilvl w:val="0"/>
          <w:numId w:val="46"/>
        </w:numPr>
      </w:pPr>
      <w:r>
        <w:t>to display data about people with different education levels</w:t>
      </w:r>
    </w:p>
    <w:p w14:paraId="694554C7" w14:textId="77777777" w:rsidR="00C0020C" w:rsidRDefault="00000000">
      <w:pPr>
        <w:pStyle w:val="Compact"/>
        <w:numPr>
          <w:ilvl w:val="0"/>
          <w:numId w:val="46"/>
        </w:numPr>
      </w:pPr>
      <w:r>
        <w:t>distinguishing education level by colour</w:t>
      </w:r>
    </w:p>
    <w:tbl>
      <w:tblPr>
        <w:tblStyle w:val="Table"/>
        <w:tblW w:w="5000" w:type="pct"/>
        <w:tblLook w:val="0000" w:firstRow="0" w:lastRow="0" w:firstColumn="0" w:lastColumn="0" w:noHBand="0" w:noVBand="0"/>
      </w:tblPr>
      <w:tblGrid>
        <w:gridCol w:w="9576"/>
      </w:tblGrid>
      <w:tr w:rsidR="00C0020C" w14:paraId="1AAD9B65" w14:textId="77777777">
        <w:tc>
          <w:tcPr>
            <w:tcW w:w="0" w:type="auto"/>
          </w:tcPr>
          <w:p w14:paraId="23D244D0" w14:textId="77777777" w:rsidR="00C0020C" w:rsidRDefault="00000000">
            <w:pPr>
              <w:jc w:val="center"/>
            </w:pPr>
            <w:bookmarkStart w:id="60" w:name="fig-health-study-one-HLVA-SHIPLEY-10"/>
            <w:r>
              <w:rPr>
                <w:noProof/>
              </w:rPr>
              <w:lastRenderedPageBreak/>
              <w:drawing>
                <wp:inline distT="0" distB="0" distL="0" distR="0" wp14:anchorId="551ADEE6" wp14:editId="41581243">
                  <wp:extent cx="3505200" cy="3505200"/>
                  <wp:effectExtent l="0" t="0" r="0" b="0"/>
                  <wp:docPr id="13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descr="401-data-visualisation-practices-printable_files/figure-docx/fig-health-study-one-HLVA-SHIPLEY-10-1.png"/>
                          <pic:cNvPicPr>
                            <a:picLocks noChangeAspect="1" noChangeArrowheads="1"/>
                          </pic:cNvPicPr>
                        </pic:nvPicPr>
                        <pic:blipFill>
                          <a:blip r:embed="rId20"/>
                          <a:stretch>
                            <a:fillRect/>
                          </a:stretch>
                        </pic:blipFill>
                        <pic:spPr bwMode="auto">
                          <a:xfrm>
                            <a:off x="0" y="0"/>
                            <a:ext cx="3510694" cy="3510694"/>
                          </a:xfrm>
                          <a:prstGeom prst="rect">
                            <a:avLst/>
                          </a:prstGeom>
                          <a:noFill/>
                          <a:ln w="9525">
                            <a:noFill/>
                            <a:headEnd/>
                            <a:tailEnd/>
                          </a:ln>
                        </pic:spPr>
                      </pic:pic>
                    </a:graphicData>
                  </a:graphic>
                </wp:inline>
              </w:drawing>
            </w:r>
          </w:p>
          <w:p w14:paraId="54A6B654" w14:textId="77777777" w:rsidR="00C0020C" w:rsidRDefault="00000000">
            <w:pPr>
              <w:pStyle w:val="ImageCaption"/>
              <w:spacing w:before="200"/>
            </w:pPr>
            <w:r>
              <w:t>Figure 10: Using colour</w:t>
            </w:r>
          </w:p>
        </w:tc>
        <w:bookmarkEnd w:id="60"/>
      </w:tr>
    </w:tbl>
    <w:p w14:paraId="112F343B" w14:textId="77777777" w:rsidR="00C0020C" w:rsidRDefault="00000000">
      <w:pPr>
        <w:pStyle w:val="Heading3"/>
      </w:pPr>
      <w:bookmarkStart w:id="61" w:name="code-for-the-plot-3"/>
      <w:bookmarkEnd w:id="59"/>
      <w:r>
        <w:t>41.2 Code for the plot</w:t>
      </w:r>
    </w:p>
    <w:p w14:paraId="5AF37A4C" w14:textId="77777777" w:rsidR="00C0020C" w:rsidRDefault="00000000">
      <w:pPr>
        <w:pStyle w:val="SourceCode"/>
      </w:pPr>
      <w:r>
        <w:rPr>
          <w:rStyle w:val="NormalTok"/>
        </w:rPr>
        <w:t xml:space="preserve">clearly.one.subjects </w:t>
      </w:r>
      <w:r>
        <w:rPr>
          <w:rStyle w:val="SpecialCharTok"/>
        </w:rPr>
        <w:t>%&gt;%</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 =</w:t>
      </w:r>
      <w:r>
        <w:rPr>
          <w:rStyle w:val="NormalTok"/>
        </w:rPr>
        <w:t xml:space="preserve"> SHIPLEY, </w:t>
      </w:r>
      <w:r>
        <w:rPr>
          <w:rStyle w:val="AttributeTok"/>
        </w:rPr>
        <w:t>y =</w:t>
      </w:r>
      <w:r>
        <w:rPr>
          <w:rStyle w:val="NormalTok"/>
        </w:rPr>
        <w:t xml:space="preserve"> HLVA,</w:t>
      </w:r>
      <w:r>
        <w:br/>
      </w:r>
      <w:r>
        <w:rPr>
          <w:rStyle w:val="NormalTok"/>
        </w:rPr>
        <w:t xml:space="preserve">             </w:t>
      </w:r>
      <w:r>
        <w:rPr>
          <w:rStyle w:val="AttributeTok"/>
        </w:rPr>
        <w:t>group =</w:t>
      </w:r>
      <w:r>
        <w:rPr>
          <w:rStyle w:val="NormalTok"/>
        </w:rPr>
        <w:t xml:space="preserve"> EDUCATION, </w:t>
      </w:r>
      <w:r>
        <w:rPr>
          <w:rStyle w:val="AttributeTok"/>
        </w:rPr>
        <w:t>colour =</w:t>
      </w:r>
      <w:r>
        <w:rPr>
          <w:rStyle w:val="NormalTok"/>
        </w:rPr>
        <w:t xml:space="preserve"> EDUCATION)) </w:t>
      </w:r>
      <w:r>
        <w:rPr>
          <w:rStyle w:val="SpecialCharTok"/>
        </w:rPr>
        <w:t>+</w:t>
      </w:r>
      <w:r>
        <w:br/>
      </w:r>
      <w:r>
        <w:rPr>
          <w:rStyle w:val="NormalTok"/>
        </w:rPr>
        <w:t xml:space="preserve">  </w:t>
      </w:r>
      <w:r>
        <w:rPr>
          <w:rStyle w:val="FunctionTok"/>
        </w:rPr>
        <w:t>geom_smooth</w:t>
      </w:r>
      <w:r>
        <w:rPr>
          <w:rStyle w:val="NormalTok"/>
        </w:rPr>
        <w:t>(</w:t>
      </w:r>
      <w:r>
        <w:rPr>
          <w:rStyle w:val="AttributeTok"/>
        </w:rPr>
        <w:t>method =</w:t>
      </w:r>
      <w:r>
        <w:rPr>
          <w:rStyle w:val="NormalTok"/>
        </w:rPr>
        <w:t xml:space="preserve"> </w:t>
      </w:r>
      <w:r>
        <w:rPr>
          <w:rStyle w:val="StringTok"/>
        </w:rPr>
        <w:t>"lm"</w:t>
      </w:r>
      <w:r>
        <w:rPr>
          <w:rStyle w:val="NormalTok"/>
        </w:rPr>
        <w:t xml:space="preserve">, </w:t>
      </w:r>
      <w:r>
        <w:rPr>
          <w:rStyle w:val="AttributeTok"/>
        </w:rPr>
        <w:t>se =</w:t>
      </w:r>
      <w:r>
        <w:rPr>
          <w:rStyle w:val="NormalTok"/>
        </w:rPr>
        <w:t xml:space="preserve"> </w:t>
      </w:r>
      <w:r>
        <w:rPr>
          <w:rStyle w:val="ConstantTok"/>
        </w:rPr>
        <w:t>FALSE</w:t>
      </w:r>
      <w:r>
        <w:rPr>
          <w:rStyle w:val="NormalTok"/>
        </w:rPr>
        <w:t>,</w:t>
      </w:r>
      <w:r>
        <w:br/>
      </w:r>
      <w:r>
        <w:rPr>
          <w:rStyle w:val="NormalTok"/>
        </w:rPr>
        <w:t xml:space="preserve">              </w:t>
      </w:r>
      <w:r>
        <w:rPr>
          <w:rStyle w:val="AttributeTok"/>
        </w:rPr>
        <w:t>linewidth =</w:t>
      </w:r>
      <w:r>
        <w:rPr>
          <w:rStyle w:val="NormalTok"/>
        </w:rPr>
        <w:t xml:space="preserve"> </w:t>
      </w:r>
      <w:r>
        <w:rPr>
          <w:rStyle w:val="DecValTok"/>
        </w:rPr>
        <w:t>2</w:t>
      </w:r>
      <w:r>
        <w:rPr>
          <w:rStyle w:val="NormalTok"/>
        </w:rPr>
        <w:t xml:space="preserve">, </w:t>
      </w:r>
      <w:r>
        <w:rPr>
          <w:rStyle w:val="AttributeTok"/>
        </w:rPr>
        <w:t>alpha =</w:t>
      </w:r>
      <w:r>
        <w:rPr>
          <w:rStyle w:val="NormalTok"/>
        </w:rPr>
        <w:t xml:space="preserve"> .</w:t>
      </w:r>
      <w:r>
        <w:rPr>
          <w:rStyle w:val="DecValTok"/>
        </w:rPr>
        <w:t>75</w:t>
      </w:r>
      <w:r>
        <w:rPr>
          <w:rStyle w:val="NormalTok"/>
        </w:rPr>
        <w:t xml:space="preserve">) </w:t>
      </w:r>
      <w:r>
        <w:rPr>
          <w:rStyle w:val="SpecialCharTok"/>
        </w:rPr>
        <w:t>+</w:t>
      </w:r>
      <w:r>
        <w:br/>
      </w:r>
      <w:r>
        <w:rPr>
          <w:rStyle w:val="NormalTok"/>
        </w:rPr>
        <w:t xml:space="preserve">  </w:t>
      </w:r>
      <w:r>
        <w:rPr>
          <w:rStyle w:val="FunctionTok"/>
        </w:rPr>
        <w:t>geom_point</w:t>
      </w:r>
      <w:r>
        <w:rPr>
          <w:rStyle w:val="NormalTok"/>
        </w:rPr>
        <w:t>(</w:t>
      </w:r>
      <w:r>
        <w:rPr>
          <w:rStyle w:val="AttributeTok"/>
        </w:rPr>
        <w:t>size =</w:t>
      </w:r>
      <w:r>
        <w:rPr>
          <w:rStyle w:val="NormalTok"/>
        </w:rPr>
        <w:t xml:space="preserve"> </w:t>
      </w:r>
      <w:r>
        <w:rPr>
          <w:rStyle w:val="DecValTok"/>
        </w:rPr>
        <w:t>3</w:t>
      </w:r>
      <w:r>
        <w:rPr>
          <w:rStyle w:val="NormalTok"/>
        </w:rPr>
        <w:t>)</w:t>
      </w:r>
    </w:p>
    <w:p w14:paraId="49A79EA9" w14:textId="77777777" w:rsidR="00C0020C" w:rsidRDefault="00000000">
      <w:pPr>
        <w:pStyle w:val="Compact"/>
        <w:numPr>
          <w:ilvl w:val="0"/>
          <w:numId w:val="47"/>
        </w:numPr>
      </w:pPr>
      <w:r>
        <w:rPr>
          <w:rStyle w:val="VerbatimChar"/>
        </w:rPr>
        <w:t>group = EDUCATION, colour = EDUCATION</w:t>
      </w:r>
      <w:r>
        <w:t xml:space="preserve"> tells R to:</w:t>
      </w:r>
    </w:p>
    <w:p w14:paraId="3E7E8632" w14:textId="77777777" w:rsidR="00C0020C" w:rsidRDefault="00000000">
      <w:pPr>
        <w:pStyle w:val="Compact"/>
        <w:numPr>
          <w:ilvl w:val="0"/>
          <w:numId w:val="48"/>
        </w:numPr>
      </w:pPr>
      <w:r>
        <w:rPr>
          <w:rStyle w:val="VerbatimChar"/>
        </w:rPr>
        <w:t>group</w:t>
      </w:r>
      <w:r>
        <w:t xml:space="preserve"> the data by </w:t>
      </w:r>
      <w:r>
        <w:rPr>
          <w:rStyle w:val="VerbatimChar"/>
        </w:rPr>
        <w:t>EDUCATION</w:t>
      </w:r>
      <w:r>
        <w:t xml:space="preserve"> level</w:t>
      </w:r>
    </w:p>
    <w:p w14:paraId="16EF0CF9" w14:textId="77777777" w:rsidR="00C0020C" w:rsidRDefault="00000000">
      <w:pPr>
        <w:pStyle w:val="Compact"/>
        <w:numPr>
          <w:ilvl w:val="0"/>
          <w:numId w:val="48"/>
        </w:numPr>
      </w:pPr>
      <w:r>
        <w:rPr>
          <w:rStyle w:val="VerbatimChar"/>
        </w:rPr>
        <w:t>colour</w:t>
      </w:r>
      <w:r>
        <w:t xml:space="preserve"> the points for people with different levels of education in different colours</w:t>
      </w:r>
    </w:p>
    <w:p w14:paraId="6BD17A01" w14:textId="77777777" w:rsidR="00C0020C" w:rsidRDefault="00000000">
      <w:pPr>
        <w:pStyle w:val="Heading2"/>
      </w:pPr>
      <w:bookmarkStart w:id="62" w:name="method-size-transparency"/>
      <w:bookmarkEnd w:id="58"/>
      <w:bookmarkEnd w:id="61"/>
      <w:r>
        <w:t>42 Method, size, transparency</w:t>
      </w:r>
    </w:p>
    <w:p w14:paraId="5E42787D" w14:textId="77777777" w:rsidR="00C0020C" w:rsidRDefault="00000000">
      <w:pPr>
        <w:pStyle w:val="SourceCode"/>
      </w:pPr>
      <w:r>
        <w:rPr>
          <w:rStyle w:val="NormalTok"/>
        </w:rPr>
        <w:t xml:space="preserve">clearly.one.subjects </w:t>
      </w:r>
      <w:r>
        <w:rPr>
          <w:rStyle w:val="SpecialCharTok"/>
        </w:rPr>
        <w:t>%&gt;%</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 =</w:t>
      </w:r>
      <w:r>
        <w:rPr>
          <w:rStyle w:val="NormalTok"/>
        </w:rPr>
        <w:t xml:space="preserve"> SHIPLEY, </w:t>
      </w:r>
      <w:r>
        <w:rPr>
          <w:rStyle w:val="AttributeTok"/>
        </w:rPr>
        <w:t>y =</w:t>
      </w:r>
      <w:r>
        <w:rPr>
          <w:rStyle w:val="NormalTok"/>
        </w:rPr>
        <w:t xml:space="preserve"> HLVA,</w:t>
      </w:r>
      <w:r>
        <w:br/>
      </w:r>
      <w:r>
        <w:rPr>
          <w:rStyle w:val="NormalTok"/>
        </w:rPr>
        <w:t xml:space="preserve">             </w:t>
      </w:r>
      <w:r>
        <w:rPr>
          <w:rStyle w:val="AttributeTok"/>
        </w:rPr>
        <w:t>group =</w:t>
      </w:r>
      <w:r>
        <w:rPr>
          <w:rStyle w:val="NormalTok"/>
        </w:rPr>
        <w:t xml:space="preserve"> EDUCATION, </w:t>
      </w:r>
      <w:r>
        <w:rPr>
          <w:rStyle w:val="AttributeTok"/>
        </w:rPr>
        <w:t>colour =</w:t>
      </w:r>
      <w:r>
        <w:rPr>
          <w:rStyle w:val="NormalTok"/>
        </w:rPr>
        <w:t xml:space="preserve"> EDUCATION)) </w:t>
      </w:r>
      <w:r>
        <w:rPr>
          <w:rStyle w:val="SpecialCharTok"/>
        </w:rPr>
        <w:t>+</w:t>
      </w:r>
      <w:r>
        <w:br/>
      </w:r>
      <w:r>
        <w:rPr>
          <w:rStyle w:val="NormalTok"/>
        </w:rPr>
        <w:t xml:space="preserve">  </w:t>
      </w:r>
      <w:r>
        <w:rPr>
          <w:rStyle w:val="FunctionTok"/>
        </w:rPr>
        <w:t>geom_smooth</w:t>
      </w:r>
      <w:r>
        <w:rPr>
          <w:rStyle w:val="NormalTok"/>
        </w:rPr>
        <w:t>(</w:t>
      </w:r>
      <w:r>
        <w:rPr>
          <w:rStyle w:val="AttributeTok"/>
        </w:rPr>
        <w:t>method =</w:t>
      </w:r>
      <w:r>
        <w:rPr>
          <w:rStyle w:val="NormalTok"/>
        </w:rPr>
        <w:t xml:space="preserve"> </w:t>
      </w:r>
      <w:r>
        <w:rPr>
          <w:rStyle w:val="StringTok"/>
        </w:rPr>
        <w:t>"lm"</w:t>
      </w:r>
      <w:r>
        <w:rPr>
          <w:rStyle w:val="NormalTok"/>
        </w:rPr>
        <w:t xml:space="preserve">, </w:t>
      </w:r>
      <w:r>
        <w:rPr>
          <w:rStyle w:val="AttributeTok"/>
        </w:rPr>
        <w:t>se =</w:t>
      </w:r>
      <w:r>
        <w:rPr>
          <w:rStyle w:val="NormalTok"/>
        </w:rPr>
        <w:t xml:space="preserve"> </w:t>
      </w:r>
      <w:r>
        <w:rPr>
          <w:rStyle w:val="ConstantTok"/>
        </w:rPr>
        <w:t>FALSE</w:t>
      </w:r>
      <w:r>
        <w:rPr>
          <w:rStyle w:val="NormalTok"/>
        </w:rPr>
        <w:t>,</w:t>
      </w:r>
      <w:r>
        <w:br/>
      </w:r>
      <w:r>
        <w:rPr>
          <w:rStyle w:val="NormalTok"/>
        </w:rPr>
        <w:t xml:space="preserve">              </w:t>
      </w:r>
      <w:r>
        <w:rPr>
          <w:rStyle w:val="AttributeTok"/>
        </w:rPr>
        <w:t>linewidth =</w:t>
      </w:r>
      <w:r>
        <w:rPr>
          <w:rStyle w:val="NormalTok"/>
        </w:rPr>
        <w:t xml:space="preserve"> </w:t>
      </w:r>
      <w:r>
        <w:rPr>
          <w:rStyle w:val="DecValTok"/>
        </w:rPr>
        <w:t>2</w:t>
      </w:r>
      <w:r>
        <w:rPr>
          <w:rStyle w:val="NormalTok"/>
        </w:rPr>
        <w:t xml:space="preserve">, </w:t>
      </w:r>
      <w:r>
        <w:rPr>
          <w:rStyle w:val="AttributeTok"/>
        </w:rPr>
        <w:t>alpha =</w:t>
      </w:r>
      <w:r>
        <w:rPr>
          <w:rStyle w:val="NormalTok"/>
        </w:rPr>
        <w:t xml:space="preserve"> .</w:t>
      </w:r>
      <w:r>
        <w:rPr>
          <w:rStyle w:val="DecValTok"/>
        </w:rPr>
        <w:t>75</w:t>
      </w:r>
      <w:r>
        <w:rPr>
          <w:rStyle w:val="NormalTok"/>
        </w:rPr>
        <w:t xml:space="preserve">) </w:t>
      </w:r>
      <w:r>
        <w:rPr>
          <w:rStyle w:val="SpecialCharTok"/>
        </w:rPr>
        <w:t>+</w:t>
      </w:r>
      <w:r>
        <w:br/>
      </w:r>
      <w:r>
        <w:rPr>
          <w:rStyle w:val="NormalTok"/>
        </w:rPr>
        <w:t xml:space="preserve">  </w:t>
      </w:r>
      <w:r>
        <w:rPr>
          <w:rStyle w:val="FunctionTok"/>
        </w:rPr>
        <w:t>geom_point</w:t>
      </w:r>
      <w:r>
        <w:rPr>
          <w:rStyle w:val="NormalTok"/>
        </w:rPr>
        <w:t>(</w:t>
      </w:r>
      <w:r>
        <w:rPr>
          <w:rStyle w:val="AttributeTok"/>
        </w:rPr>
        <w:t>size =</w:t>
      </w:r>
      <w:r>
        <w:rPr>
          <w:rStyle w:val="NormalTok"/>
        </w:rPr>
        <w:t xml:space="preserve"> </w:t>
      </w:r>
      <w:r>
        <w:rPr>
          <w:rStyle w:val="DecValTok"/>
        </w:rPr>
        <w:t>3</w:t>
      </w:r>
      <w:r>
        <w:rPr>
          <w:rStyle w:val="NormalTok"/>
        </w:rPr>
        <w:t>)</w:t>
      </w:r>
    </w:p>
    <w:p w14:paraId="3715447A" w14:textId="77777777" w:rsidR="00C0020C" w:rsidRDefault="00000000">
      <w:pPr>
        <w:pStyle w:val="Compact"/>
        <w:numPr>
          <w:ilvl w:val="0"/>
          <w:numId w:val="49"/>
        </w:numPr>
      </w:pPr>
      <w:r>
        <w:rPr>
          <w:rStyle w:val="VerbatimChar"/>
        </w:rPr>
        <w:t>method = "lm", se = FALSE</w:t>
      </w:r>
      <w:r>
        <w:t xml:space="preserve"> tells R what method to use to draw the smoother line</w:t>
      </w:r>
    </w:p>
    <w:p w14:paraId="45F0D9D5" w14:textId="77777777" w:rsidR="00C0020C" w:rsidRDefault="00000000">
      <w:pPr>
        <w:pStyle w:val="Compact"/>
        <w:numPr>
          <w:ilvl w:val="0"/>
          <w:numId w:val="49"/>
        </w:numPr>
      </w:pPr>
      <w:r>
        <w:rPr>
          <w:rStyle w:val="VerbatimChar"/>
        </w:rPr>
        <w:t>linewidth = 2</w:t>
      </w:r>
      <w:r>
        <w:t xml:space="preserve"> makes the width of the smoother line 2 x larger than the default</w:t>
      </w:r>
    </w:p>
    <w:p w14:paraId="43E18E3B" w14:textId="77777777" w:rsidR="00C0020C" w:rsidRDefault="00000000">
      <w:pPr>
        <w:pStyle w:val="Compact"/>
        <w:numPr>
          <w:ilvl w:val="0"/>
          <w:numId w:val="49"/>
        </w:numPr>
      </w:pPr>
      <w:r>
        <w:rPr>
          <w:rStyle w:val="VerbatimChar"/>
        </w:rPr>
        <w:t>alpha = .75</w:t>
      </w:r>
      <w:r>
        <w:t xml:space="preserve"> makes the line .75 x the opacity of the default (i.e. a. bit more transparent)</w:t>
      </w:r>
    </w:p>
    <w:p w14:paraId="3F1A3CB5" w14:textId="77777777" w:rsidR="00C0020C" w:rsidRDefault="00000000">
      <w:pPr>
        <w:pStyle w:val="Compact"/>
        <w:numPr>
          <w:ilvl w:val="0"/>
          <w:numId w:val="49"/>
        </w:numPr>
      </w:pPr>
      <w:r>
        <w:lastRenderedPageBreak/>
        <w:t>Learn to edit: shape, size, transparency and colour</w:t>
      </w:r>
    </w:p>
    <w:p w14:paraId="6C97CC56" w14:textId="77777777" w:rsidR="00C0020C" w:rsidRDefault="00000000">
      <w:pPr>
        <w:pStyle w:val="Heading2"/>
      </w:pPr>
      <w:bookmarkStart w:id="63" w:name="we-facet-plots-to-enable-comparisons"/>
      <w:bookmarkEnd w:id="62"/>
      <w:r>
        <w:t xml:space="preserve">43 We </w:t>
      </w:r>
      <w:r>
        <w:rPr>
          <w:i/>
          <w:iCs/>
        </w:rPr>
        <w:t>facet</w:t>
      </w:r>
      <w:r>
        <w:t xml:space="preserve"> plots to enable comparisons</w:t>
      </w:r>
    </w:p>
    <w:p w14:paraId="1686DE41" w14:textId="77777777" w:rsidR="00C0020C" w:rsidRDefault="00000000">
      <w:pPr>
        <w:pStyle w:val="Heading3"/>
      </w:pPr>
      <w:bookmarkStart w:id="64" w:name="using-facets"/>
      <w:r>
        <w:t>43.1 Using facets</w:t>
      </w:r>
    </w:p>
    <w:p w14:paraId="4F092360" w14:textId="77777777" w:rsidR="00C0020C" w:rsidRDefault="00000000">
      <w:pPr>
        <w:pStyle w:val="Compact"/>
        <w:numPr>
          <w:ilvl w:val="0"/>
          <w:numId w:val="50"/>
        </w:numPr>
      </w:pPr>
      <w:r>
        <w:t xml:space="preserve">It is often easier to </w:t>
      </w:r>
      <w:r>
        <w:rPr>
          <w:i/>
          <w:iCs/>
        </w:rPr>
        <w:t>compare</w:t>
      </w:r>
      <w:r>
        <w:t xml:space="preserve"> trends</w:t>
      </w:r>
    </w:p>
    <w:p w14:paraId="2C9F09D2" w14:textId="77777777" w:rsidR="00C0020C" w:rsidRDefault="00000000">
      <w:pPr>
        <w:pStyle w:val="Compact"/>
        <w:numPr>
          <w:ilvl w:val="0"/>
          <w:numId w:val="50"/>
        </w:numPr>
      </w:pPr>
      <w:r>
        <w:t>By presenting a separate plot for each condition or group</w:t>
      </w:r>
    </w:p>
    <w:p w14:paraId="6C487F00" w14:textId="77777777" w:rsidR="00C0020C" w:rsidRDefault="00000000">
      <w:pPr>
        <w:pStyle w:val="Compact"/>
        <w:numPr>
          <w:ilvl w:val="0"/>
          <w:numId w:val="50"/>
        </w:numPr>
      </w:pPr>
      <w:r>
        <w:t>Showing the separate plots in a grid side-by-side</w:t>
      </w:r>
    </w:p>
    <w:tbl>
      <w:tblPr>
        <w:tblStyle w:val="Table"/>
        <w:tblW w:w="5000" w:type="pct"/>
        <w:tblLook w:val="0000" w:firstRow="0" w:lastRow="0" w:firstColumn="0" w:lastColumn="0" w:noHBand="0" w:noVBand="0"/>
      </w:tblPr>
      <w:tblGrid>
        <w:gridCol w:w="9576"/>
      </w:tblGrid>
      <w:tr w:rsidR="00C0020C" w14:paraId="1FE015F5" w14:textId="77777777">
        <w:tc>
          <w:tcPr>
            <w:tcW w:w="0" w:type="auto"/>
          </w:tcPr>
          <w:p w14:paraId="343D084E" w14:textId="77777777" w:rsidR="00C0020C" w:rsidRDefault="00000000">
            <w:pPr>
              <w:jc w:val="center"/>
            </w:pPr>
            <w:bookmarkStart w:id="65" w:name="fig-health-study-one-HLVA-SHIPLEY-12"/>
            <w:r>
              <w:rPr>
                <w:noProof/>
              </w:rPr>
              <w:drawing>
                <wp:inline distT="0" distB="0" distL="0" distR="0" wp14:anchorId="4CBADF11" wp14:editId="1ED36CEE">
                  <wp:extent cx="4968239" cy="3548743"/>
                  <wp:effectExtent l="0" t="0" r="0" b="0"/>
                  <wp:docPr id="14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descr="401-data-visualisation-practices-printable_files/figure-docx/fig-health-study-one-HLVA-SHIPLEY-12-1.png"/>
                          <pic:cNvPicPr>
                            <a:picLocks noChangeAspect="1" noChangeArrowheads="1"/>
                          </pic:cNvPicPr>
                        </pic:nvPicPr>
                        <pic:blipFill>
                          <a:blip r:embed="rId21"/>
                          <a:stretch>
                            <a:fillRect/>
                          </a:stretch>
                        </pic:blipFill>
                        <pic:spPr bwMode="auto">
                          <a:xfrm>
                            <a:off x="0" y="0"/>
                            <a:ext cx="5006690" cy="3576208"/>
                          </a:xfrm>
                          <a:prstGeom prst="rect">
                            <a:avLst/>
                          </a:prstGeom>
                          <a:noFill/>
                          <a:ln w="9525">
                            <a:noFill/>
                            <a:headEnd/>
                            <a:tailEnd/>
                          </a:ln>
                        </pic:spPr>
                      </pic:pic>
                    </a:graphicData>
                  </a:graphic>
                </wp:inline>
              </w:drawing>
            </w:r>
          </w:p>
          <w:p w14:paraId="247461FE" w14:textId="77777777" w:rsidR="00C0020C" w:rsidRDefault="00000000">
            <w:pPr>
              <w:pStyle w:val="ImageCaption"/>
              <w:spacing w:before="200"/>
            </w:pPr>
            <w:r>
              <w:t xml:space="preserve">Figure 11: The association between health literacy and vocabulary </w:t>
            </w:r>
            <w:r>
              <w:rPr>
                <w:iCs/>
              </w:rPr>
              <w:t>varies by education level</w:t>
            </w:r>
          </w:p>
        </w:tc>
        <w:bookmarkEnd w:id="65"/>
      </w:tr>
    </w:tbl>
    <w:p w14:paraId="72B712D2" w14:textId="77777777" w:rsidR="00C0020C" w:rsidRDefault="00000000">
      <w:pPr>
        <w:pStyle w:val="Heading3"/>
      </w:pPr>
      <w:bookmarkStart w:id="66" w:name="code-for-the-plot-4"/>
      <w:bookmarkEnd w:id="64"/>
      <w:r>
        <w:t>43.2 Code for the plot</w:t>
      </w:r>
    </w:p>
    <w:p w14:paraId="7459F2AE" w14:textId="77777777" w:rsidR="00C0020C" w:rsidRDefault="00000000">
      <w:pPr>
        <w:pStyle w:val="SourceCode"/>
      </w:pPr>
      <w:r>
        <w:rPr>
          <w:rStyle w:val="NormalTok"/>
        </w:rPr>
        <w:t xml:space="preserve">clearly.one.subjects </w:t>
      </w:r>
      <w:r>
        <w:rPr>
          <w:rStyle w:val="SpecialCharTok"/>
        </w:rPr>
        <w:t>%&gt;%</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 =</w:t>
      </w:r>
      <w:r>
        <w:rPr>
          <w:rStyle w:val="NormalTok"/>
        </w:rPr>
        <w:t xml:space="preserve"> SHIPLEY, </w:t>
      </w:r>
      <w:r>
        <w:rPr>
          <w:rStyle w:val="AttributeTok"/>
        </w:rPr>
        <w:t>y =</w:t>
      </w:r>
      <w:r>
        <w:rPr>
          <w:rStyle w:val="NormalTok"/>
        </w:rPr>
        <w:t xml:space="preserve"> HLVA,</w:t>
      </w:r>
      <w:r>
        <w:br/>
      </w:r>
      <w:r>
        <w:rPr>
          <w:rStyle w:val="NormalTok"/>
        </w:rPr>
        <w:t xml:space="preserve">             </w:t>
      </w:r>
      <w:r>
        <w:rPr>
          <w:rStyle w:val="AttributeTok"/>
        </w:rPr>
        <w:t>group =</w:t>
      </w:r>
      <w:r>
        <w:rPr>
          <w:rStyle w:val="NormalTok"/>
        </w:rPr>
        <w:t xml:space="preserve"> EDUCATION, </w:t>
      </w:r>
      <w:r>
        <w:rPr>
          <w:rStyle w:val="AttributeTok"/>
        </w:rPr>
        <w:t>colour =</w:t>
      </w:r>
      <w:r>
        <w:rPr>
          <w:rStyle w:val="NormalTok"/>
        </w:rPr>
        <w:t xml:space="preserve"> EDUCATION)) </w:t>
      </w:r>
      <w:r>
        <w:rPr>
          <w:rStyle w:val="SpecialCharTok"/>
        </w:rPr>
        <w:t>+</w:t>
      </w:r>
      <w:r>
        <w:br/>
      </w:r>
      <w:r>
        <w:rPr>
          <w:rStyle w:val="NormalTok"/>
        </w:rPr>
        <w:t xml:space="preserve">  </w:t>
      </w:r>
      <w:r>
        <w:rPr>
          <w:rStyle w:val="FunctionTok"/>
        </w:rPr>
        <w:t>geom_smooth</w:t>
      </w:r>
      <w:r>
        <w:rPr>
          <w:rStyle w:val="NormalTok"/>
        </w:rPr>
        <w:t>(</w:t>
      </w:r>
      <w:r>
        <w:rPr>
          <w:rStyle w:val="AttributeTok"/>
        </w:rPr>
        <w:t>method =</w:t>
      </w:r>
      <w:r>
        <w:rPr>
          <w:rStyle w:val="NormalTok"/>
        </w:rPr>
        <w:t xml:space="preserve"> </w:t>
      </w:r>
      <w:r>
        <w:rPr>
          <w:rStyle w:val="StringTok"/>
        </w:rPr>
        <w:t>"lm"</w:t>
      </w:r>
      <w:r>
        <w:rPr>
          <w:rStyle w:val="NormalTok"/>
        </w:rPr>
        <w:t xml:space="preserve">, </w:t>
      </w:r>
      <w:r>
        <w:rPr>
          <w:rStyle w:val="AttributeTok"/>
        </w:rPr>
        <w:t>se =</w:t>
      </w:r>
      <w:r>
        <w:rPr>
          <w:rStyle w:val="NormalTok"/>
        </w:rPr>
        <w:t xml:space="preserve"> </w:t>
      </w:r>
      <w:r>
        <w:rPr>
          <w:rStyle w:val="ConstantTok"/>
        </w:rPr>
        <w:t>FALSE</w:t>
      </w:r>
      <w:r>
        <w:rPr>
          <w:rStyle w:val="NormalTok"/>
        </w:rPr>
        <w:t>,</w:t>
      </w:r>
      <w:r>
        <w:br/>
      </w:r>
      <w:r>
        <w:rPr>
          <w:rStyle w:val="NormalTok"/>
        </w:rPr>
        <w:t xml:space="preserve">              </w:t>
      </w:r>
      <w:r>
        <w:rPr>
          <w:rStyle w:val="AttributeTok"/>
        </w:rPr>
        <w:t>linewidth =</w:t>
      </w:r>
      <w:r>
        <w:rPr>
          <w:rStyle w:val="NormalTok"/>
        </w:rPr>
        <w:t xml:space="preserve"> </w:t>
      </w:r>
      <w:r>
        <w:rPr>
          <w:rStyle w:val="DecValTok"/>
        </w:rPr>
        <w:t>2</w:t>
      </w:r>
      <w:r>
        <w:rPr>
          <w:rStyle w:val="NormalTok"/>
        </w:rPr>
        <w:t xml:space="preserve">, </w:t>
      </w:r>
      <w:r>
        <w:rPr>
          <w:rStyle w:val="AttributeTok"/>
        </w:rPr>
        <w:t>alpha =</w:t>
      </w:r>
      <w:r>
        <w:rPr>
          <w:rStyle w:val="NormalTok"/>
        </w:rPr>
        <w:t xml:space="preserve"> .</w:t>
      </w:r>
      <w:r>
        <w:rPr>
          <w:rStyle w:val="DecValTok"/>
        </w:rPr>
        <w:t>75</w:t>
      </w:r>
      <w:r>
        <w:rPr>
          <w:rStyle w:val="NormalTok"/>
        </w:rPr>
        <w:t xml:space="preserve">) </w:t>
      </w:r>
      <w:r>
        <w:rPr>
          <w:rStyle w:val="SpecialCharTok"/>
        </w:rPr>
        <w:t>+</w:t>
      </w:r>
      <w:r>
        <w:br/>
      </w:r>
      <w:r>
        <w:rPr>
          <w:rStyle w:val="NormalTok"/>
        </w:rPr>
        <w:t xml:space="preserve">  </w:t>
      </w:r>
      <w:r>
        <w:rPr>
          <w:rStyle w:val="FunctionTok"/>
        </w:rPr>
        <w:t>geom_point</w:t>
      </w:r>
      <w:r>
        <w:rPr>
          <w:rStyle w:val="NormalTok"/>
        </w:rPr>
        <w:t>(</w:t>
      </w:r>
      <w:r>
        <w:rPr>
          <w:rStyle w:val="AttributeTok"/>
        </w:rPr>
        <w:t>size =</w:t>
      </w:r>
      <w:r>
        <w:rPr>
          <w:rStyle w:val="NormalTok"/>
        </w:rPr>
        <w:t xml:space="preserve"> </w:t>
      </w:r>
      <w:r>
        <w:rPr>
          <w:rStyle w:val="DecValTok"/>
        </w:rPr>
        <w:t>3</w:t>
      </w:r>
      <w:r>
        <w:rPr>
          <w:rStyle w:val="NormalTok"/>
        </w:rPr>
        <w:t xml:space="preserve">) </w:t>
      </w:r>
      <w:r>
        <w:rPr>
          <w:rStyle w:val="SpecialCharTok"/>
        </w:rPr>
        <w:t>+</w:t>
      </w:r>
      <w:r>
        <w:br/>
      </w:r>
      <w:r>
        <w:rPr>
          <w:rStyle w:val="NormalTok"/>
        </w:rPr>
        <w:t xml:space="preserve">  </w:t>
      </w:r>
      <w:r>
        <w:rPr>
          <w:rStyle w:val="FunctionTok"/>
        </w:rPr>
        <w:t>facet_wrap</w:t>
      </w:r>
      <w:r>
        <w:rPr>
          <w:rStyle w:val="NormalTok"/>
        </w:rPr>
        <w:t>(</w:t>
      </w:r>
      <w:r>
        <w:rPr>
          <w:rStyle w:val="SpecialCharTok"/>
        </w:rPr>
        <w:t>~</w:t>
      </w:r>
      <w:r>
        <w:rPr>
          <w:rStyle w:val="NormalTok"/>
        </w:rPr>
        <w:t xml:space="preserve"> EDUCATION)</w:t>
      </w:r>
    </w:p>
    <w:p w14:paraId="39BFE8BC" w14:textId="77777777" w:rsidR="00C0020C" w:rsidRDefault="00000000">
      <w:pPr>
        <w:pStyle w:val="Compact"/>
        <w:numPr>
          <w:ilvl w:val="0"/>
          <w:numId w:val="51"/>
        </w:numPr>
      </w:pPr>
      <w:r>
        <w:rPr>
          <w:rStyle w:val="VerbatimChar"/>
        </w:rPr>
        <w:t>facet_wrap(~ EDUCATION)</w:t>
      </w:r>
      <w:r>
        <w:t xml:space="preserve"> tells R to split the data by </w:t>
      </w:r>
      <w:r>
        <w:rPr>
          <w:rStyle w:val="VerbatimChar"/>
        </w:rPr>
        <w:t>EDUCATION</w:t>
      </w:r>
      <w:r>
        <w:t xml:space="preserve"> level</w:t>
      </w:r>
    </w:p>
    <w:p w14:paraId="125040F4" w14:textId="77777777" w:rsidR="00C0020C" w:rsidRDefault="00000000">
      <w:pPr>
        <w:pStyle w:val="Compact"/>
        <w:numPr>
          <w:ilvl w:val="0"/>
          <w:numId w:val="51"/>
        </w:numPr>
      </w:pPr>
      <w:r>
        <w:t xml:space="preserve">And show a separate plot for each </w:t>
      </w:r>
      <w:r>
        <w:rPr>
          <w:rStyle w:val="VerbatimChar"/>
        </w:rPr>
        <w:t>EDUCATION</w:t>
      </w:r>
      <w:r>
        <w:t xml:space="preserve"> level group side-by-side for easy comparison</w:t>
      </w:r>
    </w:p>
    <w:p w14:paraId="2BD87D26" w14:textId="77777777" w:rsidR="00C0020C" w:rsidRDefault="00000000">
      <w:pPr>
        <w:pStyle w:val="Heading2"/>
      </w:pPr>
      <w:bookmarkStart w:id="67" w:name="we-can-guide-our-audience"/>
      <w:bookmarkEnd w:id="63"/>
      <w:bookmarkEnd w:id="66"/>
      <w:r>
        <w:lastRenderedPageBreak/>
        <w:t>44 We can guide our audience</w:t>
      </w:r>
    </w:p>
    <w:p w14:paraId="2B45F099" w14:textId="77777777" w:rsidR="00C0020C" w:rsidRDefault="00000000">
      <w:pPr>
        <w:pStyle w:val="Heading3"/>
      </w:pPr>
      <w:bookmarkStart w:id="68" w:name="labelled-plot"/>
      <w:r>
        <w:t>44.1 Labelled plot</w:t>
      </w:r>
    </w:p>
    <w:p w14:paraId="352BF699" w14:textId="77777777" w:rsidR="00C0020C" w:rsidRDefault="00000000">
      <w:pPr>
        <w:pStyle w:val="Compact"/>
        <w:numPr>
          <w:ilvl w:val="0"/>
          <w:numId w:val="52"/>
        </w:numPr>
      </w:pPr>
      <w:r>
        <w:t>We do not present visualizations in isolation</w:t>
      </w:r>
    </w:p>
    <w:p w14:paraId="72A01D53" w14:textId="77777777" w:rsidR="00C0020C" w:rsidRDefault="00000000">
      <w:pPr>
        <w:pStyle w:val="Compact"/>
        <w:numPr>
          <w:ilvl w:val="0"/>
          <w:numId w:val="52"/>
        </w:numPr>
      </w:pPr>
      <w:r>
        <w:t>We present plots embedded in the context of labels and titles</w:t>
      </w:r>
    </w:p>
    <w:p w14:paraId="0391FFE1" w14:textId="77777777" w:rsidR="00C0020C" w:rsidRDefault="00000000">
      <w:pPr>
        <w:pStyle w:val="Compact"/>
        <w:numPr>
          <w:ilvl w:val="0"/>
          <w:numId w:val="52"/>
        </w:numPr>
      </w:pPr>
      <w:r>
        <w:t>We use the text to guide the viewer</w:t>
      </w:r>
    </w:p>
    <w:tbl>
      <w:tblPr>
        <w:tblStyle w:val="Table"/>
        <w:tblW w:w="5000" w:type="pct"/>
        <w:tblLook w:val="0000" w:firstRow="0" w:lastRow="0" w:firstColumn="0" w:lastColumn="0" w:noHBand="0" w:noVBand="0"/>
      </w:tblPr>
      <w:tblGrid>
        <w:gridCol w:w="9576"/>
      </w:tblGrid>
      <w:tr w:rsidR="00C0020C" w14:paraId="5BC67404" w14:textId="77777777">
        <w:tc>
          <w:tcPr>
            <w:tcW w:w="0" w:type="auto"/>
          </w:tcPr>
          <w:p w14:paraId="1311FE7B" w14:textId="77777777" w:rsidR="00C0020C" w:rsidRDefault="00000000">
            <w:pPr>
              <w:jc w:val="center"/>
            </w:pPr>
            <w:bookmarkStart w:id="69" w:name="fig-health-study-one-HLVA-SHIPLEY-14"/>
            <w:r>
              <w:rPr>
                <w:noProof/>
              </w:rPr>
              <w:drawing>
                <wp:inline distT="0" distB="0" distL="0" distR="0" wp14:anchorId="51C08920" wp14:editId="0202E8B0">
                  <wp:extent cx="3875314" cy="3875314"/>
                  <wp:effectExtent l="0" t="0" r="0" b="0"/>
                  <wp:docPr id="15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descr="401-data-visualisation-practices-printable_files/figure-docx/fig-health-study-one-HLVA-SHIPLEY-14-1.png"/>
                          <pic:cNvPicPr>
                            <a:picLocks noChangeAspect="1" noChangeArrowheads="1"/>
                          </pic:cNvPicPr>
                        </pic:nvPicPr>
                        <pic:blipFill>
                          <a:blip r:embed="rId22"/>
                          <a:stretch>
                            <a:fillRect/>
                          </a:stretch>
                        </pic:blipFill>
                        <pic:spPr bwMode="auto">
                          <a:xfrm>
                            <a:off x="0" y="0"/>
                            <a:ext cx="3885392" cy="3885392"/>
                          </a:xfrm>
                          <a:prstGeom prst="rect">
                            <a:avLst/>
                          </a:prstGeom>
                          <a:noFill/>
                          <a:ln w="9525">
                            <a:noFill/>
                            <a:headEnd/>
                            <a:tailEnd/>
                          </a:ln>
                        </pic:spPr>
                      </pic:pic>
                    </a:graphicData>
                  </a:graphic>
                </wp:inline>
              </w:drawing>
            </w:r>
          </w:p>
          <w:p w14:paraId="345C80D0" w14:textId="77777777" w:rsidR="00C0020C" w:rsidRDefault="00000000">
            <w:pPr>
              <w:pStyle w:val="ImageCaption"/>
              <w:spacing w:before="200"/>
            </w:pPr>
            <w:r>
              <w:t>Figure 12: A labelled plot</w:t>
            </w:r>
          </w:p>
        </w:tc>
        <w:bookmarkEnd w:id="69"/>
      </w:tr>
    </w:tbl>
    <w:p w14:paraId="675DB017" w14:textId="77777777" w:rsidR="00C0020C" w:rsidRDefault="00000000">
      <w:pPr>
        <w:pStyle w:val="Heading3"/>
      </w:pPr>
      <w:bookmarkStart w:id="70" w:name="code-for-the-plot-5"/>
      <w:bookmarkEnd w:id="68"/>
      <w:r>
        <w:t>44.2 Code for the plot</w:t>
      </w:r>
    </w:p>
    <w:p w14:paraId="10395F1D" w14:textId="77777777" w:rsidR="00C0020C" w:rsidRDefault="00000000">
      <w:pPr>
        <w:pStyle w:val="SourceCode"/>
      </w:pPr>
      <w:r>
        <w:rPr>
          <w:rStyle w:val="NormalTok"/>
        </w:rPr>
        <w:t xml:space="preserve">clearly.one.subjects </w:t>
      </w:r>
      <w:r>
        <w:rPr>
          <w:rStyle w:val="SpecialCharTok"/>
        </w:rPr>
        <w:t>%&gt;%</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 =</w:t>
      </w:r>
      <w:r>
        <w:rPr>
          <w:rStyle w:val="NormalTok"/>
        </w:rPr>
        <w:t xml:space="preserve"> SHIPLEY, </w:t>
      </w:r>
      <w:r>
        <w:rPr>
          <w:rStyle w:val="AttributeTok"/>
        </w:rPr>
        <w:t>y =</w:t>
      </w:r>
      <w:r>
        <w:rPr>
          <w:rStyle w:val="NormalTok"/>
        </w:rPr>
        <w:t xml:space="preserve"> HLVA)) </w:t>
      </w:r>
      <w:r>
        <w:rPr>
          <w:rStyle w:val="SpecialCharTok"/>
        </w:rPr>
        <w:t>+</w:t>
      </w:r>
      <w:r>
        <w:br/>
      </w:r>
      <w:r>
        <w:rPr>
          <w:rStyle w:val="NormalTok"/>
        </w:rPr>
        <w:t xml:space="preserve">  </w:t>
      </w:r>
      <w:r>
        <w:rPr>
          <w:rStyle w:val="FunctionTok"/>
        </w:rPr>
        <w:t>geom_smooth</w:t>
      </w:r>
      <w:r>
        <w:rPr>
          <w:rStyle w:val="NormalTok"/>
        </w:rPr>
        <w:t>(</w:t>
      </w:r>
      <w:r>
        <w:rPr>
          <w:rStyle w:val="AttributeTok"/>
        </w:rPr>
        <w:t>method =</w:t>
      </w:r>
      <w:r>
        <w:rPr>
          <w:rStyle w:val="NormalTok"/>
        </w:rPr>
        <w:t xml:space="preserve"> </w:t>
      </w:r>
      <w:r>
        <w:rPr>
          <w:rStyle w:val="StringTok"/>
        </w:rPr>
        <w:t>"lm"</w:t>
      </w:r>
      <w:r>
        <w:rPr>
          <w:rStyle w:val="NormalTok"/>
        </w:rPr>
        <w:t xml:space="preserve">, </w:t>
      </w:r>
      <w:r>
        <w:rPr>
          <w:rStyle w:val="AttributeTok"/>
        </w:rPr>
        <w:t>se =</w:t>
      </w:r>
      <w:r>
        <w:rPr>
          <w:rStyle w:val="NormalTok"/>
        </w:rPr>
        <w:t xml:space="preserve"> </w:t>
      </w:r>
      <w:r>
        <w:rPr>
          <w:rStyle w:val="ConstantTok"/>
        </w:rPr>
        <w:t>FALSE</w:t>
      </w:r>
      <w:r>
        <w:rPr>
          <w:rStyle w:val="NormalTok"/>
        </w:rPr>
        <w:t>,</w:t>
      </w:r>
      <w:r>
        <w:br/>
      </w:r>
      <w:r>
        <w:rPr>
          <w:rStyle w:val="NormalTok"/>
        </w:rPr>
        <w:t xml:space="preserve">              </w:t>
      </w:r>
      <w:r>
        <w:rPr>
          <w:rStyle w:val="AttributeTok"/>
        </w:rPr>
        <w:t>colour =</w:t>
      </w:r>
      <w:r>
        <w:rPr>
          <w:rStyle w:val="NormalTok"/>
        </w:rPr>
        <w:t xml:space="preserve"> </w:t>
      </w:r>
      <w:r>
        <w:rPr>
          <w:rStyle w:val="StringTok"/>
        </w:rPr>
        <w:t>"darkgreen"</w:t>
      </w:r>
      <w:r>
        <w:rPr>
          <w:rStyle w:val="NormalTok"/>
        </w:rPr>
        <w:t xml:space="preserve">, </w:t>
      </w:r>
      <w:r>
        <w:rPr>
          <w:rStyle w:val="AttributeTok"/>
        </w:rPr>
        <w:t>linewidth =</w:t>
      </w:r>
      <w:r>
        <w:rPr>
          <w:rStyle w:val="NormalTok"/>
        </w:rPr>
        <w:t xml:space="preserve"> </w:t>
      </w:r>
      <w:r>
        <w:rPr>
          <w:rStyle w:val="DecValTok"/>
        </w:rPr>
        <w:t>2</w:t>
      </w:r>
      <w:r>
        <w:rPr>
          <w:rStyle w:val="NormalTok"/>
        </w:rPr>
        <w:t xml:space="preserve">, </w:t>
      </w:r>
      <w:r>
        <w:rPr>
          <w:rStyle w:val="AttributeTok"/>
        </w:rPr>
        <w:t>alpha =</w:t>
      </w:r>
      <w:r>
        <w:rPr>
          <w:rStyle w:val="NormalTok"/>
        </w:rPr>
        <w:t xml:space="preserve"> .</w:t>
      </w:r>
      <w:r>
        <w:rPr>
          <w:rStyle w:val="DecValTok"/>
        </w:rPr>
        <w:t>75</w:t>
      </w:r>
      <w:r>
        <w:rPr>
          <w:rStyle w:val="NormalTok"/>
        </w:rPr>
        <w:t xml:space="preserve">) </w:t>
      </w:r>
      <w:r>
        <w:rPr>
          <w:rStyle w:val="SpecialCharTok"/>
        </w:rPr>
        <w:t>+</w:t>
      </w:r>
      <w:r>
        <w:br/>
      </w:r>
      <w:r>
        <w:rPr>
          <w:rStyle w:val="NormalTok"/>
        </w:rPr>
        <w:t xml:space="preserve">  </w:t>
      </w:r>
      <w:r>
        <w:rPr>
          <w:rStyle w:val="FunctionTok"/>
        </w:rPr>
        <w:t>geom_point</w:t>
      </w:r>
      <w:r>
        <w:rPr>
          <w:rStyle w:val="NormalTok"/>
        </w:rPr>
        <w:t>(</w:t>
      </w:r>
      <w:r>
        <w:rPr>
          <w:rStyle w:val="AttributeTok"/>
        </w:rPr>
        <w:t>size =</w:t>
      </w:r>
      <w:r>
        <w:rPr>
          <w:rStyle w:val="NormalTok"/>
        </w:rPr>
        <w:t xml:space="preserve"> </w:t>
      </w:r>
      <w:r>
        <w:rPr>
          <w:rStyle w:val="DecValTok"/>
        </w:rPr>
        <w:t>3</w:t>
      </w:r>
      <w:r>
        <w:rPr>
          <w:rStyle w:val="NormalTok"/>
        </w:rPr>
        <w:t xml:space="preserve">, </w:t>
      </w:r>
      <w:r>
        <w:rPr>
          <w:rStyle w:val="AttributeTok"/>
        </w:rPr>
        <w:t>colour =</w:t>
      </w:r>
      <w:r>
        <w:rPr>
          <w:rStyle w:val="NormalTok"/>
        </w:rPr>
        <w:t xml:space="preserve"> </w:t>
      </w:r>
      <w:r>
        <w:rPr>
          <w:rStyle w:val="StringTok"/>
        </w:rPr>
        <w:t>"lightgreen"</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"Vocabulary (Shipley)"</w:t>
      </w:r>
      <w:r>
        <w:rPr>
          <w:rStyle w:val="NormalTok"/>
        </w:rPr>
        <w:t xml:space="preserve">, </w:t>
      </w:r>
      <w:r>
        <w:rPr>
          <w:rStyle w:val="AttributeTok"/>
        </w:rPr>
        <w:t>y =</w:t>
      </w:r>
      <w:r>
        <w:rPr>
          <w:rStyle w:val="NormalTok"/>
        </w:rPr>
        <w:t xml:space="preserve"> </w:t>
      </w:r>
      <w:r>
        <w:rPr>
          <w:rStyle w:val="StringTok"/>
        </w:rPr>
        <w:t>"Health literacy (HLVA)"</w:t>
      </w:r>
      <w:r>
        <w:rPr>
          <w:rStyle w:val="NormalTok"/>
        </w:rPr>
        <w:t>,</w:t>
      </w:r>
      <w:r>
        <w:br/>
      </w:r>
      <w:r>
        <w:rPr>
          <w:rStyle w:val="NormalTok"/>
        </w:rPr>
        <w:t xml:space="preserve">       </w:t>
      </w:r>
      <w:r>
        <w:rPr>
          <w:rStyle w:val="AttributeTok"/>
        </w:rPr>
        <w:t>title =</w:t>
      </w:r>
      <w:r>
        <w:rPr>
          <w:rStyle w:val="NormalTok"/>
        </w:rPr>
        <w:t xml:space="preserve"> </w:t>
      </w:r>
      <w:r>
        <w:rPr>
          <w:rStyle w:val="StringTok"/>
        </w:rPr>
        <w:t>"Scatterplot showing how higher vocabulary</w:t>
      </w:r>
      <w:r>
        <w:rPr>
          <w:rStyle w:val="SpecialCharTok"/>
        </w:rPr>
        <w:t>\n</w:t>
      </w:r>
      <w:r>
        <w:rPr>
          <w:rStyle w:val="StringTok"/>
        </w:rPr>
        <w:t>predicts higher health literacy on average"</w:t>
      </w:r>
      <w:r>
        <w:rPr>
          <w:rStyle w:val="NormalTok"/>
        </w:rPr>
        <w:t>)</w:t>
      </w:r>
    </w:p>
    <w:p w14:paraId="04029F93" w14:textId="77777777" w:rsidR="00C0020C" w:rsidRDefault="00000000">
      <w:pPr>
        <w:pStyle w:val="Compact"/>
        <w:numPr>
          <w:ilvl w:val="0"/>
          <w:numId w:val="53"/>
        </w:numPr>
      </w:pPr>
      <w:r>
        <w:t xml:space="preserve">We use the </w:t>
      </w:r>
      <w:r>
        <w:rPr>
          <w:rStyle w:val="VerbatimChar"/>
        </w:rPr>
        <w:t>labs()</w:t>
      </w:r>
      <w:r>
        <w:t xml:space="preserve"> function to add: the plot title and the labels for the x-axis and y-axis</w:t>
      </w:r>
    </w:p>
    <w:p w14:paraId="73B07B2E" w14:textId="77777777" w:rsidR="00C0020C" w:rsidRDefault="00000000">
      <w:pPr>
        <w:pStyle w:val="Compact"/>
        <w:numPr>
          <w:ilvl w:val="0"/>
          <w:numId w:val="53"/>
        </w:numPr>
      </w:pPr>
      <w:r>
        <w:t>We edit the title so that the viewer can see what we want them to see</w:t>
      </w:r>
    </w:p>
    <w:p w14:paraId="54727711" w14:textId="77777777" w:rsidR="00C0020C" w:rsidRDefault="00000000">
      <w:pPr>
        <w:pStyle w:val="Compact"/>
        <w:numPr>
          <w:ilvl w:val="0"/>
          <w:numId w:val="53"/>
        </w:numPr>
      </w:pPr>
      <w:r>
        <w:t xml:space="preserve">We use </w:t>
      </w:r>
      <w:r>
        <w:rPr>
          <w:rStyle w:val="VerbatimChar"/>
        </w:rPr>
        <w:t>\n</w:t>
      </w:r>
      <w:r>
        <w:t xml:space="preserve"> to make the title fit on two lines</w:t>
      </w:r>
    </w:p>
    <w:p w14:paraId="464E9B78" w14:textId="77777777" w:rsidR="00C0020C" w:rsidRDefault="00000000">
      <w:pPr>
        <w:pStyle w:val="Heading2"/>
      </w:pPr>
      <w:bookmarkStart w:id="71" w:name="we-annotate-plots-to-direct-attention"/>
      <w:bookmarkEnd w:id="67"/>
      <w:bookmarkEnd w:id="70"/>
      <w:r>
        <w:lastRenderedPageBreak/>
        <w:t>45 We annotate plots to direct attention</w:t>
      </w:r>
    </w:p>
    <w:p w14:paraId="50AF31B2" w14:textId="77777777" w:rsidR="00C0020C" w:rsidRDefault="00000000">
      <w:pPr>
        <w:pStyle w:val="Heading3"/>
      </w:pPr>
      <w:bookmarkStart w:id="72" w:name="annotated-plot"/>
      <w:r>
        <w:t>45.1 Annotated plot</w:t>
      </w:r>
    </w:p>
    <w:p w14:paraId="6C12511A" w14:textId="77777777" w:rsidR="00C0020C" w:rsidRDefault="00000000">
      <w:pPr>
        <w:pStyle w:val="Compact"/>
        <w:numPr>
          <w:ilvl w:val="0"/>
          <w:numId w:val="54"/>
        </w:numPr>
      </w:pPr>
      <w:r>
        <w:t>We can direct the attention of our audience to key features of our data</w:t>
      </w:r>
    </w:p>
    <w:p w14:paraId="15BE51AD" w14:textId="77777777" w:rsidR="00C0020C" w:rsidRDefault="00000000">
      <w:pPr>
        <w:pStyle w:val="Compact"/>
        <w:numPr>
          <w:ilvl w:val="0"/>
          <w:numId w:val="54"/>
        </w:numPr>
      </w:pPr>
      <w:r>
        <w:t>By adding annotations like text and lines</w:t>
      </w:r>
    </w:p>
    <w:tbl>
      <w:tblPr>
        <w:tblStyle w:val="Table"/>
        <w:tblW w:w="5000" w:type="pct"/>
        <w:tblLook w:val="0000" w:firstRow="0" w:lastRow="0" w:firstColumn="0" w:lastColumn="0" w:noHBand="0" w:noVBand="0"/>
      </w:tblPr>
      <w:tblGrid>
        <w:gridCol w:w="9576"/>
      </w:tblGrid>
      <w:tr w:rsidR="00C0020C" w14:paraId="2F687635" w14:textId="77777777">
        <w:tc>
          <w:tcPr>
            <w:tcW w:w="0" w:type="auto"/>
          </w:tcPr>
          <w:p w14:paraId="41501DA8" w14:textId="77777777" w:rsidR="00C0020C" w:rsidRDefault="00000000">
            <w:pPr>
              <w:jc w:val="center"/>
            </w:pPr>
            <w:bookmarkStart w:id="73" w:name="fig-health-study-one-HLVA-SHIPLEY-16"/>
            <w:r>
              <w:rPr>
                <w:noProof/>
              </w:rPr>
              <w:drawing>
                <wp:inline distT="0" distB="0" distL="0" distR="0" wp14:anchorId="1A5C1428" wp14:editId="2FA2FAB1">
                  <wp:extent cx="3875314" cy="3875314"/>
                  <wp:effectExtent l="0" t="0" r="0" b="0"/>
                  <wp:docPr id="1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descr="401-data-visualisation-practices-printable_files/figure-docx/fig-health-study-one-HLVA-SHIPLEY-16-1.png"/>
                          <pic:cNvPicPr>
                            <a:picLocks noChangeAspect="1" noChangeArrowheads="1"/>
                          </pic:cNvPicPr>
                        </pic:nvPicPr>
                        <pic:blipFill>
                          <a:blip r:embed="rId23"/>
                          <a:stretch>
                            <a:fillRect/>
                          </a:stretch>
                        </pic:blipFill>
                        <pic:spPr bwMode="auto">
                          <a:xfrm>
                            <a:off x="0" y="0"/>
                            <a:ext cx="3887315" cy="3887315"/>
                          </a:xfrm>
                          <a:prstGeom prst="rect">
                            <a:avLst/>
                          </a:prstGeom>
                          <a:noFill/>
                          <a:ln w="9525">
                            <a:noFill/>
                            <a:headEnd/>
                            <a:tailEnd/>
                          </a:ln>
                        </pic:spPr>
                      </pic:pic>
                    </a:graphicData>
                  </a:graphic>
                </wp:inline>
              </w:drawing>
            </w:r>
          </w:p>
          <w:p w14:paraId="398E9EA2" w14:textId="77777777" w:rsidR="00C0020C" w:rsidRDefault="00000000">
            <w:pPr>
              <w:pStyle w:val="ImageCaption"/>
              <w:spacing w:before="200"/>
            </w:pPr>
            <w:r>
              <w:t>Figure 13: An annotated plot</w:t>
            </w:r>
          </w:p>
        </w:tc>
        <w:bookmarkEnd w:id="73"/>
      </w:tr>
    </w:tbl>
    <w:p w14:paraId="558BA26C" w14:textId="77777777" w:rsidR="00C0020C" w:rsidRDefault="00000000">
      <w:pPr>
        <w:pStyle w:val="Heading3"/>
      </w:pPr>
      <w:bookmarkStart w:id="74" w:name="code-for-the-plot-6"/>
      <w:bookmarkEnd w:id="72"/>
      <w:r>
        <w:t>45.2 Code for the plot</w:t>
      </w:r>
    </w:p>
    <w:p w14:paraId="68E2FAE6" w14:textId="77777777" w:rsidR="00C0020C" w:rsidRDefault="00000000">
      <w:pPr>
        <w:pStyle w:val="SourceCode"/>
      </w:pPr>
      <w:r>
        <w:rPr>
          <w:rStyle w:val="NormalTok"/>
        </w:rPr>
        <w:t xml:space="preserve">clearly.one.subjects </w:t>
      </w:r>
      <w:r>
        <w:rPr>
          <w:rStyle w:val="SpecialCharTok"/>
        </w:rPr>
        <w:t>%&gt;%</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 =</w:t>
      </w:r>
      <w:r>
        <w:rPr>
          <w:rStyle w:val="NormalTok"/>
        </w:rPr>
        <w:t xml:space="preserve"> SHIPLEY, </w:t>
      </w:r>
      <w:r>
        <w:rPr>
          <w:rStyle w:val="AttributeTok"/>
        </w:rPr>
        <w:t>y =</w:t>
      </w:r>
      <w:r>
        <w:rPr>
          <w:rStyle w:val="NormalTok"/>
        </w:rPr>
        <w:t xml:space="preserve"> HLVA)) </w:t>
      </w:r>
      <w:r>
        <w:rPr>
          <w:rStyle w:val="SpecialCharTok"/>
        </w:rPr>
        <w:t>+</w:t>
      </w:r>
      <w:r>
        <w:br/>
      </w:r>
      <w:r>
        <w:rPr>
          <w:rStyle w:val="NormalTok"/>
        </w:rPr>
        <w:t xml:space="preserve">  </w:t>
      </w:r>
      <w:r>
        <w:rPr>
          <w:rStyle w:val="FunctionTok"/>
        </w:rPr>
        <w:t>geom_smooth</w:t>
      </w:r>
      <w:r>
        <w:rPr>
          <w:rStyle w:val="NormalTok"/>
        </w:rPr>
        <w:t>(</w:t>
      </w:r>
      <w:r>
        <w:rPr>
          <w:rStyle w:val="AttributeTok"/>
        </w:rPr>
        <w:t>method =</w:t>
      </w:r>
      <w:r>
        <w:rPr>
          <w:rStyle w:val="NormalTok"/>
        </w:rPr>
        <w:t xml:space="preserve"> </w:t>
      </w:r>
      <w:r>
        <w:rPr>
          <w:rStyle w:val="StringTok"/>
        </w:rPr>
        <w:t>"lm"</w:t>
      </w:r>
      <w:r>
        <w:rPr>
          <w:rStyle w:val="NormalTok"/>
        </w:rPr>
        <w:t xml:space="preserve">, </w:t>
      </w:r>
      <w:r>
        <w:rPr>
          <w:rStyle w:val="AttributeTok"/>
        </w:rPr>
        <w:t>se =</w:t>
      </w:r>
      <w:r>
        <w:rPr>
          <w:rStyle w:val="NormalTok"/>
        </w:rPr>
        <w:t xml:space="preserve"> </w:t>
      </w:r>
      <w:r>
        <w:rPr>
          <w:rStyle w:val="ConstantTok"/>
        </w:rPr>
        <w:t>FALSE</w:t>
      </w:r>
      <w:r>
        <w:rPr>
          <w:rStyle w:val="NormalTok"/>
        </w:rPr>
        <w:t>,</w:t>
      </w:r>
      <w:r>
        <w:br/>
      </w:r>
      <w:r>
        <w:rPr>
          <w:rStyle w:val="NormalTok"/>
        </w:rPr>
        <w:t xml:space="preserve">              </w:t>
      </w:r>
      <w:r>
        <w:rPr>
          <w:rStyle w:val="AttributeTok"/>
        </w:rPr>
        <w:t>colour =</w:t>
      </w:r>
      <w:r>
        <w:rPr>
          <w:rStyle w:val="NormalTok"/>
        </w:rPr>
        <w:t xml:space="preserve"> </w:t>
      </w:r>
      <w:r>
        <w:rPr>
          <w:rStyle w:val="StringTok"/>
        </w:rPr>
        <w:t>"darkgreen"</w:t>
      </w:r>
      <w:r>
        <w:rPr>
          <w:rStyle w:val="NormalTok"/>
        </w:rPr>
        <w:t xml:space="preserve">, </w:t>
      </w:r>
      <w:r>
        <w:rPr>
          <w:rStyle w:val="AttributeTok"/>
        </w:rPr>
        <w:t>linewidth =</w:t>
      </w:r>
      <w:r>
        <w:rPr>
          <w:rStyle w:val="NormalTok"/>
        </w:rPr>
        <w:t xml:space="preserve"> </w:t>
      </w:r>
      <w:r>
        <w:rPr>
          <w:rStyle w:val="DecValTok"/>
        </w:rPr>
        <w:t>2</w:t>
      </w:r>
      <w:r>
        <w:rPr>
          <w:rStyle w:val="NormalTok"/>
        </w:rPr>
        <w:t xml:space="preserve">, </w:t>
      </w:r>
      <w:r>
        <w:rPr>
          <w:rStyle w:val="AttributeTok"/>
        </w:rPr>
        <w:t>alpha =</w:t>
      </w:r>
      <w:r>
        <w:rPr>
          <w:rStyle w:val="NormalTok"/>
        </w:rPr>
        <w:t xml:space="preserve"> .</w:t>
      </w:r>
      <w:r>
        <w:rPr>
          <w:rStyle w:val="DecValTok"/>
        </w:rPr>
        <w:t>75</w:t>
      </w:r>
      <w:r>
        <w:rPr>
          <w:rStyle w:val="NormalTok"/>
        </w:rPr>
        <w:t xml:space="preserve">) </w:t>
      </w:r>
      <w:r>
        <w:rPr>
          <w:rStyle w:val="SpecialCharTok"/>
        </w:rPr>
        <w:t>+</w:t>
      </w:r>
      <w:r>
        <w:br/>
      </w:r>
      <w:r>
        <w:rPr>
          <w:rStyle w:val="NormalTok"/>
        </w:rPr>
        <w:t xml:space="preserve">  </w:t>
      </w:r>
      <w:r>
        <w:rPr>
          <w:rStyle w:val="FunctionTok"/>
        </w:rPr>
        <w:t>geom_point</w:t>
      </w:r>
      <w:r>
        <w:rPr>
          <w:rStyle w:val="NormalTok"/>
        </w:rPr>
        <w:t>(</w:t>
      </w:r>
      <w:r>
        <w:rPr>
          <w:rStyle w:val="AttributeTok"/>
        </w:rPr>
        <w:t>size =</w:t>
      </w:r>
      <w:r>
        <w:rPr>
          <w:rStyle w:val="NormalTok"/>
        </w:rPr>
        <w:t xml:space="preserve"> </w:t>
      </w:r>
      <w:r>
        <w:rPr>
          <w:rStyle w:val="DecValTok"/>
        </w:rPr>
        <w:t>3</w:t>
      </w:r>
      <w:r>
        <w:rPr>
          <w:rStyle w:val="NormalTok"/>
        </w:rPr>
        <w:t xml:space="preserve">, </w:t>
      </w:r>
      <w:r>
        <w:rPr>
          <w:rStyle w:val="AttributeTok"/>
        </w:rPr>
        <w:t>colour =</w:t>
      </w:r>
      <w:r>
        <w:rPr>
          <w:rStyle w:val="NormalTok"/>
        </w:rPr>
        <w:t xml:space="preserve"> </w:t>
      </w:r>
      <w:r>
        <w:rPr>
          <w:rStyle w:val="StringTok"/>
        </w:rPr>
        <w:t>"lightgreen"</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"Vocabulary (Shipley)"</w:t>
      </w:r>
      <w:r>
        <w:rPr>
          <w:rStyle w:val="NormalTok"/>
        </w:rPr>
        <w:t xml:space="preserve">, </w:t>
      </w:r>
      <w:r>
        <w:rPr>
          <w:rStyle w:val="AttributeTok"/>
        </w:rPr>
        <w:t>y =</w:t>
      </w:r>
      <w:r>
        <w:rPr>
          <w:rStyle w:val="NormalTok"/>
        </w:rPr>
        <w:t xml:space="preserve"> </w:t>
      </w:r>
      <w:r>
        <w:rPr>
          <w:rStyle w:val="StringTok"/>
        </w:rPr>
        <w:t>"Health literacy (HLVA)"</w:t>
      </w:r>
      <w:r>
        <w:rPr>
          <w:rStyle w:val="NormalTok"/>
        </w:rPr>
        <w:t xml:space="preserve">) </w:t>
      </w:r>
      <w:r>
        <w:rPr>
          <w:rStyle w:val="SpecialCharTok"/>
        </w:rPr>
        <w:t>+</w:t>
      </w:r>
      <w:r>
        <w:br/>
      </w:r>
      <w:r>
        <w:rPr>
          <w:rStyle w:val="NormalTok"/>
        </w:rPr>
        <w:t xml:space="preserve">  </w:t>
      </w:r>
      <w:r>
        <w:rPr>
          <w:rStyle w:val="FunctionTok"/>
        </w:rPr>
        <w:t>geom_hline</w:t>
      </w:r>
      <w:r>
        <w:rPr>
          <w:rStyle w:val="NormalTok"/>
        </w:rPr>
        <w:t>(</w:t>
      </w:r>
      <w:r>
        <w:rPr>
          <w:rStyle w:val="AttributeTok"/>
        </w:rPr>
        <w:t>yintercept =</w:t>
      </w:r>
      <w:r>
        <w:rPr>
          <w:rStyle w:val="NormalTok"/>
        </w:rPr>
        <w:t xml:space="preserve"> </w:t>
      </w:r>
      <w:r>
        <w:rPr>
          <w:rStyle w:val="FunctionTok"/>
        </w:rPr>
        <w:t>mean</w:t>
      </w:r>
      <w:r>
        <w:rPr>
          <w:rStyle w:val="NormalTok"/>
        </w:rPr>
        <w:t>(clearly.one.subjects</w:t>
      </w:r>
      <w:r>
        <w:rPr>
          <w:rStyle w:val="SpecialCharTok"/>
        </w:rPr>
        <w:t>$</w:t>
      </w:r>
      <w:r>
        <w:rPr>
          <w:rStyle w:val="NormalTok"/>
        </w:rPr>
        <w:t>HLVA),</w:t>
      </w:r>
      <w:r>
        <w:br/>
      </w:r>
      <w:r>
        <w:rPr>
          <w:rStyle w:val="NormalTok"/>
        </w:rPr>
        <w:t xml:space="preserve">             </w:t>
      </w:r>
      <w:r>
        <w:rPr>
          <w:rStyle w:val="AttributeTok"/>
        </w:rPr>
        <w:t>linetype =</w:t>
      </w:r>
      <w:r>
        <w:rPr>
          <w:rStyle w:val="NormalTok"/>
        </w:rPr>
        <w:t xml:space="preserve"> </w:t>
      </w:r>
      <w:r>
        <w:rPr>
          <w:rStyle w:val="StringTok"/>
        </w:rPr>
        <w:t>"dashed"</w:t>
      </w:r>
      <w:r>
        <w:rPr>
          <w:rStyle w:val="NormalTok"/>
        </w:rPr>
        <w:t>,</w:t>
      </w:r>
      <w:r>
        <w:br/>
      </w:r>
      <w:r>
        <w:rPr>
          <w:rStyle w:val="NormalTok"/>
        </w:rPr>
        <w:t xml:space="preserve">             </w:t>
      </w:r>
      <w:r>
        <w:rPr>
          <w:rStyle w:val="AttributeTok"/>
        </w:rPr>
        <w:t>linewidth =</w:t>
      </w:r>
      <w:r>
        <w:rPr>
          <w:rStyle w:val="NormalTok"/>
        </w:rPr>
        <w:t xml:space="preserve"> </w:t>
      </w:r>
      <w:r>
        <w:rPr>
          <w:rStyle w:val="DecValTok"/>
        </w:rPr>
        <w:t>2</w:t>
      </w:r>
      <w:r>
        <w:rPr>
          <w:rStyle w:val="NormalTok"/>
        </w:rPr>
        <w:t>,</w:t>
      </w:r>
      <w:r>
        <w:br/>
      </w:r>
      <w:r>
        <w:rPr>
          <w:rStyle w:val="NormalTok"/>
        </w:rPr>
        <w:t xml:space="preserve">             </w:t>
      </w:r>
      <w:r>
        <w:rPr>
          <w:rStyle w:val="AttributeTok"/>
        </w:rPr>
        <w:t>colour =</w:t>
      </w:r>
      <w:r>
        <w:rPr>
          <w:rStyle w:val="NormalTok"/>
        </w:rPr>
        <w:t xml:space="preserve"> </w:t>
      </w:r>
      <w:r>
        <w:rPr>
          <w:rStyle w:val="StringTok"/>
        </w:rPr>
        <w:t>"grey"</w:t>
      </w:r>
      <w:r>
        <w:rPr>
          <w:rStyle w:val="NormalTok"/>
        </w:rPr>
        <w:t>,</w:t>
      </w:r>
      <w:r>
        <w:br/>
      </w:r>
      <w:r>
        <w:rPr>
          <w:rStyle w:val="NormalTok"/>
        </w:rPr>
        <w:t xml:space="preserve">             </w:t>
      </w:r>
      <w:r>
        <w:rPr>
          <w:rStyle w:val="AttributeTok"/>
        </w:rPr>
        <w:t>alpha =</w:t>
      </w:r>
      <w:r>
        <w:rPr>
          <w:rStyle w:val="NormalTok"/>
        </w:rPr>
        <w:t xml:space="preserve"> .</w:t>
      </w:r>
      <w:r>
        <w:rPr>
          <w:rStyle w:val="DecValTok"/>
        </w:rPr>
        <w:t>85</w:t>
      </w:r>
      <w:r>
        <w:rPr>
          <w:rStyle w:val="NormalTok"/>
        </w:rPr>
        <w:t xml:space="preserve">) </w:t>
      </w:r>
      <w:r>
        <w:rPr>
          <w:rStyle w:val="SpecialCharTok"/>
        </w:rPr>
        <w:t>+</w:t>
      </w:r>
      <w:r>
        <w:br/>
      </w:r>
      <w:r>
        <w:rPr>
          <w:rStyle w:val="NormalTok"/>
        </w:rPr>
        <w:t xml:space="preserve">  </w:t>
      </w:r>
      <w:r>
        <w:rPr>
          <w:rStyle w:val="FunctionTok"/>
        </w:rPr>
        <w:t>annotate</w:t>
      </w:r>
      <w:r>
        <w:rPr>
          <w:rStyle w:val="NormalTok"/>
        </w:rPr>
        <w:t>(</w:t>
      </w:r>
      <w:r>
        <w:rPr>
          <w:rStyle w:val="StringTok"/>
        </w:rPr>
        <w:t>"text"</w:t>
      </w:r>
      <w:r>
        <w:rPr>
          <w:rStyle w:val="NormalTok"/>
        </w:rPr>
        <w:t xml:space="preserve">, </w:t>
      </w:r>
      <w:r>
        <w:rPr>
          <w:rStyle w:val="AttributeTok"/>
        </w:rPr>
        <w:t>x =</w:t>
      </w:r>
      <w:r>
        <w:rPr>
          <w:rStyle w:val="NormalTok"/>
        </w:rPr>
        <w:t xml:space="preserve"> </w:t>
      </w:r>
      <w:r>
        <w:rPr>
          <w:rStyle w:val="DecValTok"/>
        </w:rPr>
        <w:t>27</w:t>
      </w:r>
      <w:r>
        <w:rPr>
          <w:rStyle w:val="NormalTok"/>
        </w:rPr>
        <w:t xml:space="preserve">, </w:t>
      </w:r>
      <w:r>
        <w:rPr>
          <w:rStyle w:val="AttributeTok"/>
        </w:rPr>
        <w:t>y =</w:t>
      </w:r>
      <w:r>
        <w:rPr>
          <w:rStyle w:val="NormalTok"/>
        </w:rPr>
        <w:t xml:space="preserve"> </w:t>
      </w:r>
      <w:r>
        <w:rPr>
          <w:rStyle w:val="FloatTok"/>
        </w:rPr>
        <w:t>9.3</w:t>
      </w:r>
      <w:r>
        <w:rPr>
          <w:rStyle w:val="NormalTok"/>
        </w:rPr>
        <w:t xml:space="preserve">, </w:t>
      </w:r>
      <w:r>
        <w:rPr>
          <w:rStyle w:val="AttributeTok"/>
        </w:rPr>
        <w:t>label =</w:t>
      </w:r>
      <w:r>
        <w:rPr>
          <w:rStyle w:val="NormalTok"/>
        </w:rPr>
        <w:t xml:space="preserve"> </w:t>
      </w:r>
      <w:r>
        <w:rPr>
          <w:rStyle w:val="StringTok"/>
        </w:rPr>
        <w:t>"Mean HLVA"</w:t>
      </w:r>
      <w:r>
        <w:rPr>
          <w:rStyle w:val="NormalTok"/>
        </w:rPr>
        <w:t xml:space="preserve">, </w:t>
      </w:r>
      <w:r>
        <w:rPr>
          <w:rStyle w:val="AttributeTok"/>
        </w:rPr>
        <w:t>colour =</w:t>
      </w:r>
      <w:r>
        <w:rPr>
          <w:rStyle w:val="NormalTok"/>
        </w:rPr>
        <w:t xml:space="preserve"> </w:t>
      </w:r>
      <w:r>
        <w:rPr>
          <w:rStyle w:val="StringTok"/>
        </w:rPr>
        <w:t>"grey"</w:t>
      </w:r>
      <w:r>
        <w:rPr>
          <w:rStyle w:val="NormalTok"/>
        </w:rPr>
        <w:t xml:space="preserve">) </w:t>
      </w:r>
      <w:r>
        <w:rPr>
          <w:rStyle w:val="SpecialCharTok"/>
        </w:rPr>
        <w:t>+</w:t>
      </w:r>
      <w:r>
        <w:br/>
      </w:r>
      <w:r>
        <w:rPr>
          <w:rStyle w:val="NormalTok"/>
        </w:rPr>
        <w:t xml:space="preserve">  </w:t>
      </w:r>
      <w:r>
        <w:rPr>
          <w:rStyle w:val="FunctionTok"/>
        </w:rPr>
        <w:t>theme_bw</w:t>
      </w:r>
      <w:r>
        <w:rPr>
          <w:rStyle w:val="NormalTok"/>
        </w:rPr>
        <w:t>()</w:t>
      </w:r>
    </w:p>
    <w:p w14:paraId="66C03872" w14:textId="77777777" w:rsidR="00C0020C" w:rsidRDefault="00000000">
      <w:pPr>
        <w:pStyle w:val="Compact"/>
        <w:numPr>
          <w:ilvl w:val="0"/>
          <w:numId w:val="55"/>
        </w:numPr>
      </w:pPr>
      <w:r>
        <w:rPr>
          <w:rStyle w:val="VerbatimChar"/>
        </w:rPr>
        <w:t>geom_hline()</w:t>
      </w:r>
      <w:r>
        <w:t xml:space="preserve"> adds a line to show mean health literacy</w:t>
      </w:r>
    </w:p>
    <w:p w14:paraId="77426705" w14:textId="77777777" w:rsidR="00C0020C" w:rsidRDefault="00000000">
      <w:pPr>
        <w:pStyle w:val="Compact"/>
        <w:numPr>
          <w:ilvl w:val="0"/>
          <w:numId w:val="55"/>
        </w:numPr>
      </w:pPr>
      <w:r>
        <w:rPr>
          <w:rStyle w:val="VerbatimChar"/>
        </w:rPr>
        <w:t>annotate("text" ...)</w:t>
      </w:r>
      <w:r>
        <w:t xml:space="preserve"> adds a text label :::</w:t>
      </w:r>
    </w:p>
    <w:p w14:paraId="49772373" w14:textId="77777777" w:rsidR="00C0020C" w:rsidRDefault="00000000">
      <w:pPr>
        <w:pStyle w:val="Heading2"/>
      </w:pPr>
      <w:bookmarkStart w:id="75" w:name="extensions-free-our-creativity"/>
      <w:bookmarkEnd w:id="71"/>
      <w:bookmarkEnd w:id="74"/>
      <w:r>
        <w:lastRenderedPageBreak/>
        <w:t>46 Extensions free our creativity</w:t>
      </w:r>
    </w:p>
    <w:p w14:paraId="7A97DD8C" w14:textId="77777777" w:rsidR="00C0020C" w:rsidRDefault="00000000">
      <w:pPr>
        <w:pStyle w:val="Heading3"/>
      </w:pPr>
      <w:bookmarkStart w:id="76" w:name="complex-plot"/>
      <w:r>
        <w:t>46.1 Complex plot</w:t>
      </w:r>
    </w:p>
    <w:p w14:paraId="2F1B3DD8" w14:textId="77777777" w:rsidR="00C0020C" w:rsidRDefault="00000000">
      <w:pPr>
        <w:pStyle w:val="Compact"/>
        <w:numPr>
          <w:ilvl w:val="0"/>
          <w:numId w:val="56"/>
        </w:numPr>
      </w:pPr>
      <w:r>
        <w:t xml:space="preserve">The power of the </w:t>
      </w:r>
      <w:r>
        <w:rPr>
          <w:i/>
          <w:iCs/>
        </w:rPr>
        <w:t>Grammar of Graphics</w:t>
      </w:r>
      <w:r>
        <w:t xml:space="preserve"> lies in the rules</w:t>
      </w:r>
    </w:p>
    <w:p w14:paraId="43205638" w14:textId="77777777" w:rsidR="00C0020C" w:rsidRDefault="00000000">
      <w:pPr>
        <w:pStyle w:val="Compact"/>
        <w:numPr>
          <w:ilvl w:val="0"/>
          <w:numId w:val="56"/>
        </w:numPr>
      </w:pPr>
      <w:r>
        <w:t>Developers can use the rules to expand our capacity to visualize data</w:t>
      </w:r>
    </w:p>
    <w:p w14:paraId="4A987883" w14:textId="77777777" w:rsidR="00C0020C" w:rsidRDefault="00000000">
      <w:pPr>
        <w:pStyle w:val="Compact"/>
        <w:numPr>
          <w:ilvl w:val="0"/>
          <w:numId w:val="56"/>
        </w:numPr>
      </w:pPr>
      <w:r>
        <w:t xml:space="preserve">We add marginal histograms to our scatterplot to visualize associations </w:t>
      </w:r>
      <w:r>
        <w:rPr>
          <w:i/>
          <w:iCs/>
        </w:rPr>
        <w:t>and</w:t>
      </w:r>
      <w:r>
        <w:t xml:space="preserve"> distributions</w:t>
      </w:r>
    </w:p>
    <w:tbl>
      <w:tblPr>
        <w:tblStyle w:val="Table"/>
        <w:tblW w:w="5000" w:type="pct"/>
        <w:tblLook w:val="0000" w:firstRow="0" w:lastRow="0" w:firstColumn="0" w:lastColumn="0" w:noHBand="0" w:noVBand="0"/>
      </w:tblPr>
      <w:tblGrid>
        <w:gridCol w:w="9576"/>
      </w:tblGrid>
      <w:tr w:rsidR="00C0020C" w14:paraId="594E0695" w14:textId="77777777">
        <w:tc>
          <w:tcPr>
            <w:tcW w:w="0" w:type="auto"/>
          </w:tcPr>
          <w:p w14:paraId="56540F15" w14:textId="77777777" w:rsidR="00C0020C" w:rsidRDefault="00000000">
            <w:pPr>
              <w:jc w:val="center"/>
            </w:pPr>
            <w:bookmarkStart w:id="77" w:name="fig-health-study-one-HLVA-SHIPLEY-18"/>
            <w:r>
              <w:rPr>
                <w:noProof/>
              </w:rPr>
              <w:drawing>
                <wp:inline distT="0" distB="0" distL="0" distR="0" wp14:anchorId="523F0648" wp14:editId="3A218CC0">
                  <wp:extent cx="3820886" cy="3820886"/>
                  <wp:effectExtent l="0" t="0" r="0" b="0"/>
                  <wp:docPr id="16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descr="401-data-visualisation-practices-printable_files/figure-docx/fig-health-study-one-HLVA-SHIPLEY-18-1.png"/>
                          <pic:cNvPicPr>
                            <a:picLocks noChangeAspect="1" noChangeArrowheads="1"/>
                          </pic:cNvPicPr>
                        </pic:nvPicPr>
                        <pic:blipFill>
                          <a:blip r:embed="rId24"/>
                          <a:stretch>
                            <a:fillRect/>
                          </a:stretch>
                        </pic:blipFill>
                        <pic:spPr bwMode="auto">
                          <a:xfrm>
                            <a:off x="0" y="0"/>
                            <a:ext cx="3833796" cy="3833796"/>
                          </a:xfrm>
                          <a:prstGeom prst="rect">
                            <a:avLst/>
                          </a:prstGeom>
                          <a:noFill/>
                          <a:ln w="9525">
                            <a:noFill/>
                            <a:headEnd/>
                            <a:tailEnd/>
                          </a:ln>
                        </pic:spPr>
                      </pic:pic>
                    </a:graphicData>
                  </a:graphic>
                </wp:inline>
              </w:drawing>
            </w:r>
          </w:p>
          <w:p w14:paraId="71D37C22" w14:textId="77777777" w:rsidR="00C0020C" w:rsidRDefault="00000000">
            <w:pPr>
              <w:pStyle w:val="ImageCaption"/>
              <w:spacing w:before="200"/>
            </w:pPr>
            <w:r>
              <w:t>Figure 14: A scatterplot showing the potential association between health literacy and vocabulary</w:t>
            </w:r>
          </w:p>
        </w:tc>
        <w:bookmarkEnd w:id="77"/>
      </w:tr>
    </w:tbl>
    <w:p w14:paraId="215F6111" w14:textId="77777777" w:rsidR="00C0020C" w:rsidRDefault="00000000">
      <w:pPr>
        <w:pStyle w:val="Heading3"/>
      </w:pPr>
      <w:bookmarkStart w:id="78" w:name="code-for-the-plot-7"/>
      <w:bookmarkEnd w:id="76"/>
      <w:r>
        <w:t>46.2 Code for the plot</w:t>
      </w:r>
    </w:p>
    <w:p w14:paraId="631B81F8" w14:textId="77777777" w:rsidR="00C0020C" w:rsidRDefault="00000000">
      <w:pPr>
        <w:pStyle w:val="SourceCode"/>
      </w:pPr>
      <w:r>
        <w:rPr>
          <w:rStyle w:val="NormalTok"/>
        </w:rPr>
        <w:t xml:space="preserve">plot </w:t>
      </w:r>
      <w:r>
        <w:rPr>
          <w:rStyle w:val="OtherTok"/>
        </w:rPr>
        <w:t>&lt;-</w:t>
      </w:r>
      <w:r>
        <w:rPr>
          <w:rStyle w:val="NormalTok"/>
        </w:rPr>
        <w:t xml:space="preserve"> clearly.one.subjects </w:t>
      </w:r>
      <w:r>
        <w:rPr>
          <w:rStyle w:val="SpecialCharTok"/>
        </w:rPr>
        <w:t>%&gt;%</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 =</w:t>
      </w:r>
      <w:r>
        <w:rPr>
          <w:rStyle w:val="NormalTok"/>
        </w:rPr>
        <w:t xml:space="preserve"> SHIPLEY, </w:t>
      </w:r>
      <w:r>
        <w:rPr>
          <w:rStyle w:val="AttributeTok"/>
        </w:rPr>
        <w:t>y =</w:t>
      </w:r>
      <w:r>
        <w:rPr>
          <w:rStyle w:val="NormalTok"/>
        </w:rPr>
        <w:t xml:space="preserve"> HLVA)) </w:t>
      </w:r>
      <w:r>
        <w:rPr>
          <w:rStyle w:val="SpecialCharTok"/>
        </w:rPr>
        <w:t>+</w:t>
      </w:r>
      <w:r>
        <w:br/>
      </w:r>
      <w:r>
        <w:rPr>
          <w:rStyle w:val="NormalTok"/>
        </w:rPr>
        <w:t xml:space="preserve">  </w:t>
      </w:r>
      <w:r>
        <w:rPr>
          <w:rStyle w:val="FunctionTok"/>
        </w:rPr>
        <w:t>geom_smooth</w:t>
      </w:r>
      <w:r>
        <w:rPr>
          <w:rStyle w:val="NormalTok"/>
        </w:rPr>
        <w:t>(</w:t>
      </w:r>
      <w:r>
        <w:rPr>
          <w:rStyle w:val="AttributeTok"/>
        </w:rPr>
        <w:t>method =</w:t>
      </w:r>
      <w:r>
        <w:rPr>
          <w:rStyle w:val="NormalTok"/>
        </w:rPr>
        <w:t xml:space="preserve"> </w:t>
      </w:r>
      <w:r>
        <w:rPr>
          <w:rStyle w:val="StringTok"/>
        </w:rPr>
        <w:t>"lm"</w:t>
      </w:r>
      <w:r>
        <w:rPr>
          <w:rStyle w:val="NormalTok"/>
        </w:rPr>
        <w:t xml:space="preserve">, </w:t>
      </w:r>
      <w:r>
        <w:rPr>
          <w:rStyle w:val="AttributeTok"/>
        </w:rPr>
        <w:t>se =</w:t>
      </w:r>
      <w:r>
        <w:rPr>
          <w:rStyle w:val="NormalTok"/>
        </w:rPr>
        <w:t xml:space="preserve"> </w:t>
      </w:r>
      <w:r>
        <w:rPr>
          <w:rStyle w:val="ConstantTok"/>
        </w:rPr>
        <w:t>FALSE</w:t>
      </w:r>
      <w:r>
        <w:rPr>
          <w:rStyle w:val="NormalTok"/>
        </w:rPr>
        <w:t>,</w:t>
      </w:r>
      <w:r>
        <w:br/>
      </w:r>
      <w:r>
        <w:rPr>
          <w:rStyle w:val="NormalTok"/>
        </w:rPr>
        <w:t xml:space="preserve">              </w:t>
      </w:r>
      <w:r>
        <w:rPr>
          <w:rStyle w:val="AttributeTok"/>
        </w:rPr>
        <w:t>colour =</w:t>
      </w:r>
      <w:r>
        <w:rPr>
          <w:rStyle w:val="NormalTok"/>
        </w:rPr>
        <w:t xml:space="preserve"> </w:t>
      </w:r>
      <w:r>
        <w:rPr>
          <w:rStyle w:val="StringTok"/>
        </w:rPr>
        <w:t>"darkgreen"</w:t>
      </w:r>
      <w:r>
        <w:rPr>
          <w:rStyle w:val="NormalTok"/>
        </w:rPr>
        <w:t xml:space="preserve">, </w:t>
      </w:r>
      <w:r>
        <w:rPr>
          <w:rStyle w:val="AttributeTok"/>
        </w:rPr>
        <w:t>linewidth =</w:t>
      </w:r>
      <w:r>
        <w:rPr>
          <w:rStyle w:val="NormalTok"/>
        </w:rPr>
        <w:t xml:space="preserve"> </w:t>
      </w:r>
      <w:r>
        <w:rPr>
          <w:rStyle w:val="DecValTok"/>
        </w:rPr>
        <w:t>2</w:t>
      </w:r>
      <w:r>
        <w:rPr>
          <w:rStyle w:val="NormalTok"/>
        </w:rPr>
        <w:t xml:space="preserve">, </w:t>
      </w:r>
      <w:r>
        <w:rPr>
          <w:rStyle w:val="AttributeTok"/>
        </w:rPr>
        <w:t>alpha =</w:t>
      </w:r>
      <w:r>
        <w:rPr>
          <w:rStyle w:val="NormalTok"/>
        </w:rPr>
        <w:t xml:space="preserve"> .</w:t>
      </w:r>
      <w:r>
        <w:rPr>
          <w:rStyle w:val="DecValTok"/>
        </w:rPr>
        <w:t>75</w:t>
      </w:r>
      <w:r>
        <w:rPr>
          <w:rStyle w:val="NormalTok"/>
        </w:rPr>
        <w:t xml:space="preserve">) </w:t>
      </w:r>
      <w:r>
        <w:rPr>
          <w:rStyle w:val="SpecialCharTok"/>
        </w:rPr>
        <w:t>+</w:t>
      </w:r>
      <w:r>
        <w:br/>
      </w:r>
      <w:r>
        <w:rPr>
          <w:rStyle w:val="NormalTok"/>
        </w:rPr>
        <w:t xml:space="preserve">  </w:t>
      </w:r>
      <w:r>
        <w:rPr>
          <w:rStyle w:val="FunctionTok"/>
        </w:rPr>
        <w:t>geom_point</w:t>
      </w:r>
      <w:r>
        <w:rPr>
          <w:rStyle w:val="NormalTok"/>
        </w:rPr>
        <w:t>(</w:t>
      </w:r>
      <w:r>
        <w:rPr>
          <w:rStyle w:val="AttributeTok"/>
        </w:rPr>
        <w:t>size =</w:t>
      </w:r>
      <w:r>
        <w:rPr>
          <w:rStyle w:val="NormalTok"/>
        </w:rPr>
        <w:t xml:space="preserve"> </w:t>
      </w:r>
      <w:r>
        <w:rPr>
          <w:rStyle w:val="DecValTok"/>
        </w:rPr>
        <w:t>3</w:t>
      </w:r>
      <w:r>
        <w:rPr>
          <w:rStyle w:val="NormalTok"/>
        </w:rPr>
        <w:t xml:space="preserve">, </w:t>
      </w:r>
      <w:r>
        <w:rPr>
          <w:rStyle w:val="AttributeTok"/>
        </w:rPr>
        <w:t>colour =</w:t>
      </w:r>
      <w:r>
        <w:rPr>
          <w:rStyle w:val="NormalTok"/>
        </w:rPr>
        <w:t xml:space="preserve"> </w:t>
      </w:r>
      <w:r>
        <w:rPr>
          <w:rStyle w:val="StringTok"/>
        </w:rPr>
        <w:t>"lightgreen"</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"Vocabulary (Shipley)"</w:t>
      </w:r>
      <w:r>
        <w:rPr>
          <w:rStyle w:val="NormalTok"/>
        </w:rPr>
        <w:t xml:space="preserve">, </w:t>
      </w:r>
      <w:r>
        <w:rPr>
          <w:rStyle w:val="AttributeTok"/>
        </w:rPr>
        <w:t>y =</w:t>
      </w:r>
      <w:r>
        <w:rPr>
          <w:rStyle w:val="NormalTok"/>
        </w:rPr>
        <w:t xml:space="preserve"> </w:t>
      </w:r>
      <w:r>
        <w:rPr>
          <w:rStyle w:val="StringTok"/>
        </w:rPr>
        <w:t>"Health literacy (HLVA)"</w:t>
      </w:r>
      <w:r>
        <w:rPr>
          <w:rStyle w:val="NormalTok"/>
        </w:rPr>
        <w:t>)</w:t>
      </w:r>
      <w:r>
        <w:br/>
      </w:r>
      <w:r>
        <w:br/>
      </w:r>
      <w:r>
        <w:rPr>
          <w:rStyle w:val="FunctionTok"/>
        </w:rPr>
        <w:t>ggMarginal</w:t>
      </w:r>
      <w:r>
        <w:rPr>
          <w:rStyle w:val="NormalTok"/>
        </w:rPr>
        <w:t xml:space="preserve">(plot, </w:t>
      </w:r>
      <w:r>
        <w:rPr>
          <w:rStyle w:val="AttributeTok"/>
        </w:rPr>
        <w:t>type =</w:t>
      </w:r>
      <w:r>
        <w:rPr>
          <w:rStyle w:val="NormalTok"/>
        </w:rPr>
        <w:t xml:space="preserve"> </w:t>
      </w:r>
      <w:r>
        <w:rPr>
          <w:rStyle w:val="StringTok"/>
        </w:rPr>
        <w:t>"histogram"</w:t>
      </w:r>
      <w:r>
        <w:rPr>
          <w:rStyle w:val="NormalTok"/>
        </w:rPr>
        <w:t xml:space="preserve">, </w:t>
      </w:r>
      <w:r>
        <w:rPr>
          <w:rStyle w:val="AttributeTok"/>
        </w:rPr>
        <w:t>fill =</w:t>
      </w:r>
      <w:r>
        <w:rPr>
          <w:rStyle w:val="NormalTok"/>
        </w:rPr>
        <w:t xml:space="preserve"> </w:t>
      </w:r>
      <w:r>
        <w:rPr>
          <w:rStyle w:val="StringTok"/>
        </w:rPr>
        <w:t>"lightgreen"</w:t>
      </w:r>
      <w:r>
        <w:rPr>
          <w:rStyle w:val="NormalTok"/>
        </w:rPr>
        <w:t>,</w:t>
      </w:r>
      <w:r>
        <w:br/>
      </w:r>
      <w:r>
        <w:rPr>
          <w:rStyle w:val="NormalTok"/>
        </w:rPr>
        <w:t xml:space="preserve">           </w:t>
      </w:r>
      <w:r>
        <w:rPr>
          <w:rStyle w:val="AttributeTok"/>
        </w:rPr>
        <w:t>xparams =</w:t>
      </w:r>
      <w:r>
        <w:rPr>
          <w:rStyle w:val="NormalTok"/>
        </w:rPr>
        <w:t xml:space="preserve"> </w:t>
      </w:r>
      <w:r>
        <w:rPr>
          <w:rStyle w:val="FunctionTok"/>
        </w:rPr>
        <w:t>list</w:t>
      </w:r>
      <w:r>
        <w:rPr>
          <w:rStyle w:val="NormalTok"/>
        </w:rPr>
        <w:t>(</w:t>
      </w:r>
      <w:r>
        <w:rPr>
          <w:rStyle w:val="AttributeTok"/>
        </w:rPr>
        <w:t>binwidth=</w:t>
      </w:r>
      <w:r>
        <w:rPr>
          <w:rStyle w:val="DecValTok"/>
        </w:rPr>
        <w:t>2</w:t>
      </w:r>
      <w:r>
        <w:rPr>
          <w:rStyle w:val="NormalTok"/>
        </w:rPr>
        <w:t xml:space="preserve">), </w:t>
      </w:r>
      <w:r>
        <w:rPr>
          <w:rStyle w:val="AttributeTok"/>
        </w:rPr>
        <w:t>yparams =</w:t>
      </w:r>
      <w:r>
        <w:rPr>
          <w:rStyle w:val="NormalTok"/>
        </w:rPr>
        <w:t xml:space="preserve"> </w:t>
      </w:r>
      <w:r>
        <w:rPr>
          <w:rStyle w:val="FunctionTok"/>
        </w:rPr>
        <w:t>list</w:t>
      </w:r>
      <w:r>
        <w:rPr>
          <w:rStyle w:val="NormalTok"/>
        </w:rPr>
        <w:t>(</w:t>
      </w:r>
      <w:r>
        <w:rPr>
          <w:rStyle w:val="AttributeTok"/>
        </w:rPr>
        <w:t>binwidth=</w:t>
      </w:r>
      <w:r>
        <w:rPr>
          <w:rStyle w:val="DecValTok"/>
        </w:rPr>
        <w:t>1</w:t>
      </w:r>
      <w:r>
        <w:rPr>
          <w:rStyle w:val="NormalTok"/>
        </w:rPr>
        <w:t>))</w:t>
      </w:r>
    </w:p>
    <w:p w14:paraId="3155FB29" w14:textId="77777777" w:rsidR="00C0020C" w:rsidRDefault="00000000">
      <w:pPr>
        <w:pStyle w:val="Compact"/>
        <w:numPr>
          <w:ilvl w:val="0"/>
          <w:numId w:val="57"/>
        </w:numPr>
      </w:pPr>
      <w:r>
        <w:rPr>
          <w:rStyle w:val="VerbatimChar"/>
        </w:rPr>
        <w:t>ggMarginal(plot, type = "histogram")</w:t>
      </w:r>
      <w:r>
        <w:t xml:space="preserve"> enables us to show the distribution of scores on each variable</w:t>
      </w:r>
    </w:p>
    <w:p w14:paraId="4A91153B" w14:textId="77777777" w:rsidR="00C0020C" w:rsidRDefault="00000000">
      <w:pPr>
        <w:pStyle w:val="Compact"/>
        <w:numPr>
          <w:ilvl w:val="0"/>
          <w:numId w:val="57"/>
        </w:numPr>
      </w:pPr>
      <w:r>
        <w:lastRenderedPageBreak/>
        <w:t xml:space="preserve">This helps our viewer to process the association </w:t>
      </w:r>
      <w:r>
        <w:rPr>
          <w:i/>
          <w:iCs/>
        </w:rPr>
        <w:t>and</w:t>
      </w:r>
      <w:r>
        <w:t xml:space="preserve"> information about each variable (Franconeri et al., 2021)</w:t>
      </w:r>
    </w:p>
    <w:p w14:paraId="3AE86142" w14:textId="77777777" w:rsidR="00C0020C" w:rsidRDefault="00000000">
      <w:pPr>
        <w:pStyle w:val="Heading2"/>
      </w:pPr>
      <w:bookmarkStart w:id="79" w:name="choose-your-plot-theme"/>
      <w:bookmarkEnd w:id="75"/>
      <w:bookmarkEnd w:id="78"/>
      <w:r>
        <w:t>47 Choose your plot theme</w:t>
      </w:r>
    </w:p>
    <w:p w14:paraId="7FE7FF3C" w14:textId="77777777" w:rsidR="00C0020C" w:rsidRDefault="00000000">
      <w:pPr>
        <w:pStyle w:val="Compact"/>
        <w:numPr>
          <w:ilvl w:val="0"/>
          <w:numId w:val="58"/>
        </w:numPr>
      </w:pPr>
      <w:r>
        <w:t>We can choose a theme to adapt the look of the whole plot to suit our needs or the needs of our audience</w:t>
      </w:r>
    </w:p>
    <w:tbl>
      <w:tblPr>
        <w:tblStyle w:val="Table"/>
        <w:tblW w:w="5000" w:type="pct"/>
        <w:tblLook w:val="0000" w:firstRow="0" w:lastRow="0" w:firstColumn="0" w:lastColumn="0" w:noHBand="0" w:noVBand="0"/>
      </w:tblPr>
      <w:tblGrid>
        <w:gridCol w:w="9576"/>
      </w:tblGrid>
      <w:tr w:rsidR="00C0020C" w14:paraId="5A84C584" w14:textId="77777777">
        <w:tc>
          <w:tcPr>
            <w:tcW w:w="0" w:type="auto"/>
          </w:tcPr>
          <w:p w14:paraId="02378DF9" w14:textId="77777777" w:rsidR="00C0020C" w:rsidRDefault="00000000">
            <w:pPr>
              <w:jc w:val="center"/>
            </w:pPr>
            <w:bookmarkStart w:id="80" w:name="fig-health-study-one-HLVA-SHIPLEY-1-dark"/>
            <w:r>
              <w:rPr>
                <w:noProof/>
              </w:rPr>
              <w:drawing>
                <wp:inline distT="0" distB="0" distL="0" distR="0" wp14:anchorId="0D742C51" wp14:editId="0C1700AC">
                  <wp:extent cx="4103914" cy="4103914"/>
                  <wp:effectExtent l="0" t="0" r="0" b="0"/>
                  <wp:docPr id="17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descr="401-data-visualisation-practices-printable_files/figure-docx/fig-health-study-one-HLVA-SHIPLEY-1-dark-1.png"/>
                          <pic:cNvPicPr>
                            <a:picLocks noChangeAspect="1" noChangeArrowheads="1"/>
                          </pic:cNvPicPr>
                        </pic:nvPicPr>
                        <pic:blipFill>
                          <a:blip r:embed="rId25"/>
                          <a:stretch>
                            <a:fillRect/>
                          </a:stretch>
                        </pic:blipFill>
                        <pic:spPr bwMode="auto">
                          <a:xfrm>
                            <a:off x="0" y="0"/>
                            <a:ext cx="4109841" cy="4109841"/>
                          </a:xfrm>
                          <a:prstGeom prst="rect">
                            <a:avLst/>
                          </a:prstGeom>
                          <a:noFill/>
                          <a:ln w="9525">
                            <a:noFill/>
                            <a:headEnd/>
                            <a:tailEnd/>
                          </a:ln>
                        </pic:spPr>
                      </pic:pic>
                    </a:graphicData>
                  </a:graphic>
                </wp:inline>
              </w:drawing>
            </w:r>
          </w:p>
          <w:p w14:paraId="284E2F99" w14:textId="77777777" w:rsidR="00C0020C" w:rsidRDefault="00000000">
            <w:pPr>
              <w:pStyle w:val="ImageCaption"/>
              <w:spacing w:before="200"/>
            </w:pPr>
            <w:r>
              <w:t xml:space="preserve">Figure 15: </w:t>
            </w:r>
            <w:r>
              <w:rPr>
                <w:rStyle w:val="VerbatimChar"/>
              </w:rPr>
              <w:t>theme_dark()</w:t>
            </w:r>
          </w:p>
        </w:tc>
        <w:bookmarkEnd w:id="80"/>
      </w:tr>
    </w:tbl>
    <w:p w14:paraId="329A4DFE" w14:textId="77777777" w:rsidR="00C0020C" w:rsidRDefault="00000000">
      <w:pPr>
        <w:pStyle w:val="BodyText"/>
      </w:pPr>
      <w:r>
        <w:t xml:space="preserve"> </w:t>
      </w:r>
    </w:p>
    <w:tbl>
      <w:tblPr>
        <w:tblStyle w:val="Table"/>
        <w:tblW w:w="5000" w:type="pct"/>
        <w:tblLook w:val="0000" w:firstRow="0" w:lastRow="0" w:firstColumn="0" w:lastColumn="0" w:noHBand="0" w:noVBand="0"/>
      </w:tblPr>
      <w:tblGrid>
        <w:gridCol w:w="9576"/>
      </w:tblGrid>
      <w:tr w:rsidR="00C0020C" w14:paraId="59658B2B" w14:textId="77777777">
        <w:tc>
          <w:tcPr>
            <w:tcW w:w="0" w:type="auto"/>
          </w:tcPr>
          <w:p w14:paraId="64AED879" w14:textId="77777777" w:rsidR="00C0020C" w:rsidRDefault="00000000">
            <w:pPr>
              <w:jc w:val="center"/>
            </w:pPr>
            <w:bookmarkStart w:id="81" w:name="fig-health-study-one-HLVA-SHIPLEY-1-bw"/>
            <w:r>
              <w:rPr>
                <w:noProof/>
              </w:rPr>
              <w:lastRenderedPageBreak/>
              <w:drawing>
                <wp:inline distT="0" distB="0" distL="0" distR="0" wp14:anchorId="4B4CDDDB" wp14:editId="3742421B">
                  <wp:extent cx="3853543" cy="3853543"/>
                  <wp:effectExtent l="0" t="0" r="0" b="0"/>
                  <wp:docPr id="17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descr="401-data-visualisation-practices-printable_files/figure-docx/fig-health-study-one-HLVA-SHIPLEY-1-bw-1.png"/>
                          <pic:cNvPicPr>
                            <a:picLocks noChangeAspect="1" noChangeArrowheads="1"/>
                          </pic:cNvPicPr>
                        </pic:nvPicPr>
                        <pic:blipFill>
                          <a:blip r:embed="rId26"/>
                          <a:stretch>
                            <a:fillRect/>
                          </a:stretch>
                        </pic:blipFill>
                        <pic:spPr bwMode="auto">
                          <a:xfrm>
                            <a:off x="0" y="0"/>
                            <a:ext cx="3856696" cy="3856696"/>
                          </a:xfrm>
                          <a:prstGeom prst="rect">
                            <a:avLst/>
                          </a:prstGeom>
                          <a:noFill/>
                          <a:ln w="9525">
                            <a:noFill/>
                            <a:headEnd/>
                            <a:tailEnd/>
                          </a:ln>
                        </pic:spPr>
                      </pic:pic>
                    </a:graphicData>
                  </a:graphic>
                </wp:inline>
              </w:drawing>
            </w:r>
          </w:p>
          <w:p w14:paraId="22B37393" w14:textId="77777777" w:rsidR="00C0020C" w:rsidRDefault="00000000">
            <w:pPr>
              <w:pStyle w:val="ImageCaption"/>
              <w:spacing w:before="200"/>
            </w:pPr>
            <w:r>
              <w:t xml:space="preserve">Figure 16: </w:t>
            </w:r>
            <w:r>
              <w:rPr>
                <w:rStyle w:val="VerbatimChar"/>
              </w:rPr>
              <w:t>theme_bw()</w:t>
            </w:r>
          </w:p>
        </w:tc>
        <w:bookmarkEnd w:id="81"/>
      </w:tr>
    </w:tbl>
    <w:p w14:paraId="2798D660" w14:textId="77777777" w:rsidR="00C0020C" w:rsidRDefault="00000000">
      <w:pPr>
        <w:pStyle w:val="BodyText"/>
      </w:pPr>
      <w:r>
        <w:t xml:space="preserve"> </w:t>
      </w:r>
    </w:p>
    <w:tbl>
      <w:tblPr>
        <w:tblStyle w:val="Table"/>
        <w:tblW w:w="5000" w:type="pct"/>
        <w:tblLook w:val="0000" w:firstRow="0" w:lastRow="0" w:firstColumn="0" w:lastColumn="0" w:noHBand="0" w:noVBand="0"/>
      </w:tblPr>
      <w:tblGrid>
        <w:gridCol w:w="9576"/>
      </w:tblGrid>
      <w:tr w:rsidR="00C0020C" w14:paraId="6DFD3024" w14:textId="77777777">
        <w:tc>
          <w:tcPr>
            <w:tcW w:w="0" w:type="auto"/>
          </w:tcPr>
          <w:p w14:paraId="2D64EDFA" w14:textId="77777777" w:rsidR="00C0020C" w:rsidRDefault="00000000">
            <w:pPr>
              <w:jc w:val="center"/>
            </w:pPr>
            <w:bookmarkStart w:id="82" w:name="Xf6252d2a7bc657db4fdaf217e3f238cd16801dc"/>
            <w:r>
              <w:rPr>
                <w:noProof/>
              </w:rPr>
              <w:lastRenderedPageBreak/>
              <w:drawing>
                <wp:inline distT="0" distB="0" distL="0" distR="0" wp14:anchorId="06A87B6D" wp14:editId="436713D2">
                  <wp:extent cx="3842657" cy="3842657"/>
                  <wp:effectExtent l="0" t="0" r="0" b="0"/>
                  <wp:docPr id="18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descr="401-data-visualisation-practices-printable_files/figure-docx/fig-health-study-one-HLVA-SHIPLEY-1-classic-1.png"/>
                          <pic:cNvPicPr>
                            <a:picLocks noChangeAspect="1" noChangeArrowheads="1"/>
                          </pic:cNvPicPr>
                        </pic:nvPicPr>
                        <pic:blipFill>
                          <a:blip r:embed="rId27"/>
                          <a:stretch>
                            <a:fillRect/>
                          </a:stretch>
                        </pic:blipFill>
                        <pic:spPr bwMode="auto">
                          <a:xfrm>
                            <a:off x="0" y="0"/>
                            <a:ext cx="3849807" cy="3849807"/>
                          </a:xfrm>
                          <a:prstGeom prst="rect">
                            <a:avLst/>
                          </a:prstGeom>
                          <a:noFill/>
                          <a:ln w="9525">
                            <a:noFill/>
                            <a:headEnd/>
                            <a:tailEnd/>
                          </a:ln>
                        </pic:spPr>
                      </pic:pic>
                    </a:graphicData>
                  </a:graphic>
                </wp:inline>
              </w:drawing>
            </w:r>
          </w:p>
          <w:p w14:paraId="140A6624" w14:textId="77777777" w:rsidR="00C0020C" w:rsidRDefault="00000000">
            <w:pPr>
              <w:pStyle w:val="ImageCaption"/>
              <w:spacing w:before="200"/>
            </w:pPr>
            <w:r>
              <w:t xml:space="preserve">Figure 17: </w:t>
            </w:r>
            <w:r>
              <w:rPr>
                <w:rStyle w:val="VerbatimChar"/>
              </w:rPr>
              <w:t>theme_classic()</w:t>
            </w:r>
          </w:p>
        </w:tc>
        <w:bookmarkEnd w:id="82"/>
      </w:tr>
    </w:tbl>
    <w:p w14:paraId="252CD6B5" w14:textId="77777777" w:rsidR="00C0020C" w:rsidRDefault="00000000">
      <w:pPr>
        <w:pStyle w:val="Heading2"/>
      </w:pPr>
      <w:bookmarkStart w:id="83" w:name="summary"/>
      <w:bookmarkEnd w:id="79"/>
      <w:r>
        <w:t>48 Summary</w:t>
      </w:r>
    </w:p>
    <w:p w14:paraId="44359A5F" w14:textId="77777777" w:rsidR="00C0020C" w:rsidRDefault="00000000">
      <w:pPr>
        <w:pStyle w:val="FirstParagraph"/>
      </w:pPr>
      <w:r>
        <w:t>You start your work with these questions:</w:t>
      </w:r>
    </w:p>
    <w:p w14:paraId="57700654" w14:textId="77777777" w:rsidR="00C0020C" w:rsidRDefault="00000000">
      <w:pPr>
        <w:pStyle w:val="Compact"/>
        <w:numPr>
          <w:ilvl w:val="0"/>
          <w:numId w:val="59"/>
        </w:numPr>
      </w:pPr>
      <w:r>
        <w:t>What are our goals?</w:t>
      </w:r>
    </w:p>
    <w:p w14:paraId="7FAF99DB" w14:textId="77777777" w:rsidR="00C0020C" w:rsidRDefault="00000000">
      <w:pPr>
        <w:pStyle w:val="Compact"/>
        <w:numPr>
          <w:ilvl w:val="0"/>
          <w:numId w:val="59"/>
        </w:numPr>
      </w:pPr>
      <w:r>
        <w:t>What does our audience need or expect?</w:t>
      </w:r>
    </w:p>
    <w:p w14:paraId="0EAE627E" w14:textId="77777777" w:rsidR="00C0020C" w:rsidRDefault="00000000">
      <w:pPr>
        <w:pStyle w:val="FirstParagraph"/>
      </w:pPr>
      <w:r>
        <w:t>You develop your visualization in a reflective process:</w:t>
      </w:r>
    </w:p>
    <w:p w14:paraId="53053FE2" w14:textId="77777777" w:rsidR="00C0020C" w:rsidRDefault="00000000">
      <w:pPr>
        <w:pStyle w:val="Compact"/>
        <w:numPr>
          <w:ilvl w:val="0"/>
          <w:numId w:val="60"/>
        </w:numPr>
      </w:pPr>
      <w:r>
        <w:t>Begin with a quick draft to show the distributions or make the comparisons you think about first</w:t>
      </w:r>
    </w:p>
    <w:p w14:paraId="0B709F37" w14:textId="77777777" w:rsidR="00C0020C" w:rsidRDefault="00000000">
      <w:pPr>
        <w:pStyle w:val="Compact"/>
        <w:numPr>
          <w:ilvl w:val="0"/>
          <w:numId w:val="60"/>
        </w:numPr>
      </w:pPr>
      <w:r>
        <w:t>Then reflect, and edit: does this enable me to discover sources of variability in my data?</w:t>
      </w:r>
    </w:p>
    <w:p w14:paraId="7A98B9D9" w14:textId="77777777" w:rsidR="00C0020C" w:rsidRDefault="00000000">
      <w:pPr>
        <w:pStyle w:val="Compact"/>
        <w:numPr>
          <w:ilvl w:val="0"/>
          <w:numId w:val="60"/>
        </w:numPr>
      </w:pPr>
      <w:r>
        <w:t>Then reflect, and edit: does this enable me to effectively communicate what I want to communicate?</w:t>
      </w:r>
    </w:p>
    <w:p w14:paraId="501EB4DD" w14:textId="77777777" w:rsidR="00C0020C" w:rsidRDefault="00000000">
      <w:pPr>
        <w:pStyle w:val="Compact"/>
        <w:numPr>
          <w:ilvl w:val="0"/>
          <w:numId w:val="60"/>
        </w:numPr>
      </w:pPr>
      <w:r>
        <w:t>Then reflect, and edit: does this look good? – do my viewers tell me this works well?</w:t>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648"/>
      </w:tblGrid>
      <w:tr w:rsidR="00C0020C" w14:paraId="2E09B87C" w14:textId="77777777" w:rsidTr="00C0020C">
        <w:trPr>
          <w:cantSplit/>
        </w:trPr>
        <w:tc>
          <w:tcPr>
            <w:tcW w:w="0" w:type="auto"/>
            <w:shd w:val="clear" w:color="auto" w:fill="CCF1E3"/>
            <w:tcMar>
              <w:top w:w="92" w:type="dxa"/>
              <w:bottom w:w="92" w:type="dxa"/>
            </w:tcMar>
          </w:tcPr>
          <w:p w14:paraId="450D65DD" w14:textId="77777777" w:rsidR="00C0020C" w:rsidRDefault="00000000">
            <w:pPr>
              <w:pStyle w:val="FirstParagraph"/>
              <w:spacing w:before="0" w:after="0"/>
              <w:textAlignment w:val="center"/>
            </w:pPr>
            <w:r>
              <w:rPr>
                <w:noProof/>
              </w:rPr>
              <w:drawing>
                <wp:inline distT="0" distB="0" distL="0" distR="0" wp14:anchorId="241838F3" wp14:editId="504D8BB5">
                  <wp:extent cx="152400" cy="152400"/>
                  <wp:effectExtent l="0" t="0" r="0" b="0"/>
                  <wp:docPr id="184" name="Picture"/>
                  <wp:cNvGraphicFramePr/>
                  <a:graphic xmlns:a="http://schemas.openxmlformats.org/drawingml/2006/main">
                    <a:graphicData uri="http://schemas.openxmlformats.org/drawingml/2006/picture">
                      <pic:pic xmlns:pic="http://schemas.openxmlformats.org/drawingml/2006/picture">
                        <pic:nvPicPr>
                          <pic:cNvPr id="185" name="Picture" descr="/Applications/RStudio.app/Contents/Resources/app/quarto/share/formats/docx/tip.png"/>
                          <pic:cNvPicPr>
                            <a:picLocks noChangeAspect="1" noChangeArrowheads="1"/>
                          </pic:cNvPicPr>
                        </pic:nvPicPr>
                        <pic:blipFill>
                          <a:blip r:embed="rId7"/>
                          <a:stretch>
                            <a:fillRect/>
                          </a:stretch>
                        </pic:blipFill>
                        <pic:spPr bwMode="auto">
                          <a:xfrm>
                            <a:off x="0" y="0"/>
                            <a:ext cx="152400" cy="152400"/>
                          </a:xfrm>
                          <a:prstGeom prst="rect">
                            <a:avLst/>
                          </a:prstGeom>
                          <a:noFill/>
                          <a:ln w="9525">
                            <a:noFill/>
                            <a:headEnd/>
                            <a:tailEnd/>
                          </a:ln>
                        </pic:spPr>
                      </pic:pic>
                    </a:graphicData>
                  </a:graphic>
                </wp:inline>
              </w:drawing>
            </w:r>
            <w:r>
              <w:t xml:space="preserve">  Tip</w:t>
            </w:r>
          </w:p>
        </w:tc>
      </w:tr>
      <w:tr w:rsidR="00C0020C" w14:paraId="716C6C08" w14:textId="77777777" w:rsidTr="00C0020C">
        <w:trPr>
          <w:cantSplit/>
        </w:trPr>
        <w:tc>
          <w:tcPr>
            <w:tcW w:w="0" w:type="auto"/>
            <w:tcMar>
              <w:top w:w="108" w:type="dxa"/>
              <w:bottom w:w="108" w:type="dxa"/>
            </w:tcMar>
          </w:tcPr>
          <w:p w14:paraId="45F747C9" w14:textId="77777777" w:rsidR="00C0020C" w:rsidRDefault="00000000">
            <w:pPr>
              <w:pStyle w:val="BodyText"/>
              <w:spacing w:before="16"/>
            </w:pPr>
            <w:r>
              <w:lastRenderedPageBreak/>
              <w:t>I can only show you the potential for creative and effective visualization</w:t>
            </w:r>
          </w:p>
          <w:p w14:paraId="3A89C296" w14:textId="77777777" w:rsidR="00C0020C" w:rsidRDefault="00000000">
            <w:pPr>
              <w:pStyle w:val="Compact"/>
              <w:numPr>
                <w:ilvl w:val="0"/>
                <w:numId w:val="61"/>
              </w:numPr>
            </w:pPr>
            <w:r>
              <w:t>experiment and find what looks good and is useful to you</w:t>
            </w:r>
          </w:p>
          <w:p w14:paraId="51FAC2CB" w14:textId="77777777" w:rsidR="00C0020C" w:rsidRDefault="00000000">
            <w:pPr>
              <w:pStyle w:val="Compact"/>
              <w:numPr>
                <w:ilvl w:val="0"/>
                <w:numId w:val="61"/>
              </w:numPr>
            </w:pPr>
            <w:r>
              <w:t>seek out information – good places to start are:</w:t>
            </w:r>
          </w:p>
          <w:p w14:paraId="1C0FB878" w14:textId="77777777" w:rsidR="00C0020C" w:rsidRDefault="00000000">
            <w:pPr>
              <w:pStyle w:val="FirstParagraph"/>
            </w:pPr>
            <w:hyperlink r:id="rId28">
              <w:r>
                <w:rPr>
                  <w:rStyle w:val="Hyperlink"/>
                </w:rPr>
                <w:t>https://ggplot2.tidyverse.org/index.html</w:t>
              </w:r>
            </w:hyperlink>
          </w:p>
          <w:p w14:paraId="22249B74" w14:textId="77777777" w:rsidR="00C0020C" w:rsidRDefault="00000000">
            <w:pPr>
              <w:pStyle w:val="BodyText"/>
              <w:spacing w:after="16"/>
            </w:pPr>
            <w:hyperlink r:id="rId29">
              <w:r>
                <w:rPr>
                  <w:rStyle w:val="Hyperlink"/>
                </w:rPr>
                <w:t>https://r-graph-gallery.com</w:t>
              </w:r>
            </w:hyperlink>
          </w:p>
        </w:tc>
      </w:tr>
    </w:tbl>
    <w:p w14:paraId="67796644" w14:textId="77777777" w:rsidR="00C0020C" w:rsidRDefault="00000000">
      <w:pPr>
        <w:pStyle w:val="Heading2"/>
      </w:pPr>
      <w:bookmarkStart w:id="84" w:name="references"/>
      <w:bookmarkEnd w:id="83"/>
      <w:r>
        <w:t>49 References</w:t>
      </w:r>
    </w:p>
    <w:p w14:paraId="3755262E" w14:textId="77777777" w:rsidR="00C0020C" w:rsidRDefault="00000000">
      <w:pPr>
        <w:pStyle w:val="Bibliography"/>
      </w:pPr>
      <w:bookmarkStart w:id="85" w:name="ref-anscombe1973"/>
      <w:bookmarkStart w:id="86" w:name="refs"/>
      <w:r>
        <w:t xml:space="preserve">Anscombe, F. J. (1973). Graphs in statistical analysis. </w:t>
      </w:r>
      <w:r>
        <w:rPr>
          <w:i/>
          <w:iCs/>
        </w:rPr>
        <w:t>The American Statistician</w:t>
      </w:r>
      <w:r>
        <w:t xml:space="preserve">, </w:t>
      </w:r>
      <w:r>
        <w:rPr>
          <w:i/>
          <w:iCs/>
        </w:rPr>
        <w:t>27</w:t>
      </w:r>
      <w:r>
        <w:t xml:space="preserve">(1), 17–21. </w:t>
      </w:r>
      <w:hyperlink r:id="rId30">
        <w:r>
          <w:rPr>
            <w:rStyle w:val="Hyperlink"/>
          </w:rPr>
          <w:t>https://doi.org/10.2307/2682899</w:t>
        </w:r>
      </w:hyperlink>
    </w:p>
    <w:p w14:paraId="58A686A1" w14:textId="77777777" w:rsidR="00C0020C" w:rsidRDefault="00000000">
      <w:pPr>
        <w:pStyle w:val="Bibliography"/>
      </w:pPr>
      <w:bookmarkStart w:id="87" w:name="ref-R-lme4"/>
      <w:bookmarkEnd w:id="85"/>
      <w:r>
        <w:t xml:space="preserve">Bates, D., Mächler, M., Bolker, B., &amp; Walker, S. (2015). Fitting linear mixed-effects models using lme4. </w:t>
      </w:r>
      <w:r>
        <w:rPr>
          <w:i/>
          <w:iCs/>
        </w:rPr>
        <w:t>Journal of Statistical Software</w:t>
      </w:r>
      <w:r>
        <w:t xml:space="preserve">, </w:t>
      </w:r>
      <w:r>
        <w:rPr>
          <w:i/>
          <w:iCs/>
        </w:rPr>
        <w:t>67</w:t>
      </w:r>
      <w:r>
        <w:t xml:space="preserve">(1), 1–48. </w:t>
      </w:r>
      <w:hyperlink r:id="rId31">
        <w:r>
          <w:rPr>
            <w:rStyle w:val="Hyperlink"/>
          </w:rPr>
          <w:t>https://doi.org/10.18637/jss.v067.i01</w:t>
        </w:r>
      </w:hyperlink>
    </w:p>
    <w:p w14:paraId="0787B91D" w14:textId="77777777" w:rsidR="00C0020C" w:rsidRDefault="00000000">
      <w:pPr>
        <w:pStyle w:val="Bibliography"/>
      </w:pPr>
      <w:bookmarkStart w:id="88" w:name="ref-belenky2003"/>
      <w:bookmarkEnd w:id="87"/>
      <w:r>
        <w:t xml:space="preserve">Belenky, G., Wesensten, N. J., Thorne, D. R., Thomas, M. L., Sing, H. C., Redmond, D. P., Russo, M. B., &amp; Balkin, T. J. (2003). Patterns of performance degradation and restoration during sleep restriction and subsequent recovery: a sleep dose-response study. </w:t>
      </w:r>
      <w:r>
        <w:rPr>
          <w:i/>
          <w:iCs/>
        </w:rPr>
        <w:t>Journal of Sleep Research</w:t>
      </w:r>
      <w:r>
        <w:t xml:space="preserve">, </w:t>
      </w:r>
      <w:r>
        <w:rPr>
          <w:i/>
          <w:iCs/>
        </w:rPr>
        <w:t>12</w:t>
      </w:r>
      <w:r>
        <w:t xml:space="preserve">(1), 1–12. </w:t>
      </w:r>
      <w:hyperlink r:id="rId32">
        <w:r>
          <w:rPr>
            <w:rStyle w:val="Hyperlink"/>
          </w:rPr>
          <w:t>https://doi.org/10.1046/j.1365-2869.2003.00337.x</w:t>
        </w:r>
      </w:hyperlink>
    </w:p>
    <w:p w14:paraId="7CD55337" w14:textId="77777777" w:rsidR="00C0020C" w:rsidRDefault="00000000">
      <w:pPr>
        <w:pStyle w:val="Bibliography"/>
      </w:pPr>
      <w:bookmarkStart w:id="89" w:name="ref-franconeri2021"/>
      <w:bookmarkEnd w:id="88"/>
      <w:r>
        <w:t xml:space="preserve">Franconeri, S. L., Padilla, L. M., Shah, P., Zacks, J. M., &amp; Hullman, J. (2021). The Science of Visual Data Communication: What Works. </w:t>
      </w:r>
      <w:r>
        <w:rPr>
          <w:i/>
          <w:iCs/>
        </w:rPr>
        <w:t>Psychological Science in the Public Interest</w:t>
      </w:r>
      <w:r>
        <w:t xml:space="preserve">, </w:t>
      </w:r>
      <w:r>
        <w:rPr>
          <w:i/>
          <w:iCs/>
        </w:rPr>
        <w:t>22</w:t>
      </w:r>
      <w:r>
        <w:t xml:space="preserve">(3), 110–161. </w:t>
      </w:r>
      <w:hyperlink r:id="rId33">
        <w:r>
          <w:rPr>
            <w:rStyle w:val="Hyperlink"/>
          </w:rPr>
          <w:t>https://doi.org/10.1177/15291006211051956</w:t>
        </w:r>
      </w:hyperlink>
    </w:p>
    <w:p w14:paraId="1EE66256" w14:textId="77777777" w:rsidR="00C0020C" w:rsidRDefault="00000000">
      <w:pPr>
        <w:pStyle w:val="Bibliography"/>
      </w:pPr>
      <w:bookmarkStart w:id="90" w:name="ref-Gelman2015"/>
      <w:bookmarkEnd w:id="89"/>
      <w:r>
        <w:t xml:space="preserve">Gelman, a. (2015). The connection between varying treatment effects and the crisis of unreplicable research: A bayesian perspective. </w:t>
      </w:r>
      <w:r>
        <w:rPr>
          <w:i/>
          <w:iCs/>
        </w:rPr>
        <w:t>Journal of Management</w:t>
      </w:r>
      <w:r>
        <w:t xml:space="preserve">, </w:t>
      </w:r>
      <w:r>
        <w:rPr>
          <w:i/>
          <w:iCs/>
        </w:rPr>
        <w:t>41</w:t>
      </w:r>
      <w:r>
        <w:t xml:space="preserve">(2), 632–643. </w:t>
      </w:r>
      <w:hyperlink r:id="rId34">
        <w:r>
          <w:rPr>
            <w:rStyle w:val="Hyperlink"/>
          </w:rPr>
          <w:t>https://doi.org/10.1177/0149206314525208</w:t>
        </w:r>
      </w:hyperlink>
    </w:p>
    <w:p w14:paraId="075752BD" w14:textId="77777777" w:rsidR="00C0020C" w:rsidRDefault="00000000">
      <w:pPr>
        <w:pStyle w:val="Bibliography"/>
      </w:pPr>
      <w:bookmarkStart w:id="91" w:name="ref-gelman2002"/>
      <w:bookmarkEnd w:id="90"/>
      <w:r>
        <w:t xml:space="preserve">Gelman, A., Pasarica, C., &amp; Dodhia, R. (2002). Let’s practice what we preach. </w:t>
      </w:r>
      <w:r>
        <w:rPr>
          <w:i/>
          <w:iCs/>
        </w:rPr>
        <w:t>The American Statistician</w:t>
      </w:r>
      <w:r>
        <w:t xml:space="preserve">, </w:t>
      </w:r>
      <w:r>
        <w:rPr>
          <w:i/>
          <w:iCs/>
        </w:rPr>
        <w:t>56</w:t>
      </w:r>
      <w:r>
        <w:t xml:space="preserve">(2), 121–130. </w:t>
      </w:r>
      <w:hyperlink r:id="rId35">
        <w:r>
          <w:rPr>
            <w:rStyle w:val="Hyperlink"/>
          </w:rPr>
          <w:t>https://doi.org/10.1198/000313002317572790</w:t>
        </w:r>
      </w:hyperlink>
    </w:p>
    <w:p w14:paraId="3C0DD9CD" w14:textId="77777777" w:rsidR="00C0020C" w:rsidRDefault="00000000">
      <w:pPr>
        <w:pStyle w:val="Bibliography"/>
      </w:pPr>
      <w:bookmarkStart w:id="92" w:name="ref-gelman2013"/>
      <w:bookmarkEnd w:id="91"/>
      <w:r>
        <w:t xml:space="preserve">Gelman, A., &amp; Unwin, A. (2013). Infovis and statistical graphics: Different goals, different looks. </w:t>
      </w:r>
      <w:r>
        <w:rPr>
          <w:i/>
          <w:iCs/>
        </w:rPr>
        <w:t>Journal of Computational and Graphical Statistics</w:t>
      </w:r>
      <w:r>
        <w:t xml:space="preserve">, </w:t>
      </w:r>
      <w:r>
        <w:rPr>
          <w:i/>
          <w:iCs/>
        </w:rPr>
        <w:t>22</w:t>
      </w:r>
      <w:r>
        <w:t xml:space="preserve">(1), 2–28. </w:t>
      </w:r>
      <w:hyperlink r:id="rId36">
        <w:r>
          <w:rPr>
            <w:rStyle w:val="Hyperlink"/>
          </w:rPr>
          <w:t>https://doi.org/10.1080/10618600.2012.761137</w:t>
        </w:r>
      </w:hyperlink>
    </w:p>
    <w:p w14:paraId="7A696FB3" w14:textId="77777777" w:rsidR="00C0020C" w:rsidRDefault="00000000">
      <w:pPr>
        <w:pStyle w:val="Bibliography"/>
      </w:pPr>
      <w:bookmarkStart w:id="93" w:name="ref-hofman2020"/>
      <w:bookmarkEnd w:id="92"/>
      <w:r>
        <w:t xml:space="preserve">Hofman, J. M., Goldstein, D. G., &amp; Hullman, J. (2020). </w:t>
      </w:r>
      <w:r>
        <w:rPr>
          <w:i/>
          <w:iCs/>
        </w:rPr>
        <w:t>How visualizing inferential uncertainty can mislead readers about treatment effects in scientific results</w:t>
      </w:r>
      <w:r>
        <w:t xml:space="preserve">. 112. </w:t>
      </w:r>
      <w:hyperlink r:id="rId37">
        <w:r>
          <w:rPr>
            <w:rStyle w:val="Hyperlink"/>
          </w:rPr>
          <w:t>https://doi.org/10.1145/3313831.3376454</w:t>
        </w:r>
      </w:hyperlink>
    </w:p>
    <w:p w14:paraId="39EF2B40" w14:textId="77777777" w:rsidR="00C0020C" w:rsidRDefault="00000000">
      <w:pPr>
        <w:pStyle w:val="Bibliography"/>
      </w:pPr>
      <w:bookmarkStart w:id="94" w:name="ref-jumpingrivers"/>
      <w:bookmarkEnd w:id="93"/>
      <w:r>
        <w:t xml:space="preserve">jumpingrivers. (n.d.). </w:t>
      </w:r>
      <w:r>
        <w:rPr>
          <w:i/>
          <w:iCs/>
        </w:rPr>
        <w:t>Datasets from the Datasaurus Dozen</w:t>
      </w:r>
      <w:r>
        <w:t xml:space="preserve">. </w:t>
      </w:r>
      <w:hyperlink r:id="rId38">
        <w:r>
          <w:rPr>
            <w:rStyle w:val="Hyperlink"/>
          </w:rPr>
          <w:t>https://jumpingrivers.github.io/datasauRus/</w:t>
        </w:r>
      </w:hyperlink>
    </w:p>
    <w:p w14:paraId="275B0E71" w14:textId="77777777" w:rsidR="00C0020C" w:rsidRDefault="00000000">
      <w:pPr>
        <w:pStyle w:val="Bibliography"/>
      </w:pPr>
      <w:bookmarkStart w:id="95" w:name="ref-kastellec2007"/>
      <w:bookmarkEnd w:id="94"/>
      <w:r>
        <w:t xml:space="preserve">Kastellec, J. P., &amp; Leoni, E. L. (2007). Using Graphs Instead of Tables in Political Science. </w:t>
      </w:r>
      <w:r>
        <w:rPr>
          <w:i/>
          <w:iCs/>
        </w:rPr>
        <w:t>Perspectives on Politics</w:t>
      </w:r>
      <w:r>
        <w:t xml:space="preserve">, </w:t>
      </w:r>
      <w:r>
        <w:rPr>
          <w:i/>
          <w:iCs/>
        </w:rPr>
        <w:t>5</w:t>
      </w:r>
      <w:r>
        <w:t xml:space="preserve">(4), 755–771. </w:t>
      </w:r>
      <w:hyperlink r:id="rId39">
        <w:r>
          <w:rPr>
            <w:rStyle w:val="Hyperlink"/>
          </w:rPr>
          <w:t>https://doi.org/10.1017/S1537592707072209</w:t>
        </w:r>
      </w:hyperlink>
    </w:p>
    <w:p w14:paraId="6B45D6DF" w14:textId="77777777" w:rsidR="00C0020C" w:rsidRDefault="00000000">
      <w:pPr>
        <w:pStyle w:val="Bibliography"/>
      </w:pPr>
      <w:bookmarkStart w:id="96" w:name="ref-matejka2017"/>
      <w:bookmarkEnd w:id="95"/>
      <w:r>
        <w:t xml:space="preserve">Matejka, J., &amp; Fitzmaurice, G. (2017). </w:t>
      </w:r>
      <w:r>
        <w:rPr>
          <w:i/>
          <w:iCs/>
        </w:rPr>
        <w:t>CHI ’17: CHI Conference on Human Factors in Computing Systems</w:t>
      </w:r>
      <w:r>
        <w:t xml:space="preserve">. 1290–1294. </w:t>
      </w:r>
      <w:hyperlink r:id="rId40">
        <w:r>
          <w:rPr>
            <w:rStyle w:val="Hyperlink"/>
          </w:rPr>
          <w:t>https://doi.org/10.1145/3025453.3025912</w:t>
        </w:r>
      </w:hyperlink>
    </w:p>
    <w:p w14:paraId="71511056" w14:textId="77777777" w:rsidR="00C0020C" w:rsidRDefault="00000000">
      <w:pPr>
        <w:pStyle w:val="Bibliography"/>
      </w:pPr>
      <w:bookmarkStart w:id="97" w:name="ref-vanderbles2019"/>
      <w:bookmarkEnd w:id="96"/>
      <w:r>
        <w:lastRenderedPageBreak/>
        <w:t xml:space="preserve">Van Der Bles, A. M., Van Der Linden, S., Freeman, A. L. J., Mitchell, J., Galvao, A. B., Zaval, L., &amp; Spiegelhalter, D. J. (2019). </w:t>
      </w:r>
      <w:r>
        <w:rPr>
          <w:i/>
          <w:iCs/>
        </w:rPr>
        <w:t>Communicating uncertainty about facts, numbers and science</w:t>
      </w:r>
      <w:r>
        <w:t xml:space="preserve"> (Vol. 6).</w:t>
      </w:r>
    </w:p>
    <w:p w14:paraId="4DEC9FAA" w14:textId="77777777" w:rsidR="00C0020C" w:rsidRDefault="00000000">
      <w:pPr>
        <w:pStyle w:val="Bibliography"/>
      </w:pPr>
      <w:bookmarkStart w:id="98" w:name="ref-vasishth2021"/>
      <w:bookmarkEnd w:id="97"/>
      <w:r>
        <w:t xml:space="preserve">Vasishth, S., &amp; Gelman, A. (2021). How to embrace variation and accept uncertainty in linguistic and psycholinguistic data analysis. </w:t>
      </w:r>
      <w:r>
        <w:rPr>
          <w:i/>
          <w:iCs/>
        </w:rPr>
        <w:t>Linguistics</w:t>
      </w:r>
      <w:r>
        <w:t xml:space="preserve">, </w:t>
      </w:r>
      <w:r>
        <w:rPr>
          <w:i/>
          <w:iCs/>
        </w:rPr>
        <w:t>59</w:t>
      </w:r>
      <w:r>
        <w:t xml:space="preserve">(5), 1311–1342. </w:t>
      </w:r>
      <w:hyperlink r:id="rId41">
        <w:r>
          <w:rPr>
            <w:rStyle w:val="Hyperlink"/>
          </w:rPr>
          <w:t>https://doi.org/10.1515/ling-2019-0051</w:t>
        </w:r>
      </w:hyperlink>
    </w:p>
    <w:p w14:paraId="09B6104E" w14:textId="77777777" w:rsidR="00C0020C" w:rsidRDefault="00000000">
      <w:pPr>
        <w:pStyle w:val="Bibliography"/>
      </w:pPr>
      <w:bookmarkStart w:id="99" w:name="ref-wickham2010"/>
      <w:bookmarkEnd w:id="98"/>
      <w:r>
        <w:t xml:space="preserve">Wickham, H. (2010). A layered grammar of graphics. </w:t>
      </w:r>
      <w:r>
        <w:rPr>
          <w:i/>
          <w:iCs/>
        </w:rPr>
        <w:t>Journal of Computational and Graphical Statistics</w:t>
      </w:r>
      <w:r>
        <w:t xml:space="preserve">, </w:t>
      </w:r>
      <w:r>
        <w:rPr>
          <w:i/>
          <w:iCs/>
        </w:rPr>
        <w:t>19</w:t>
      </w:r>
      <w:r>
        <w:t xml:space="preserve">(1), 3–28. </w:t>
      </w:r>
      <w:hyperlink r:id="rId42">
        <w:r>
          <w:rPr>
            <w:rStyle w:val="Hyperlink"/>
          </w:rPr>
          <w:t>https://doi.org/10.1198/jcgs.2009.07098</w:t>
        </w:r>
      </w:hyperlink>
    </w:p>
    <w:p w14:paraId="289C481E" w14:textId="77777777" w:rsidR="00C0020C" w:rsidRDefault="00000000">
      <w:pPr>
        <w:pStyle w:val="Bibliography"/>
      </w:pPr>
      <w:bookmarkStart w:id="100" w:name="ref-wilkinson2013"/>
      <w:bookmarkEnd w:id="99"/>
      <w:r>
        <w:t xml:space="preserve">Wilkinson, L. (2013). </w:t>
      </w:r>
      <w:r>
        <w:rPr>
          <w:i/>
          <w:iCs/>
        </w:rPr>
        <w:t>The Grammar of Graphics</w:t>
      </w:r>
      <w:r>
        <w:t>. Springer Science &amp; Business Media.</w:t>
      </w:r>
    </w:p>
    <w:p w14:paraId="0E878131" w14:textId="77777777" w:rsidR="00C0020C" w:rsidRDefault="00000000">
      <w:pPr>
        <w:pStyle w:val="Bibliography"/>
      </w:pPr>
      <w:bookmarkStart w:id="101" w:name="ref-zhang2023"/>
      <w:bookmarkEnd w:id="100"/>
      <w:r>
        <w:t xml:space="preserve">Zhang, S., Heck, P. R., Meyer, M. N., Chabris, C. F., Goldstein, D. G., &amp; Hofman, J. M. (2023). An illusion of predictability in scientific results: Even experts confuse inferential uncertainty and outcome variability. </w:t>
      </w:r>
      <w:r>
        <w:rPr>
          <w:i/>
          <w:iCs/>
        </w:rPr>
        <w:t>Proceedings of the National Academy of Sciences</w:t>
      </w:r>
      <w:r>
        <w:t xml:space="preserve">, </w:t>
      </w:r>
      <w:r>
        <w:rPr>
          <w:i/>
          <w:iCs/>
        </w:rPr>
        <w:t>120</w:t>
      </w:r>
      <w:r>
        <w:t xml:space="preserve">(33), e2302491120. </w:t>
      </w:r>
      <w:hyperlink r:id="rId43">
        <w:r>
          <w:rPr>
            <w:rStyle w:val="Hyperlink"/>
          </w:rPr>
          <w:t>https://doi.org/10.1073/pnas.2302491120</w:t>
        </w:r>
      </w:hyperlink>
      <w:bookmarkEnd w:id="84"/>
      <w:bookmarkEnd w:id="86"/>
      <w:bookmarkEnd w:id="101"/>
    </w:p>
    <w:sectPr w:rsidR="00C0020C">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3477B6" w14:textId="77777777" w:rsidR="001A3048" w:rsidRDefault="001A3048">
      <w:pPr>
        <w:spacing w:after="0"/>
      </w:pPr>
      <w:r>
        <w:separator/>
      </w:r>
    </w:p>
  </w:endnote>
  <w:endnote w:type="continuationSeparator" w:id="0">
    <w:p w14:paraId="599BC175" w14:textId="77777777" w:rsidR="001A3048" w:rsidRDefault="001A304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AB42D4" w14:textId="77777777" w:rsidR="001A3048" w:rsidRDefault="001A3048">
      <w:r>
        <w:separator/>
      </w:r>
    </w:p>
  </w:footnote>
  <w:footnote w:type="continuationSeparator" w:id="0">
    <w:p w14:paraId="7BAAAECC" w14:textId="77777777" w:rsidR="001A3048" w:rsidRDefault="001A30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CAEE944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332800F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7E449B0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200359112">
    <w:abstractNumId w:val="0"/>
  </w:num>
  <w:num w:numId="2" w16cid:durableId="417681899">
    <w:abstractNumId w:val="1"/>
  </w:num>
  <w:num w:numId="3" w16cid:durableId="1219438082">
    <w:abstractNumId w:val="1"/>
  </w:num>
  <w:num w:numId="4" w16cid:durableId="740181782">
    <w:abstractNumId w:val="1"/>
  </w:num>
  <w:num w:numId="5" w16cid:durableId="40680896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1274154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9217939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06157820">
    <w:abstractNumId w:val="1"/>
  </w:num>
  <w:num w:numId="9" w16cid:durableId="1573544404">
    <w:abstractNumId w:val="1"/>
  </w:num>
  <w:num w:numId="10" w16cid:durableId="1845511295">
    <w:abstractNumId w:val="1"/>
  </w:num>
  <w:num w:numId="11" w16cid:durableId="169829822">
    <w:abstractNumId w:val="1"/>
  </w:num>
  <w:num w:numId="12" w16cid:durableId="39211850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59664135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125124809">
    <w:abstractNumId w:val="1"/>
  </w:num>
  <w:num w:numId="15" w16cid:durableId="247738162">
    <w:abstractNumId w:val="1"/>
  </w:num>
  <w:num w:numId="16" w16cid:durableId="2005235634">
    <w:abstractNumId w:val="1"/>
  </w:num>
  <w:num w:numId="17" w16cid:durableId="1993606411">
    <w:abstractNumId w:val="1"/>
  </w:num>
  <w:num w:numId="18" w16cid:durableId="1957523858">
    <w:abstractNumId w:val="1"/>
  </w:num>
  <w:num w:numId="19" w16cid:durableId="1182818158">
    <w:abstractNumId w:val="1"/>
  </w:num>
  <w:num w:numId="20" w16cid:durableId="1284073724">
    <w:abstractNumId w:val="1"/>
  </w:num>
  <w:num w:numId="21" w16cid:durableId="1078868332">
    <w:abstractNumId w:val="1"/>
  </w:num>
  <w:num w:numId="22" w16cid:durableId="1236941029">
    <w:abstractNumId w:val="1"/>
  </w:num>
  <w:num w:numId="23" w16cid:durableId="19054880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313564770">
    <w:abstractNumId w:val="1"/>
  </w:num>
  <w:num w:numId="25" w16cid:durableId="293410687">
    <w:abstractNumId w:val="1"/>
  </w:num>
  <w:num w:numId="26" w16cid:durableId="492339100">
    <w:abstractNumId w:val="1"/>
  </w:num>
  <w:num w:numId="27" w16cid:durableId="300883850">
    <w:abstractNumId w:val="1"/>
  </w:num>
  <w:num w:numId="28" w16cid:durableId="1754473864">
    <w:abstractNumId w:val="1"/>
  </w:num>
  <w:num w:numId="29" w16cid:durableId="1813979691">
    <w:abstractNumId w:val="1"/>
  </w:num>
  <w:num w:numId="30" w16cid:durableId="47732319">
    <w:abstractNumId w:val="1"/>
  </w:num>
  <w:num w:numId="31" w16cid:durableId="1501776710">
    <w:abstractNumId w:val="1"/>
  </w:num>
  <w:num w:numId="32" w16cid:durableId="2095852502">
    <w:abstractNumId w:val="1"/>
  </w:num>
  <w:num w:numId="33" w16cid:durableId="1080105670">
    <w:abstractNumId w:val="1"/>
  </w:num>
  <w:num w:numId="34" w16cid:durableId="16724874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531645361">
    <w:abstractNumId w:val="1"/>
  </w:num>
  <w:num w:numId="36" w16cid:durableId="1445614603">
    <w:abstractNumId w:val="1"/>
  </w:num>
  <w:num w:numId="37" w16cid:durableId="47371714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592398411">
    <w:abstractNumId w:val="1"/>
  </w:num>
  <w:num w:numId="39" w16cid:durableId="826867950">
    <w:abstractNumId w:val="1"/>
  </w:num>
  <w:num w:numId="40" w16cid:durableId="718745625">
    <w:abstractNumId w:val="1"/>
  </w:num>
  <w:num w:numId="41" w16cid:durableId="190805479">
    <w:abstractNumId w:val="1"/>
  </w:num>
  <w:num w:numId="42" w16cid:durableId="2112117670">
    <w:abstractNumId w:val="1"/>
  </w:num>
  <w:num w:numId="43" w16cid:durableId="644549105">
    <w:abstractNumId w:val="1"/>
  </w:num>
  <w:num w:numId="44" w16cid:durableId="19271071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789275247">
    <w:abstractNumId w:val="1"/>
  </w:num>
  <w:num w:numId="46" w16cid:durableId="1045914395">
    <w:abstractNumId w:val="1"/>
  </w:num>
  <w:num w:numId="47" w16cid:durableId="595987145">
    <w:abstractNumId w:val="1"/>
  </w:num>
  <w:num w:numId="48" w16cid:durableId="127666978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100569077">
    <w:abstractNumId w:val="1"/>
  </w:num>
  <w:num w:numId="50" w16cid:durableId="112406223">
    <w:abstractNumId w:val="1"/>
  </w:num>
  <w:num w:numId="51" w16cid:durableId="636839508">
    <w:abstractNumId w:val="1"/>
  </w:num>
  <w:num w:numId="52" w16cid:durableId="2056152481">
    <w:abstractNumId w:val="1"/>
  </w:num>
  <w:num w:numId="53" w16cid:durableId="23135941">
    <w:abstractNumId w:val="1"/>
  </w:num>
  <w:num w:numId="54" w16cid:durableId="1255481949">
    <w:abstractNumId w:val="1"/>
  </w:num>
  <w:num w:numId="55" w16cid:durableId="216208276">
    <w:abstractNumId w:val="1"/>
  </w:num>
  <w:num w:numId="56" w16cid:durableId="650987494">
    <w:abstractNumId w:val="1"/>
  </w:num>
  <w:num w:numId="57" w16cid:durableId="840043288">
    <w:abstractNumId w:val="1"/>
  </w:num>
  <w:num w:numId="58" w16cid:durableId="911504519">
    <w:abstractNumId w:val="1"/>
  </w:num>
  <w:num w:numId="59" w16cid:durableId="39434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8144926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20558138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0020C"/>
    <w:rsid w:val="001A3048"/>
    <w:rsid w:val="005F2601"/>
    <w:rsid w:val="00C0020C"/>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2DA4D14"/>
  <w15:docId w15:val="{C3819F39-C548-B44E-8031-DB41DE6D2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doi.org/10.1017/S1537592707072209" TargetMode="External"/><Relationship Id="rId21" Type="http://schemas.openxmlformats.org/officeDocument/2006/relationships/image" Target="media/image15.png"/><Relationship Id="rId34" Type="http://schemas.openxmlformats.org/officeDocument/2006/relationships/hyperlink" Target="https://doi.org/10.1177/0149206314525208" TargetMode="External"/><Relationship Id="rId42" Type="http://schemas.openxmlformats.org/officeDocument/2006/relationships/hyperlink" Target="https://doi.org/10.1198/jcgs.2009.07098"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r-graph-gallery.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doi.org/10.1046/j.1365-2869.2003.00337.x" TargetMode="External"/><Relationship Id="rId37" Type="http://schemas.openxmlformats.org/officeDocument/2006/relationships/hyperlink" Target="https://doi.org/10.1145/3313831.3376454" TargetMode="External"/><Relationship Id="rId40" Type="http://schemas.openxmlformats.org/officeDocument/2006/relationships/hyperlink" Target="https://doi.org/10.1145/3025453.3025912"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ggplot2.tidyverse.org/index.html" TargetMode="External"/><Relationship Id="rId36" Type="http://schemas.openxmlformats.org/officeDocument/2006/relationships/hyperlink" Target="https://doi.org/10.1080/10618600.2012.761137"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doi.org/10.18637/jss.v067.i01"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doi.org/10.2307/2682899" TargetMode="External"/><Relationship Id="rId35" Type="http://schemas.openxmlformats.org/officeDocument/2006/relationships/hyperlink" Target="https://doi.org/10.1198/000313002317572790" TargetMode="External"/><Relationship Id="rId43" Type="http://schemas.openxmlformats.org/officeDocument/2006/relationships/hyperlink" Target="https://doi.org/10.1073/pnas.2302491120"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doi.org/10.1177/15291006211051956" TargetMode="External"/><Relationship Id="rId38" Type="http://schemas.openxmlformats.org/officeDocument/2006/relationships/hyperlink" Target="https://jumpingrivers.github.io/datasauRus/" TargetMode="External"/><Relationship Id="rId20" Type="http://schemas.openxmlformats.org/officeDocument/2006/relationships/image" Target="media/image14.png"/><Relationship Id="rId41" Type="http://schemas.openxmlformats.org/officeDocument/2006/relationships/hyperlink" Target="https://doi.org/10.1515/ling-2019-005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28</Pages>
  <Words>3741</Words>
  <Characters>21326</Characters>
  <Application>Microsoft Office Word</Application>
  <DocSecurity>0</DocSecurity>
  <Lines>177</Lines>
  <Paragraphs>50</Paragraphs>
  <ScaleCrop>false</ScaleCrop>
  <Company/>
  <LinksUpToDate>false</LinksUpToDate>
  <CharactersWithSpaces>25017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visualization: practices</dc:title>
  <dc:creator>Rob Davies</dc:creator>
  <cp:keywords/>
  <cp:lastModifiedBy>Davies, Robert</cp:lastModifiedBy>
  <cp:revision>2</cp:revision>
  <dcterms:created xsi:type="dcterms:W3CDTF">2023-11-21T18:23:00Z</dcterms:created>
  <dcterms:modified xsi:type="dcterms:W3CDTF">2023-11-21T18:28:00Z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by-author">
    <vt:lpwstr/>
  </property>
  <property fmtid="{D5CDD505-2E9C-101B-9397-08002B2CF9AE}" pid="8" name="colorlinks">
    <vt:lpwstr>True</vt:lpwstr>
  </property>
  <property fmtid="{D5CDD505-2E9C-101B-9397-08002B2CF9AE}" pid="9" name="controls">
    <vt:lpwstr>True</vt:lpwstr>
  </property>
  <property fmtid="{D5CDD505-2E9C-101B-9397-08002B2CF9AE}" pid="10" name="csl">
    <vt:lpwstr>psychological-bulletin.csl</vt:lpwstr>
  </property>
  <property fmtid="{D5CDD505-2E9C-101B-9397-08002B2CF9AE}" pid="11" name="date">
    <vt:lpwstr>2023-11-27</vt:lpwstr>
  </property>
  <property fmtid="{D5CDD505-2E9C-101B-9397-08002B2CF9AE}" pid="12" name="editor">
    <vt:lpwstr>visual</vt:lpwstr>
  </property>
  <property fmtid="{D5CDD505-2E9C-101B-9397-08002B2CF9AE}" pid="13" name="execute">
    <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institute">
    <vt:lpwstr>Department of Psychology, Lancaster University</vt:lpwstr>
  </property>
  <property fmtid="{D5CDD505-2E9C-101B-9397-08002B2CF9AE}" pid="18" name="institutes">
    <vt:lpwstr/>
  </property>
  <property fmtid="{D5CDD505-2E9C-101B-9397-08002B2CF9AE}" pid="19" name="labels">
    <vt:lpwstr/>
  </property>
  <property fmtid="{D5CDD505-2E9C-101B-9397-08002B2CF9AE}" pid="20" name="toc-title">
    <vt:lpwstr>Table of contents</vt:lpwstr>
  </property>
</Properties>
</file>