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pkt35b8sajl" w:id="0"/>
      <w:bookmarkEnd w:id="0"/>
      <w:r w:rsidDel="00000000" w:rsidR="00000000" w:rsidRPr="00000000">
        <w:rPr>
          <w:b w:val="1"/>
          <w:color w:val="000000"/>
          <w:sz w:val="26"/>
          <w:szCs w:val="26"/>
          <w:rtl w:val="0"/>
        </w:rPr>
        <w:t xml:space="preserve">Research Report on Factors Influencing Student Performance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v86shjk3jac9"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examines a dataset of student performance with the objective of identifying key factors that influence academic outcomes, specifically GPA. The variables under investigation include study habits, parental involvement, absenteeism, gender, ethnicity, and tutoring. The aim is to provide data-driven insights that can inform strategies for improving student performance.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a8m7pxsvsv28" w:id="2"/>
      <w:bookmarkEnd w:id="2"/>
      <w:r w:rsidDel="00000000" w:rsidR="00000000" w:rsidRPr="00000000">
        <w:rPr>
          <w:b w:val="1"/>
          <w:color w:val="000000"/>
          <w:sz w:val="22"/>
          <w:szCs w:val="22"/>
          <w:rtl w:val="0"/>
        </w:rPr>
        <w:t xml:space="preserve">Data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dataset includes various factors potentially related to student performance, such as study time per week, absences, tutoring hours, parental support, gender, ethnicity, and GPA. Correlation analysis and visualization techniques, including a correlation heatmap, were employed to uncover relationships between these variables.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pmleh8s55xbc" w:id="3"/>
      <w:bookmarkEnd w:id="3"/>
      <w:r w:rsidDel="00000000" w:rsidR="00000000" w:rsidRPr="00000000">
        <w:rPr>
          <w:b w:val="1"/>
          <w:color w:val="000000"/>
          <w:sz w:val="22"/>
          <w:szCs w:val="22"/>
          <w:rtl w:val="0"/>
        </w:rPr>
        <w:t xml:space="preserve">Key Findings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Study Time and GPA</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A significant positive correlation was observed between the number of study hours per week and GPA. Students who dedicate more time to studying tend to achieve higher GPAs. This finding underscores the importance of promoting effective study habits among students.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Absenteeism and GPA</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A strong negative correlation exists between the number of absences and GPA. Students with higher absenteeism rates generally have lower GPAs. This suggests that consistent attendance is crucial for academic success and highlights the need for interventions aimed at reducing absenteeism.</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Parental Involvement</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Parental support was found to have a positive correlation with GPA. Students who receive higher levels of parental involvement tend to perform better academically. Additionally, a positive correlation between parental education level and parental involvement was observed, indicating that parents with higher education levels are more likely to be engaged in their child’s education.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Gender Differences</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Analysis revealed slight differences in GPA distribution by gender, suggesting that gender may play a role in academic performance. This warrants further investigation to determine whether specific gender-related factors influence these outcomes and how they might be addressed.</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Ethnicity and GPA</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The data suggests that there may be differences in GPA across different ethnic groups. While the correlation is not strong, it points to the potential influence of socio-economic and cultural factors on student performance, which could be explored further in targeted studies.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Tutoring</w:t>
      </w:r>
      <w:r w:rsidDel="00000000" w:rsidR="00000000" w:rsidRPr="00000000">
        <w:rPr>
          <w:rtl w:val="0"/>
        </w:rPr>
        <w:t xml:space="preserve">:</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rtl w:val="0"/>
        </w:rPr>
        <w:t xml:space="preserve">The relationship between tutoring and GPA was not strongly pronounced, indicating that while tutoring may benefit some students, it may not be uniformly effective across the board. This suggests a need for more personalized or targeted tutoring approaches to address the specific needs of individual students.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vmzwrzymn0it" w:id="4"/>
      <w:bookmarkEnd w:id="4"/>
      <w:r w:rsidDel="00000000" w:rsidR="00000000" w:rsidRPr="00000000">
        <w:rPr>
          <w:b w:val="1"/>
          <w:color w:val="000000"/>
          <w:sz w:val="22"/>
          <w:szCs w:val="22"/>
          <w:rtl w:val="0"/>
        </w:rPr>
        <w:t xml:space="preserve">Implications and Recommendations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Promoting Study Habits</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Schools should consider implementing programs that encourage students to increase their study time, possibly through structured study sessions or workshops on time management and study techniques.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Reducing Absenteeism</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Addressing the causes of absenteeism is crucial. Schools could implement attendance monitoring systems, engage with parents to emphasize the importance of regular attendance, and provide support for students who may be struggling with attendance due to external factors.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Enhancing Parental Involvement</w:t>
      </w:r>
      <w:r w:rsidDel="00000000" w:rsidR="00000000" w:rsidRPr="00000000">
        <w:rPr>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Schools and communities should create programs that foster greater parental involvement, especially in households where parents may have lower education levels. Providing resources and workshops for parents on how to support their children’s education could be beneficial.</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Addressing Gender and Ethnic Disparities</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Targeted interventions should be developed to support students who may be at a disadvantage due to gender or ethnic disparities. This could include mentorship programs, culturally relevant curriculum adjustments, and gender-specific support initiatives.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Optimizing Tutoring Programs</w:t>
      </w:r>
      <w:r w:rsidDel="00000000" w:rsidR="00000000" w:rsidRPr="00000000">
        <w:rPr>
          <w:rtl w:val="0"/>
        </w:rPr>
        <w:t xml:space="preserve">:</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Tutoring programs should be evaluated and refined to ensure they meet the needs of the students who require the most assistance. Personalized tutoring plans, rather than one-size-fits-all solutions, might be more effective in improving student outcomes.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kz55cy148tz" w:id="5"/>
      <w:bookmarkEnd w:id="5"/>
      <w:r w:rsidDel="00000000" w:rsidR="00000000" w:rsidRPr="00000000">
        <w:rPr>
          <w:b w:val="1"/>
          <w:color w:val="000000"/>
          <w:sz w:val="22"/>
          <w:szCs w:val="22"/>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The analysis of this dataset provides valuable insights into the factors that influence student performance. By focusing on improving study habits, reducing absenteeism, enhancing parental involvement, and addressing disparities, educators and policymakers can make data-driven decisions to improve educational outcomes for all students. Further research is recommended to explore the nuanced impacts of these factors and to develop tailored interventions that address the specific needs of different student groups.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