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64" w:lineRule="auto" w:before="0" w:after="60"/>
      </w:pPr>
      <w:r>
        <w:rPr>
          <w:b/>
          <w:sz w:val="27"/>
        </w:rPr>
        <w:t>Cardinal Comfort Services — Outside-In Workforce Simulation</w:t>
      </w:r>
    </w:p>
    <w:p>
      <w:pPr>
        <w:keepNext w:val="0"/>
        <w:spacing w:line="264" w:lineRule="auto" w:before="0" w:after="80"/>
      </w:pPr>
      <w:r>
        <w:rPr>
          <w:b/>
          <w:i w:val="0"/>
          <w:sz w:val="19"/>
        </w:rPr>
        <w:t>To:</w:t>
      </w:r>
      <w:r>
        <w:rPr>
          <w:b w:val="0"/>
          <w:i w:val="0"/>
          <w:sz w:val="19"/>
        </w:rPr>
        <w:t xml:space="preserve"> Engagement delivery team | </w:t>
      </w:r>
      <w:r>
        <w:rPr>
          <w:b/>
          <w:i w:val="0"/>
          <w:sz w:val="19"/>
        </w:rPr>
        <w:t>Date:</w:t>
      </w:r>
      <w:r>
        <w:rPr>
          <w:b w:val="0"/>
          <w:i w:val="0"/>
          <w:sz w:val="19"/>
        </w:rPr>
        <w:t xml:space="preserve"> 2026-09-22</w:t>
      </w:r>
      <w:r>
        <w:br/>
      </w:r>
      <w:r>
        <w:rPr>
          <w:b/>
          <w:i w:val="0"/>
          <w:sz w:val="19"/>
        </w:rPr>
        <w:t>Inputs:</w:t>
      </w:r>
      <w:r>
        <w:rPr>
          <w:b w:val="0"/>
          <w:i w:val="0"/>
          <w:sz w:val="19"/>
        </w:rPr>
        <w:t xml:space="preserve"> </w:t>
      </w:r>
      <w:r>
        <w:rPr>
          <w:rFonts w:ascii="Consolas" w:hAnsi="Consolas"/>
          <w:b w:val="0"/>
          <w:i w:val="0"/>
          <w:sz w:val="18"/>
        </w:rPr>
        <w:t>cardinal_brief.md</w:t>
      </w:r>
      <w:r>
        <w:rPr>
          <w:b w:val="0"/>
          <w:i w:val="0"/>
          <w:sz w:val="19"/>
        </w:rPr>
        <w:t xml:space="preserve">, </w:t>
      </w:r>
      <w:r>
        <w:rPr>
          <w:rFonts w:ascii="Consolas" w:hAnsi="Consolas"/>
          <w:b w:val="0"/>
          <w:i w:val="0"/>
          <w:sz w:val="18"/>
        </w:rPr>
        <w:t>cardinal_profiles.csv</w:t>
      </w:r>
      <w:r>
        <w:rPr>
          <w:b w:val="0"/>
          <w:i w:val="0"/>
          <w:sz w:val="19"/>
        </w:rPr>
        <w:t xml:space="preserve">, </w:t>
      </w:r>
      <w:r>
        <w:rPr>
          <w:rFonts w:ascii="Consolas" w:hAnsi="Consolas"/>
          <w:b w:val="0"/>
          <w:i w:val="0"/>
          <w:sz w:val="18"/>
        </w:rPr>
        <w:t>cardinal_entity_mapping.csv</w:t>
      </w:r>
      <w:r>
        <w:rPr>
          <w:b w:val="0"/>
          <w:i w:val="0"/>
          <w:sz w:val="19"/>
        </w:rPr>
        <w:t xml:space="preserve">, the Part 1 model in </w:t>
      </w:r>
      <w:r>
        <w:rPr>
          <w:rFonts w:ascii="Consolas" w:hAnsi="Consolas"/>
          <w:b w:val="0"/>
          <w:i w:val="0"/>
          <w:sz w:val="18"/>
        </w:rPr>
        <w:t>output/workforce_model.csv</w:t>
      </w:r>
      <w:r>
        <w:rPr>
          <w:b w:val="0"/>
          <w:i w:val="0"/>
          <w:sz w:val="19"/>
        </w:rPr>
        <w:t>, BLS OEWS May 2025</w:t>
      </w:r>
      <w:r>
        <w:br/>
      </w:r>
      <w:r>
        <w:rPr>
          <w:b/>
          <w:i w:val="0"/>
          <w:sz w:val="19"/>
        </w:rPr>
        <w:t>Reproduce:</w:t>
      </w:r>
      <w:r>
        <w:rPr>
          <w:b w:val="0"/>
          <w:i w:val="0"/>
          <w:sz w:val="19"/>
        </w:rPr>
        <w:t xml:space="preserve"> </w:t>
      </w:r>
      <w:r>
        <w:rPr>
          <w:rFonts w:ascii="Consolas" w:hAnsi="Consolas"/>
          <w:b w:val="0"/>
          <w:i w:val="0"/>
          <w:sz w:val="18"/>
        </w:rPr>
        <w:t>pip install -r requirements.txt &amp;&amp; python src/build_cardinal.py &amp;&amp; python src/backtest_structure.py</w:t>
      </w:r>
    </w:p>
    <w:p>
      <w:pPr>
        <w:keepNext/>
        <w:spacing w:line="264" w:lineRule="auto" w:before="100" w:after="40"/>
      </w:pPr>
      <w:r>
        <w:rPr>
          <w:b/>
          <w:sz w:val="22"/>
        </w:rPr>
        <w:t>What this is, and the one number to read first</w:t>
      </w:r>
    </w:p>
    <w:p>
      <w:pPr>
        <w:keepNext w:val="0"/>
        <w:spacing w:line="264" w:lineRule="auto" w:before="0" w:after="80"/>
      </w:pPr>
      <w:r>
        <w:rPr>
          <w:b w:val="0"/>
          <w:i w:val="0"/>
          <w:sz w:val="19"/>
        </w:rPr>
        <w:t xml:space="preserve">An estimate of Cardinal's workforce built without a data room, priced on the same basis as the Part 1 model so the two can be added together. Every figure comes out of </w:t>
      </w:r>
      <w:r>
        <w:rPr>
          <w:rFonts w:ascii="Consolas" w:hAnsi="Consolas"/>
          <w:b w:val="0"/>
          <w:i w:val="0"/>
          <w:sz w:val="18"/>
        </w:rPr>
        <w:t>src/build_cardinal.py</w:t>
      </w:r>
      <w:r>
        <w:rPr>
          <w:b w:val="0"/>
          <w:i w:val="0"/>
          <w:sz w:val="19"/>
        </w:rPr>
        <w:t xml:space="preserve">, every judgement input sits in </w:t>
      </w:r>
      <w:r>
        <w:rPr>
          <w:rFonts w:ascii="Consolas" w:hAnsi="Consolas"/>
          <w:b w:val="0"/>
          <w:i w:val="0"/>
          <w:sz w:val="18"/>
        </w:rPr>
        <w:t>config/cardinal_assumptions.csv</w:t>
      </w:r>
      <w:r>
        <w:rPr>
          <w:b w:val="0"/>
          <w:i w:val="0"/>
          <w:sz w:val="19"/>
        </w:rPr>
        <w:t>, and the method's error has been measured rather than asserted.</w:t>
      </w:r>
    </w:p>
    <w:p>
      <w:pPr>
        <w:keepNext w:val="0"/>
        <w:spacing w:line="264" w:lineRule="auto" w:before="0" w:after="80"/>
      </w:pPr>
      <w:r>
        <w:rPr>
          <w:b/>
          <w:i w:val="0"/>
          <w:sz w:val="19"/>
        </w:rPr>
        <w:t>Headline: 403 employees, 392 FTE, $34.0M fully loaded annual labour cost, standalone.</w:t>
      </w:r>
      <w:r>
        <w:rPr>
          <w:b w:val="0"/>
          <w:i w:val="0"/>
          <w:sz w:val="19"/>
        </w:rPr>
        <w:t xml:space="preserve"> Field Service is 257 of those positions at $22.9M, built role by role and level by level in </w:t>
      </w:r>
      <w:r>
        <w:rPr>
          <w:rFonts w:ascii="Consolas" w:hAnsi="Consolas"/>
          <w:b w:val="0"/>
          <w:i w:val="0"/>
          <w:sz w:val="18"/>
        </w:rPr>
        <w:t>output/cardinal_field_service_model.csv</w:t>
      </w:r>
      <w:r>
        <w:rPr>
          <w:b w:val="0"/>
          <w:i w:val="0"/>
          <w:sz w:val="19"/>
        </w:rPr>
        <w:t>.</w:t>
      </w:r>
    </w:p>
    <w:p>
      <w:pPr>
        <w:keepNext w:val="0"/>
        <w:spacing w:line="264" w:lineRule="auto" w:before="0" w:after="80"/>
      </w:pPr>
      <w:r>
        <w:rPr>
          <w:b w:val="0"/>
          <w:i w:val="0"/>
          <w:sz w:val="19"/>
        </w:rPr>
        <w:t xml:space="preserve">The highest-impact step is in none of that. It is that </w:t>
      </w:r>
      <w:r>
        <w:rPr>
          <w:b/>
          <w:i w:val="0"/>
          <w:sz w:val="19"/>
        </w:rPr>
        <w:t>22% of the alternative-data extract is not Cardinal.</w:t>
      </w:r>
      <w:r>
        <w:rPr>
          <w:b w:val="0"/>
          <w:i w:val="0"/>
          <w:sz w:val="19"/>
        </w:rPr>
        <w:t xml:space="preserve"> Entity </w:t>
      </w:r>
      <w:r>
        <w:rPr>
          <w:rFonts w:ascii="Consolas" w:hAnsi="Consolas"/>
          <w:b w:val="0"/>
          <w:i w:val="0"/>
          <w:sz w:val="18"/>
        </w:rPr>
        <w:t>9083341</w:t>
      </w:r>
      <w:r>
        <w:rPr>
          <w:b w:val="0"/>
          <w:i w:val="0"/>
          <w:sz w:val="19"/>
        </w:rPr>
        <w:t xml:space="preserve"> "Cardinal Comfort Solutions" contributes 140 profiles, all in Florida, under an HVAC </w:t>
      </w:r>
      <w:r>
        <w:rPr>
          <w:b w:val="0"/>
          <w:i/>
          <w:sz w:val="19"/>
        </w:rPr>
        <w:t>wholesale distribution</w:t>
      </w:r>
      <w:r>
        <w:rPr>
          <w:b w:val="0"/>
          <w:i w:val="0"/>
          <w:sz w:val="19"/>
        </w:rPr>
        <w:t xml:space="preserve"> business at </w:t>
      </w:r>
      <w:r>
        <w:rPr>
          <w:rFonts w:ascii="Consolas" w:hAnsi="Consolas"/>
          <w:b w:val="0"/>
          <w:i w:val="0"/>
          <w:sz w:val="18"/>
        </w:rPr>
        <w:t>cardinalsupplyco.com</w:t>
      </w:r>
      <w:r>
        <w:rPr>
          <w:b w:val="0"/>
          <w:i w:val="0"/>
          <w:sz w:val="19"/>
        </w:rPr>
        <w:t xml:space="preserve"> — different name, state, industry and domain from the Cincinnati contractor. The titles settle it: eight of its nine (Counter Sales Associate, Inside Sales – HVAC Parts, Delivery Driver, Pricing Analyst) appear nowhere in the other two entities, and no residential contractor runs a parts counter. Taking the provider's match at face value inflates the profile base 28%.</w:t>
      </w:r>
    </w:p>
    <w:p>
      <w:pPr>
        <w:keepNext/>
        <w:spacing w:line="264" w:lineRule="auto" w:before="100" w:after="40"/>
      </w:pPr>
      <w:r>
        <w:rPr>
          <w:b/>
          <w:sz w:val="22"/>
        </w:rPr>
        <w:t>1. Company-wide FTE and fully loaded labour cost</w:t>
      </w:r>
    </w:p>
    <w:p>
      <w:pPr>
        <w:keepNext/>
        <w:spacing w:line="264" w:lineRule="auto" w:before="80" w:after="40"/>
      </w:pPr>
      <w:r>
        <w:rPr>
          <w:b/>
          <w:sz w:val="20"/>
        </w:rPr>
        <w:t>From 645 profiles to a defensible base</w:t>
      </w:r>
    </w:p>
    <w:p>
      <w:pPr>
        <w:keepNext w:val="0"/>
        <w:spacing w:line="264" w:lineRule="auto" w:before="0" w:after="80"/>
      </w:pPr>
      <w:r>
        <w:rPr>
          <w:b w:val="0"/>
          <w:i w:val="0"/>
          <w:sz w:val="19"/>
        </w:rPr>
        <w:t xml:space="preserve">Nothing is deleted. Every profile carries an </w:t>
      </w:r>
      <w:r>
        <w:rPr>
          <w:rFonts w:ascii="Consolas" w:hAnsi="Consolas"/>
          <w:b w:val="0"/>
          <w:i w:val="0"/>
          <w:sz w:val="18"/>
        </w:rPr>
        <w:t>excluded_reason</w:t>
      </w:r>
      <w:r>
        <w:rPr>
          <w:b w:val="0"/>
          <w:i w:val="0"/>
          <w:sz w:val="19"/>
        </w:rPr>
        <w:t xml:space="preserve"> in </w:t>
      </w:r>
      <w:r>
        <w:rPr>
          <w:rFonts w:ascii="Consolas" w:hAnsi="Consolas"/>
          <w:b w:val="0"/>
          <w:i w:val="0"/>
          <w:sz w:val="18"/>
        </w:rPr>
        <w:t>output/cardinal_profile_base.csv</w:t>
      </w:r>
      <w:r>
        <w:rPr>
          <w:b w:val="0"/>
          <w:i w:val="0"/>
          <w:sz w:val="19"/>
        </w:rPr>
        <w:t>, so the path from raw extract to working base is auditable.</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3312"/>
        <w:gridCol w:w="3312"/>
        <w:gridCol w:w="3312"/>
      </w:tblGrid>
      <w:tr>
        <w:tc>
          <w:tcPr>
            <w:tcW w:type="dxa" w:w="3312"/>
            <w:shd w:val="clear" w:fill="EEEEEE"/>
          </w:tcPr>
          <w:p>
            <w:pPr>
              <w:keepNext/>
              <w:spacing w:line="264" w:lineRule="auto" w:before="0" w:after="0"/>
              <w:jc w:val="left"/>
            </w:pPr>
            <w:r/>
            <w:r>
              <w:rPr>
                <w:b/>
                <w:i w:val="0"/>
                <w:sz w:val="18"/>
              </w:rPr>
              <w:t>Step</w:t>
            </w:r>
          </w:p>
        </w:tc>
        <w:tc>
          <w:tcPr>
            <w:tcW w:type="dxa" w:w="3312"/>
            <w:shd w:val="clear" w:fill="EEEEEE"/>
          </w:tcPr>
          <w:p>
            <w:pPr>
              <w:keepNext/>
              <w:spacing w:line="264" w:lineRule="auto" w:before="0" w:after="0"/>
              <w:jc w:val="right"/>
            </w:pPr>
            <w:r/>
            <w:r>
              <w:rPr>
                <w:b/>
                <w:i w:val="0"/>
                <w:sz w:val="18"/>
              </w:rPr>
              <w:t>Profiles</w:t>
            </w:r>
          </w:p>
        </w:tc>
        <w:tc>
          <w:tcPr>
            <w:tcW w:type="dxa" w:w="3312"/>
            <w:shd w:val="clear" w:fill="EEEEEE"/>
          </w:tcPr>
          <w:p>
            <w:pPr>
              <w:keepNext/>
              <w:spacing w:line="264" w:lineRule="auto" w:before="0" w:after="0"/>
              <w:jc w:val="left"/>
            </w:pPr>
            <w:r/>
            <w:r>
              <w:rPr>
                <w:b/>
                <w:i w:val="0"/>
                <w:sz w:val="18"/>
              </w:rPr>
              <w:t>Reason</w:t>
            </w:r>
          </w:p>
        </w:tc>
      </w:tr>
      <w:tr>
        <w:tc>
          <w:tcPr>
            <w:tcW w:type="dxa" w:w="3312"/>
          </w:tcPr>
          <w:p>
            <w:pPr>
              <w:keepNext w:val="0"/>
              <w:spacing w:line="264" w:lineRule="auto" w:before="0" w:after="0"/>
              <w:jc w:val="left"/>
            </w:pPr>
            <w:r/>
            <w:r>
              <w:rPr>
                <w:b w:val="0"/>
                <w:i w:val="0"/>
                <w:sz w:val="18"/>
              </w:rPr>
              <w:t>Raw extract</w:t>
            </w:r>
          </w:p>
        </w:tc>
        <w:tc>
          <w:tcPr>
            <w:tcW w:type="dxa" w:w="3312"/>
          </w:tcPr>
          <w:p>
            <w:pPr>
              <w:keepNext w:val="0"/>
              <w:spacing w:line="264" w:lineRule="auto" w:before="0" w:after="0"/>
              <w:jc w:val="right"/>
            </w:pPr>
            <w:r/>
            <w:r>
              <w:rPr>
                <w:b w:val="0"/>
                <w:i w:val="0"/>
                <w:sz w:val="18"/>
              </w:rPr>
              <w:t>645</w:t>
            </w:r>
          </w:p>
        </w:tc>
        <w:tc>
          <w:tcPr>
            <w:tcW w:type="dxa" w:w="3312"/>
          </w:tcPr>
          <w:p>
            <w:pPr>
              <w:keepNext w:val="0"/>
              <w:spacing w:line="264" w:lineRule="auto" w:before="0" w:after="0"/>
              <w:jc w:val="left"/>
            </w:pPr>
            <w:r/>
            <w:r>
              <w:rPr>
                <w:b w:val="0"/>
                <w:i w:val="0"/>
                <w:sz w:val="18"/>
              </w:rPr>
              <w:t>Three provider entities</w:t>
            </w:r>
          </w:p>
        </w:tc>
      </w:tr>
      <w:tr>
        <w:tc>
          <w:tcPr>
            <w:tcW w:type="dxa" w:w="3312"/>
          </w:tcPr>
          <w:p>
            <w:pPr>
              <w:keepNext w:val="0"/>
              <w:spacing w:line="264" w:lineRule="auto" w:before="0" w:after="0"/>
              <w:jc w:val="left"/>
            </w:pPr>
            <w:r/>
            <w:r>
              <w:rPr>
                <w:b w:val="0"/>
                <w:i w:val="0"/>
                <w:sz w:val="18"/>
              </w:rPr>
              <w:t>Less false-match entity</w:t>
            </w:r>
          </w:p>
        </w:tc>
        <w:tc>
          <w:tcPr>
            <w:tcW w:type="dxa" w:w="3312"/>
          </w:tcPr>
          <w:p>
            <w:pPr>
              <w:keepNext w:val="0"/>
              <w:spacing w:line="264" w:lineRule="auto" w:before="0" w:after="0"/>
              <w:jc w:val="right"/>
            </w:pPr>
            <w:r/>
            <w:r>
              <w:rPr>
                <w:b w:val="0"/>
                <w:i w:val="0"/>
                <w:sz w:val="18"/>
              </w:rPr>
              <w:t>−140</w:t>
            </w:r>
          </w:p>
        </w:tc>
        <w:tc>
          <w:tcPr>
            <w:tcW w:type="dxa" w:w="3312"/>
          </w:tcPr>
          <w:p>
            <w:pPr>
              <w:keepNext w:val="0"/>
              <w:spacing w:line="264" w:lineRule="auto" w:before="0" w:after="0"/>
              <w:jc w:val="left"/>
            </w:pPr>
            <w:r/>
            <w:r>
              <w:rPr>
                <w:b w:val="0"/>
                <w:i w:val="0"/>
                <w:sz w:val="18"/>
              </w:rPr>
              <w:t>Florida wholesale distributor, see above</w:t>
            </w:r>
          </w:p>
        </w:tc>
      </w:tr>
      <w:tr>
        <w:tc>
          <w:tcPr>
            <w:tcW w:type="dxa" w:w="3312"/>
          </w:tcPr>
          <w:p>
            <w:pPr>
              <w:keepNext w:val="0"/>
              <w:spacing w:line="264" w:lineRule="auto" w:before="0" w:after="0"/>
              <w:jc w:val="left"/>
            </w:pPr>
            <w:r/>
            <w:r>
              <w:rPr>
                <w:b w:val="0"/>
                <w:i w:val="0"/>
                <w:sz w:val="18"/>
              </w:rPr>
              <w:t>Less stale profiles</w:t>
            </w:r>
          </w:p>
        </w:tc>
        <w:tc>
          <w:tcPr>
            <w:tcW w:type="dxa" w:w="3312"/>
          </w:tcPr>
          <w:p>
            <w:pPr>
              <w:keepNext w:val="0"/>
              <w:spacing w:line="264" w:lineRule="auto" w:before="0" w:after="0"/>
              <w:jc w:val="right"/>
            </w:pPr>
            <w:r/>
            <w:r>
              <w:rPr>
                <w:b w:val="0"/>
                <w:i w:val="0"/>
                <w:sz w:val="18"/>
              </w:rPr>
              <w:t>−125</w:t>
            </w:r>
          </w:p>
        </w:tc>
        <w:tc>
          <w:tcPr>
            <w:tcW w:type="dxa" w:w="3312"/>
          </w:tcPr>
          <w:p>
            <w:pPr>
              <w:keepNext w:val="0"/>
              <w:spacing w:line="264" w:lineRule="auto" w:before="0" w:after="0"/>
              <w:jc w:val="left"/>
            </w:pPr>
            <w:r/>
            <w:r>
              <w:rPr>
                <w:b w:val="0"/>
                <w:i w:val="0"/>
                <w:sz w:val="18"/>
              </w:rPr>
              <w:t>Not updated since 2024-09-01</w:t>
            </w:r>
          </w:p>
        </w:tc>
      </w:tr>
      <w:tr>
        <w:tc>
          <w:tcPr>
            <w:tcW w:type="dxa" w:w="3312"/>
          </w:tcPr>
          <w:p>
            <w:pPr>
              <w:keepNext w:val="0"/>
              <w:spacing w:line="264" w:lineRule="auto" w:before="0" w:after="0"/>
              <w:jc w:val="left"/>
            </w:pPr>
            <w:r/>
            <w:r>
              <w:rPr>
                <w:b/>
                <w:i w:val="0"/>
                <w:sz w:val="18"/>
              </w:rPr>
              <w:t>Live base for headcount</w:t>
            </w:r>
          </w:p>
        </w:tc>
        <w:tc>
          <w:tcPr>
            <w:tcW w:type="dxa" w:w="3312"/>
          </w:tcPr>
          <w:p>
            <w:pPr>
              <w:keepNext w:val="0"/>
              <w:spacing w:line="264" w:lineRule="auto" w:before="0" w:after="0"/>
              <w:jc w:val="right"/>
            </w:pPr>
            <w:r/>
            <w:r>
              <w:rPr>
                <w:b/>
                <w:i w:val="0"/>
                <w:sz w:val="18"/>
              </w:rPr>
              <w:t>380</w:t>
            </w:r>
          </w:p>
        </w:tc>
        <w:tc>
          <w:tcPr>
            <w:tcW w:type="dxa" w:w="3312"/>
          </w:tcPr>
          <w:p>
            <w:pPr>
              <w:keepNext w:val="0"/>
              <w:spacing w:line="264" w:lineRule="auto" w:before="0" w:after="0"/>
              <w:jc w:val="left"/>
            </w:pPr>
            <w:r/>
          </w:p>
        </w:tc>
      </w:tr>
      <w:tr>
        <w:tc>
          <w:tcPr>
            <w:tcW w:type="dxa" w:w="3312"/>
          </w:tcPr>
          <w:p>
            <w:pPr>
              <w:keepNext w:val="0"/>
              <w:spacing w:line="264" w:lineRule="auto" w:before="0" w:after="0"/>
              <w:jc w:val="left"/>
            </w:pPr>
            <w:r/>
            <w:r>
              <w:rPr>
                <w:b w:val="0"/>
                <w:i w:val="0"/>
                <w:sz w:val="18"/>
              </w:rPr>
              <w:t>Less unresolvable titles</w:t>
            </w:r>
          </w:p>
        </w:tc>
        <w:tc>
          <w:tcPr>
            <w:tcW w:type="dxa" w:w="3312"/>
          </w:tcPr>
          <w:p>
            <w:pPr>
              <w:keepNext w:val="0"/>
              <w:spacing w:line="264" w:lineRule="auto" w:before="0" w:after="0"/>
              <w:jc w:val="right"/>
            </w:pPr>
            <w:r/>
            <w:r>
              <w:rPr>
                <w:b w:val="0"/>
                <w:i w:val="0"/>
                <w:sz w:val="18"/>
              </w:rPr>
              <w:t>−22</w:t>
            </w:r>
          </w:p>
        </w:tc>
        <w:tc>
          <w:tcPr>
            <w:tcW w:type="dxa" w:w="3312"/>
          </w:tcPr>
          <w:p>
            <w:pPr>
              <w:keepNext w:val="0"/>
              <w:spacing w:line="264" w:lineRule="auto" w:before="0" w:after="0"/>
              <w:jc w:val="left"/>
            </w:pPr>
            <w:r/>
            <w:r>
              <w:rPr>
                <w:b w:val="0"/>
                <w:i w:val="0"/>
                <w:sz w:val="18"/>
              </w:rPr>
              <w:t>"Team Member", "Associate", "Consultant", "Intern"</w:t>
            </w:r>
          </w:p>
        </w:tc>
      </w:tr>
      <w:tr>
        <w:tc>
          <w:tcPr>
            <w:tcW w:type="dxa" w:w="3312"/>
          </w:tcPr>
          <w:p>
            <w:pPr>
              <w:keepNext w:val="0"/>
              <w:spacing w:line="264" w:lineRule="auto" w:before="0" w:after="0"/>
              <w:jc w:val="left"/>
            </w:pPr>
            <w:r/>
            <w:r>
              <w:rPr>
                <w:b/>
                <w:i w:val="0"/>
                <w:sz w:val="18"/>
              </w:rPr>
              <w:t>Live base for role structure</w:t>
            </w:r>
          </w:p>
        </w:tc>
        <w:tc>
          <w:tcPr>
            <w:tcW w:type="dxa" w:w="3312"/>
          </w:tcPr>
          <w:p>
            <w:pPr>
              <w:keepNext w:val="0"/>
              <w:spacing w:line="264" w:lineRule="auto" w:before="0" w:after="0"/>
              <w:jc w:val="right"/>
            </w:pPr>
            <w:r/>
            <w:r>
              <w:rPr>
                <w:b/>
                <w:i w:val="0"/>
                <w:sz w:val="18"/>
              </w:rPr>
              <w:t>358</w:t>
            </w:r>
          </w:p>
        </w:tc>
        <w:tc>
          <w:tcPr>
            <w:tcW w:type="dxa" w:w="3312"/>
          </w:tcPr>
          <w:p>
            <w:pPr>
              <w:keepNext w:val="0"/>
              <w:spacing w:line="264" w:lineRule="auto" w:before="0" w:after="0"/>
              <w:jc w:val="left"/>
            </w:pPr>
            <w:r/>
          </w:p>
        </w:tc>
      </w:tr>
    </w:tbl>
    <w:p>
      <w:pPr>
        <w:keepNext w:val="0"/>
        <w:spacing w:line="264" w:lineRule="auto" w:before="0" w:after="80"/>
      </w:pPr>
    </w:p>
    <w:p>
      <w:pPr>
        <w:keepNext w:val="0"/>
        <w:spacing w:line="264" w:lineRule="auto" w:before="0" w:after="80"/>
      </w:pPr>
      <w:r>
        <w:rPr>
          <w:b w:val="0"/>
          <w:i w:val="0"/>
          <w:sz w:val="19"/>
        </w:rPr>
        <w:t xml:space="preserve">"Current" profiles are not current: </w:t>
      </w:r>
      <w:r>
        <w:rPr>
          <w:rFonts w:ascii="Consolas" w:hAnsi="Consolas"/>
          <w:b w:val="0"/>
          <w:i w:val="0"/>
          <w:sz w:val="18"/>
        </w:rPr>
        <w:t>profile_last_updated</w:t>
      </w:r>
      <w:r>
        <w:rPr>
          <w:b w:val="0"/>
          <w:i w:val="0"/>
          <w:sz w:val="19"/>
        </w:rPr>
        <w:t xml:space="preserve"> runs from 2018 to 2026, with 125 last touched in 2022 or earlier and none at all in 2023. The 24-month cutoff is a judgement and the config entry most worth flexing. Two live bases are deliberate — a profile the provider could not resolve to a title is still a real person for a headcount signal, but cannot contribute to a role-mix read.</w:t>
      </w:r>
    </w:p>
    <w:p>
      <w:pPr>
        <w:keepNext/>
        <w:spacing w:line="264" w:lineRule="auto" w:before="80" w:after="40"/>
      </w:pPr>
      <w:r>
        <w:rPr>
          <w:b/>
          <w:sz w:val="20"/>
        </w:rPr>
        <w:t>Coverage is role-dependent, and that is the central methodological point</w:t>
      </w:r>
    </w:p>
    <w:p>
      <w:pPr>
        <w:keepNext w:val="0"/>
        <w:spacing w:line="264" w:lineRule="auto" w:before="0" w:after="80"/>
      </w:pPr>
      <w:r>
        <w:rPr>
          <w:b w:val="0"/>
          <w:i w:val="0"/>
          <w:sz w:val="19"/>
        </w:rPr>
        <w:t xml:space="preserve">Anchoring on the press-release headcount of 400 — an external number, so this stays an independent read — gives the extract's implied coverage. The largest families, with the full table in </w:t>
      </w:r>
      <w:r>
        <w:rPr>
          <w:rFonts w:ascii="Consolas" w:hAnsi="Consolas"/>
          <w:b w:val="0"/>
          <w:i w:val="0"/>
          <w:sz w:val="18"/>
        </w:rPr>
        <w:t>output/cardinal_coverage_by_role.csv</w:t>
      </w:r>
      <w:r>
        <w:rPr>
          <w:b w:val="0"/>
          <w:i w:val="0"/>
          <w:sz w:val="19"/>
        </w:rPr>
        <w:t>:</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2484"/>
        <w:gridCol w:w="2484"/>
        <w:gridCol w:w="2484"/>
        <w:gridCol w:w="2484"/>
      </w:tblGrid>
      <w:tr>
        <w:tc>
          <w:tcPr>
            <w:tcW w:type="dxa" w:w="2484"/>
            <w:shd w:val="clear" w:fill="EEEEEE"/>
          </w:tcPr>
          <w:p>
            <w:pPr>
              <w:keepNext/>
              <w:spacing w:line="264" w:lineRule="auto" w:before="0" w:after="0"/>
              <w:jc w:val="left"/>
            </w:pPr>
            <w:r/>
            <w:r>
              <w:rPr>
                <w:b/>
                <w:i w:val="0"/>
                <w:sz w:val="18"/>
              </w:rPr>
              <w:t>Role family</w:t>
            </w:r>
          </w:p>
        </w:tc>
        <w:tc>
          <w:tcPr>
            <w:tcW w:type="dxa" w:w="2484"/>
            <w:shd w:val="clear" w:fill="EEEEEE"/>
          </w:tcPr>
          <w:p>
            <w:pPr>
              <w:keepNext/>
              <w:spacing w:line="264" w:lineRule="auto" w:before="0" w:after="0"/>
              <w:jc w:val="right"/>
            </w:pPr>
            <w:r/>
            <w:r>
              <w:rPr>
                <w:b/>
                <w:i w:val="0"/>
                <w:sz w:val="18"/>
              </w:rPr>
              <w:t>Live profiles</w:t>
            </w:r>
          </w:p>
        </w:tc>
        <w:tc>
          <w:tcPr>
            <w:tcW w:type="dxa" w:w="2484"/>
            <w:shd w:val="clear" w:fill="EEEEEE"/>
          </w:tcPr>
          <w:p>
            <w:pPr>
              <w:keepNext/>
              <w:spacing w:line="264" w:lineRule="auto" w:before="0" w:after="0"/>
              <w:jc w:val="right"/>
            </w:pPr>
            <w:r/>
            <w:r>
              <w:rPr>
                <w:b/>
                <w:i w:val="0"/>
                <w:sz w:val="18"/>
              </w:rPr>
              <w:t>Expected positions</w:t>
            </w:r>
          </w:p>
        </w:tc>
        <w:tc>
          <w:tcPr>
            <w:tcW w:type="dxa" w:w="2484"/>
            <w:shd w:val="clear" w:fill="EEEEEE"/>
          </w:tcPr>
          <w:p>
            <w:pPr>
              <w:keepNext/>
              <w:spacing w:line="264" w:lineRule="auto" w:before="0" w:after="0"/>
              <w:jc w:val="right"/>
            </w:pPr>
            <w:r/>
            <w:r>
              <w:rPr>
                <w:b/>
                <w:i w:val="0"/>
                <w:sz w:val="18"/>
              </w:rPr>
              <w:t>Implied coverage</w:t>
            </w:r>
          </w:p>
        </w:tc>
      </w:tr>
      <w:tr>
        <w:tc>
          <w:tcPr>
            <w:tcW w:type="dxa" w:w="2484"/>
          </w:tcPr>
          <w:p>
            <w:pPr>
              <w:keepNext w:val="0"/>
              <w:spacing w:line="264" w:lineRule="auto" w:before="0" w:after="0"/>
              <w:jc w:val="left"/>
            </w:pPr>
            <w:r/>
            <w:r>
              <w:rPr>
                <w:b w:val="0"/>
                <w:i w:val="0"/>
                <w:sz w:val="18"/>
              </w:rPr>
              <w:t>Sales</w:t>
            </w:r>
          </w:p>
        </w:tc>
        <w:tc>
          <w:tcPr>
            <w:tcW w:type="dxa" w:w="2484"/>
          </w:tcPr>
          <w:p>
            <w:pPr>
              <w:keepNext w:val="0"/>
              <w:spacing w:line="264" w:lineRule="auto" w:before="0" w:after="0"/>
              <w:jc w:val="right"/>
            </w:pPr>
            <w:r/>
            <w:r>
              <w:rPr>
                <w:b w:val="0"/>
                <w:i w:val="0"/>
                <w:sz w:val="18"/>
              </w:rPr>
              <w:t>77</w:t>
            </w:r>
          </w:p>
        </w:tc>
        <w:tc>
          <w:tcPr>
            <w:tcW w:type="dxa" w:w="2484"/>
          </w:tcPr>
          <w:p>
            <w:pPr>
              <w:keepNext w:val="0"/>
              <w:spacing w:line="264" w:lineRule="auto" w:before="0" w:after="0"/>
              <w:jc w:val="right"/>
            </w:pPr>
            <w:r/>
            <w:r>
              <w:rPr>
                <w:b w:val="0"/>
                <w:i w:val="0"/>
                <w:sz w:val="18"/>
              </w:rPr>
              <w:t>21.8</w:t>
            </w:r>
          </w:p>
        </w:tc>
        <w:tc>
          <w:tcPr>
            <w:tcW w:type="dxa" w:w="2484"/>
          </w:tcPr>
          <w:p>
            <w:pPr>
              <w:keepNext w:val="0"/>
              <w:spacing w:line="264" w:lineRule="auto" w:before="0" w:after="0"/>
              <w:jc w:val="right"/>
            </w:pPr>
            <w:r/>
            <w:r>
              <w:rPr>
                <w:b w:val="0"/>
                <w:i w:val="0"/>
                <w:sz w:val="18"/>
              </w:rPr>
              <w:t>3.53x</w:t>
            </w:r>
          </w:p>
        </w:tc>
      </w:tr>
      <w:tr>
        <w:tc>
          <w:tcPr>
            <w:tcW w:type="dxa" w:w="2484"/>
          </w:tcPr>
          <w:p>
            <w:pPr>
              <w:keepNext w:val="0"/>
              <w:spacing w:line="264" w:lineRule="auto" w:before="0" w:after="0"/>
              <w:jc w:val="left"/>
            </w:pPr>
            <w:r/>
            <w:r>
              <w:rPr>
                <w:b w:val="0"/>
                <w:i w:val="0"/>
                <w:sz w:val="18"/>
              </w:rPr>
              <w:t>Field – Service</w:t>
            </w:r>
          </w:p>
        </w:tc>
        <w:tc>
          <w:tcPr>
            <w:tcW w:type="dxa" w:w="2484"/>
          </w:tcPr>
          <w:p>
            <w:pPr>
              <w:keepNext w:val="0"/>
              <w:spacing w:line="264" w:lineRule="auto" w:before="0" w:after="0"/>
              <w:jc w:val="right"/>
            </w:pPr>
            <w:r/>
            <w:r>
              <w:rPr>
                <w:b w:val="0"/>
                <w:i w:val="0"/>
                <w:sz w:val="18"/>
              </w:rPr>
              <w:t>60</w:t>
            </w:r>
          </w:p>
        </w:tc>
        <w:tc>
          <w:tcPr>
            <w:tcW w:type="dxa" w:w="2484"/>
          </w:tcPr>
          <w:p>
            <w:pPr>
              <w:keepNext w:val="0"/>
              <w:spacing w:line="264" w:lineRule="auto" w:before="0" w:after="0"/>
              <w:jc w:val="right"/>
            </w:pPr>
            <w:r/>
            <w:r>
              <w:rPr>
                <w:b w:val="0"/>
                <w:i w:val="0"/>
                <w:sz w:val="18"/>
              </w:rPr>
              <w:t>133.9</w:t>
            </w:r>
          </w:p>
        </w:tc>
        <w:tc>
          <w:tcPr>
            <w:tcW w:type="dxa" w:w="2484"/>
          </w:tcPr>
          <w:p>
            <w:pPr>
              <w:keepNext w:val="0"/>
              <w:spacing w:line="264" w:lineRule="auto" w:before="0" w:after="0"/>
              <w:jc w:val="right"/>
            </w:pPr>
            <w:r/>
            <w:r>
              <w:rPr>
                <w:b w:val="0"/>
                <w:i w:val="0"/>
                <w:sz w:val="18"/>
              </w:rPr>
              <w:t>0.45x</w:t>
            </w:r>
          </w:p>
        </w:tc>
      </w:tr>
      <w:tr>
        <w:tc>
          <w:tcPr>
            <w:tcW w:type="dxa" w:w="2484"/>
          </w:tcPr>
          <w:p>
            <w:pPr>
              <w:keepNext w:val="0"/>
              <w:spacing w:line="264" w:lineRule="auto" w:before="0" w:after="0"/>
              <w:jc w:val="left"/>
            </w:pPr>
            <w:r/>
            <w:r>
              <w:rPr>
                <w:b w:val="0"/>
                <w:i w:val="0"/>
                <w:sz w:val="18"/>
              </w:rPr>
              <w:t>Customer Care &amp; Dispatch</w:t>
            </w:r>
          </w:p>
        </w:tc>
        <w:tc>
          <w:tcPr>
            <w:tcW w:type="dxa" w:w="2484"/>
          </w:tcPr>
          <w:p>
            <w:pPr>
              <w:keepNext w:val="0"/>
              <w:spacing w:line="264" w:lineRule="auto" w:before="0" w:after="0"/>
              <w:jc w:val="right"/>
            </w:pPr>
            <w:r/>
            <w:r>
              <w:rPr>
                <w:b w:val="0"/>
                <w:i w:val="0"/>
                <w:sz w:val="18"/>
              </w:rPr>
              <w:t>54</w:t>
            </w:r>
          </w:p>
        </w:tc>
        <w:tc>
          <w:tcPr>
            <w:tcW w:type="dxa" w:w="2484"/>
          </w:tcPr>
          <w:p>
            <w:pPr>
              <w:keepNext w:val="0"/>
              <w:spacing w:line="264" w:lineRule="auto" w:before="0" w:after="0"/>
              <w:jc w:val="right"/>
            </w:pPr>
            <w:r/>
            <w:r>
              <w:rPr>
                <w:b w:val="0"/>
                <w:i w:val="0"/>
                <w:sz w:val="18"/>
              </w:rPr>
              <w:t>52.2</w:t>
            </w:r>
          </w:p>
        </w:tc>
        <w:tc>
          <w:tcPr>
            <w:tcW w:type="dxa" w:w="2484"/>
          </w:tcPr>
          <w:p>
            <w:pPr>
              <w:keepNext w:val="0"/>
              <w:spacing w:line="264" w:lineRule="auto" w:before="0" w:after="0"/>
              <w:jc w:val="right"/>
            </w:pPr>
            <w:r/>
            <w:r>
              <w:rPr>
                <w:b w:val="0"/>
                <w:i w:val="0"/>
                <w:sz w:val="18"/>
              </w:rPr>
              <w:t>1.03x</w:t>
            </w:r>
          </w:p>
        </w:tc>
      </w:tr>
      <w:tr>
        <w:tc>
          <w:tcPr>
            <w:tcW w:type="dxa" w:w="2484"/>
          </w:tcPr>
          <w:p>
            <w:pPr>
              <w:keepNext w:val="0"/>
              <w:spacing w:line="264" w:lineRule="auto" w:before="0" w:after="0"/>
              <w:jc w:val="left"/>
            </w:pPr>
            <w:r/>
            <w:r>
              <w:rPr>
                <w:b w:val="0"/>
                <w:i w:val="0"/>
                <w:sz w:val="18"/>
              </w:rPr>
              <w:t>Executive &amp; Corporate</w:t>
            </w:r>
          </w:p>
        </w:tc>
        <w:tc>
          <w:tcPr>
            <w:tcW w:type="dxa" w:w="2484"/>
          </w:tcPr>
          <w:p>
            <w:pPr>
              <w:keepNext w:val="0"/>
              <w:spacing w:line="264" w:lineRule="auto" w:before="0" w:after="0"/>
              <w:jc w:val="right"/>
            </w:pPr>
            <w:r/>
            <w:r>
              <w:rPr>
                <w:b w:val="0"/>
                <w:i w:val="0"/>
                <w:sz w:val="18"/>
              </w:rPr>
              <w:t>41</w:t>
            </w:r>
          </w:p>
        </w:tc>
        <w:tc>
          <w:tcPr>
            <w:tcW w:type="dxa" w:w="2484"/>
          </w:tcPr>
          <w:p>
            <w:pPr>
              <w:keepNext w:val="0"/>
              <w:spacing w:line="264" w:lineRule="auto" w:before="0" w:after="0"/>
              <w:jc w:val="right"/>
            </w:pPr>
            <w:r/>
            <w:r>
              <w:rPr>
                <w:b w:val="0"/>
                <w:i w:val="0"/>
                <w:sz w:val="18"/>
              </w:rPr>
              <w:t>6.9</w:t>
            </w:r>
          </w:p>
        </w:tc>
        <w:tc>
          <w:tcPr>
            <w:tcW w:type="dxa" w:w="2484"/>
          </w:tcPr>
          <w:p>
            <w:pPr>
              <w:keepNext w:val="0"/>
              <w:spacing w:line="264" w:lineRule="auto" w:before="0" w:after="0"/>
              <w:jc w:val="right"/>
            </w:pPr>
            <w:r/>
            <w:r>
              <w:rPr>
                <w:b w:val="0"/>
                <w:i w:val="0"/>
                <w:sz w:val="18"/>
              </w:rPr>
              <w:t>5.94x</w:t>
            </w:r>
          </w:p>
        </w:tc>
      </w:tr>
      <w:tr>
        <w:tc>
          <w:tcPr>
            <w:tcW w:type="dxa" w:w="2484"/>
          </w:tcPr>
          <w:p>
            <w:pPr>
              <w:keepNext w:val="0"/>
              <w:spacing w:line="264" w:lineRule="auto" w:before="0" w:after="0"/>
              <w:jc w:val="left"/>
            </w:pPr>
            <w:r/>
            <w:r>
              <w:rPr>
                <w:b w:val="0"/>
                <w:i w:val="0"/>
                <w:sz w:val="18"/>
              </w:rPr>
              <w:t>Field – Install</w:t>
            </w:r>
          </w:p>
        </w:tc>
        <w:tc>
          <w:tcPr>
            <w:tcW w:type="dxa" w:w="2484"/>
          </w:tcPr>
          <w:p>
            <w:pPr>
              <w:keepNext w:val="0"/>
              <w:spacing w:line="264" w:lineRule="auto" w:before="0" w:after="0"/>
              <w:jc w:val="right"/>
            </w:pPr>
            <w:r/>
            <w:r>
              <w:rPr>
                <w:b w:val="0"/>
                <w:i w:val="0"/>
                <w:sz w:val="18"/>
              </w:rPr>
              <w:t>28</w:t>
            </w:r>
          </w:p>
        </w:tc>
        <w:tc>
          <w:tcPr>
            <w:tcW w:type="dxa" w:w="2484"/>
          </w:tcPr>
          <w:p>
            <w:pPr>
              <w:keepNext w:val="0"/>
              <w:spacing w:line="264" w:lineRule="auto" w:before="0" w:after="0"/>
              <w:jc w:val="right"/>
            </w:pPr>
            <w:r/>
            <w:r>
              <w:rPr>
                <w:b w:val="0"/>
                <w:i w:val="0"/>
                <w:sz w:val="18"/>
              </w:rPr>
              <w:t>100.6</w:t>
            </w:r>
          </w:p>
        </w:tc>
        <w:tc>
          <w:tcPr>
            <w:tcW w:type="dxa" w:w="2484"/>
          </w:tcPr>
          <w:p>
            <w:pPr>
              <w:keepNext w:val="0"/>
              <w:spacing w:line="264" w:lineRule="auto" w:before="0" w:after="0"/>
              <w:jc w:val="right"/>
            </w:pPr>
            <w:r/>
            <w:r>
              <w:rPr>
                <w:b w:val="0"/>
                <w:i w:val="0"/>
                <w:sz w:val="18"/>
              </w:rPr>
              <w:t>0.28x</w:t>
            </w:r>
          </w:p>
        </w:tc>
      </w:tr>
      <w:tr>
        <w:tc>
          <w:tcPr>
            <w:tcW w:type="dxa" w:w="2484"/>
          </w:tcPr>
          <w:p>
            <w:pPr>
              <w:keepNext w:val="0"/>
              <w:spacing w:line="264" w:lineRule="auto" w:before="0" w:after="0"/>
              <w:jc w:val="left"/>
            </w:pPr>
            <w:r/>
            <w:r>
              <w:rPr>
                <w:b w:val="0"/>
                <w:i w:val="0"/>
                <w:sz w:val="18"/>
              </w:rPr>
              <w:t>Field Leadership</w:t>
            </w:r>
          </w:p>
        </w:tc>
        <w:tc>
          <w:tcPr>
            <w:tcW w:type="dxa" w:w="2484"/>
          </w:tcPr>
          <w:p>
            <w:pPr>
              <w:keepNext w:val="0"/>
              <w:spacing w:line="264" w:lineRule="auto" w:before="0" w:after="0"/>
              <w:jc w:val="right"/>
            </w:pPr>
            <w:r/>
            <w:r>
              <w:rPr>
                <w:b w:val="0"/>
                <w:i w:val="0"/>
                <w:sz w:val="18"/>
              </w:rPr>
              <w:t>18</w:t>
            </w:r>
          </w:p>
        </w:tc>
        <w:tc>
          <w:tcPr>
            <w:tcW w:type="dxa" w:w="2484"/>
          </w:tcPr>
          <w:p>
            <w:pPr>
              <w:keepNext w:val="0"/>
              <w:spacing w:line="264" w:lineRule="auto" w:before="0" w:after="0"/>
              <w:jc w:val="right"/>
            </w:pPr>
            <w:r/>
            <w:r>
              <w:rPr>
                <w:b w:val="0"/>
                <w:i w:val="0"/>
                <w:sz w:val="18"/>
              </w:rPr>
              <w:t>20.9</w:t>
            </w:r>
          </w:p>
        </w:tc>
        <w:tc>
          <w:tcPr>
            <w:tcW w:type="dxa" w:w="2484"/>
          </w:tcPr>
          <w:p>
            <w:pPr>
              <w:keepNext w:val="0"/>
              <w:spacing w:line="264" w:lineRule="auto" w:before="0" w:after="0"/>
              <w:jc w:val="right"/>
            </w:pPr>
            <w:r/>
            <w:r>
              <w:rPr>
                <w:b w:val="0"/>
                <w:i w:val="0"/>
                <w:sz w:val="18"/>
              </w:rPr>
              <w:t>0.86x</w:t>
            </w:r>
          </w:p>
        </w:tc>
      </w:tr>
      <w:tr>
        <w:tc>
          <w:tcPr>
            <w:tcW w:type="dxa" w:w="2484"/>
          </w:tcPr>
          <w:p>
            <w:pPr>
              <w:keepNext w:val="0"/>
              <w:spacing w:line="264" w:lineRule="auto" w:before="0" w:after="0"/>
              <w:jc w:val="left"/>
            </w:pPr>
            <w:r/>
            <w:r>
              <w:rPr>
                <w:b w:val="0"/>
                <w:i w:val="0"/>
                <w:sz w:val="18"/>
              </w:rPr>
              <w:t>Warehouse &amp; Fleet</w:t>
            </w:r>
          </w:p>
        </w:tc>
        <w:tc>
          <w:tcPr>
            <w:tcW w:type="dxa" w:w="2484"/>
          </w:tcPr>
          <w:p>
            <w:pPr>
              <w:keepNext w:val="0"/>
              <w:spacing w:line="264" w:lineRule="auto" w:before="0" w:after="0"/>
              <w:jc w:val="right"/>
            </w:pPr>
            <w:r/>
            <w:r>
              <w:rPr>
                <w:b w:val="0"/>
                <w:i w:val="0"/>
                <w:sz w:val="18"/>
              </w:rPr>
              <w:t>15</w:t>
            </w:r>
          </w:p>
        </w:tc>
        <w:tc>
          <w:tcPr>
            <w:tcW w:type="dxa" w:w="2484"/>
          </w:tcPr>
          <w:p>
            <w:pPr>
              <w:keepNext w:val="0"/>
              <w:spacing w:line="264" w:lineRule="auto" w:before="0" w:after="0"/>
              <w:jc w:val="right"/>
            </w:pPr>
            <w:r/>
            <w:r>
              <w:rPr>
                <w:b w:val="0"/>
                <w:i w:val="0"/>
                <w:sz w:val="18"/>
              </w:rPr>
              <w:t>27.5</w:t>
            </w:r>
          </w:p>
        </w:tc>
        <w:tc>
          <w:tcPr>
            <w:tcW w:type="dxa" w:w="2484"/>
          </w:tcPr>
          <w:p>
            <w:pPr>
              <w:keepNext w:val="0"/>
              <w:spacing w:line="264" w:lineRule="auto" w:before="0" w:after="0"/>
              <w:jc w:val="right"/>
            </w:pPr>
            <w:r/>
            <w:r>
              <w:rPr>
                <w:b w:val="0"/>
                <w:i w:val="0"/>
                <w:sz w:val="18"/>
              </w:rPr>
              <w:t>0.55x</w:t>
            </w:r>
          </w:p>
        </w:tc>
      </w:tr>
    </w:tbl>
    <w:p>
      <w:pPr>
        <w:keepNext w:val="0"/>
        <w:spacing w:line="264" w:lineRule="auto" w:before="0" w:after="80"/>
      </w:pPr>
    </w:p>
    <w:p>
      <w:pPr>
        <w:keepNext w:val="0"/>
        <w:spacing w:line="264" w:lineRule="auto" w:before="0" w:after="80"/>
      </w:pPr>
      <w:r>
        <w:rPr>
          <w:b w:val="0"/>
          <w:i w:val="0"/>
          <w:sz w:val="19"/>
        </w:rPr>
        <w:t xml:space="preserve">Field installers appear at roughly a quarter of their true numbers; sales at three and a half times. This is not noise, it is who maintains a professional profile. </w:t>
      </w:r>
      <w:r>
        <w:rPr>
          <w:b/>
          <w:i w:val="0"/>
          <w:sz w:val="19"/>
        </w:rPr>
        <w:t>The naive read — 380 profiles as a headcount and their mix as a structure — is wrong in both directions at once, and because the errors partly cancel on the total, it looks defensible.</w:t>
      </w:r>
      <w:r>
        <w:rPr>
          <w:b w:val="0"/>
          <w:i w:val="0"/>
          <w:sz w:val="19"/>
        </w:rPr>
        <w:t xml:space="preserve"> That is what makes it dangerous. Everything below uses the extract only where it is demonstrably strong (branch footprint, the supervisory layer, trade vocabulary) and takes role structure from a comparable company instead.</w:t>
      </w:r>
    </w:p>
    <w:p>
      <w:pPr>
        <w:keepNext/>
        <w:spacing w:line="264" w:lineRule="auto" w:before="80" w:after="40"/>
      </w:pPr>
      <w:r>
        <w:rPr>
          <w:b/>
          <w:sz w:val="20"/>
        </w:rPr>
        <w:t>Triangulation</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2484"/>
        <w:gridCol w:w="2484"/>
        <w:gridCol w:w="2484"/>
        <w:gridCol w:w="2484"/>
      </w:tblGrid>
      <w:tr>
        <w:tc>
          <w:tcPr>
            <w:tcW w:type="dxa" w:w="2484"/>
            <w:shd w:val="clear" w:fill="EEEEEE"/>
          </w:tcPr>
          <w:p>
            <w:pPr>
              <w:keepNext/>
              <w:spacing w:line="264" w:lineRule="auto" w:before="0" w:after="0"/>
              <w:jc w:val="left"/>
            </w:pPr>
            <w:r/>
            <w:r>
              <w:rPr>
                <w:b/>
                <w:i w:val="0"/>
                <w:sz w:val="18"/>
              </w:rPr>
              <w:t>Signal</w:t>
            </w:r>
          </w:p>
        </w:tc>
        <w:tc>
          <w:tcPr>
            <w:tcW w:type="dxa" w:w="2484"/>
            <w:shd w:val="clear" w:fill="EEEEEE"/>
          </w:tcPr>
          <w:p>
            <w:pPr>
              <w:keepNext/>
              <w:spacing w:line="264" w:lineRule="auto" w:before="0" w:after="0"/>
              <w:jc w:val="left"/>
            </w:pPr>
            <w:r/>
            <w:r>
              <w:rPr>
                <w:b/>
                <w:i w:val="0"/>
                <w:sz w:val="18"/>
              </w:rPr>
              <w:t>Observed</w:t>
            </w:r>
          </w:p>
        </w:tc>
        <w:tc>
          <w:tcPr>
            <w:tcW w:type="dxa" w:w="2484"/>
            <w:shd w:val="clear" w:fill="EEEEEE"/>
          </w:tcPr>
          <w:p>
            <w:pPr>
              <w:keepNext/>
              <w:spacing w:line="264" w:lineRule="auto" w:before="0" w:after="0"/>
              <w:jc w:val="right"/>
            </w:pPr>
            <w:r/>
            <w:r>
              <w:rPr>
                <w:b/>
                <w:i w:val="0"/>
                <w:sz w:val="18"/>
              </w:rPr>
              <w:t>Implies</w:t>
            </w:r>
          </w:p>
        </w:tc>
        <w:tc>
          <w:tcPr>
            <w:tcW w:type="dxa" w:w="2484"/>
            <w:shd w:val="clear" w:fill="EEEEEE"/>
          </w:tcPr>
          <w:p>
            <w:pPr>
              <w:keepNext/>
              <w:spacing w:line="264" w:lineRule="auto" w:before="0" w:after="0"/>
              <w:jc w:val="right"/>
            </w:pPr>
            <w:r/>
            <w:r>
              <w:rPr>
                <w:b/>
                <w:i w:val="0"/>
                <w:sz w:val="18"/>
              </w:rPr>
              <w:t>Weight</w:t>
            </w:r>
          </w:p>
        </w:tc>
      </w:tr>
      <w:tr>
        <w:tc>
          <w:tcPr>
            <w:tcW w:type="dxa" w:w="2484"/>
          </w:tcPr>
          <w:p>
            <w:pPr>
              <w:keepNext w:val="0"/>
              <w:spacing w:line="264" w:lineRule="auto" w:before="0" w:after="0"/>
              <w:jc w:val="left"/>
            </w:pPr>
            <w:r/>
            <w:r>
              <w:rPr>
                <w:b w:val="0"/>
                <w:i w:val="0"/>
                <w:sz w:val="18"/>
              </w:rPr>
              <w:t>Acquirer press release, Aug 2026</w:t>
            </w:r>
          </w:p>
        </w:tc>
        <w:tc>
          <w:tcPr>
            <w:tcW w:type="dxa" w:w="2484"/>
          </w:tcPr>
          <w:p>
            <w:pPr>
              <w:keepNext w:val="0"/>
              <w:spacing w:line="264" w:lineRule="auto" w:before="0" w:after="0"/>
              <w:jc w:val="left"/>
            </w:pPr>
            <w:r/>
            <w:r>
              <w:rPr>
                <w:b w:val="0"/>
                <w:i w:val="0"/>
                <w:sz w:val="18"/>
              </w:rPr>
              <w:t>~400 employees</w:t>
            </w:r>
          </w:p>
        </w:tc>
        <w:tc>
          <w:tcPr>
            <w:tcW w:type="dxa" w:w="2484"/>
          </w:tcPr>
          <w:p>
            <w:pPr>
              <w:keepNext w:val="0"/>
              <w:spacing w:line="264" w:lineRule="auto" w:before="0" w:after="0"/>
              <w:jc w:val="right"/>
            </w:pPr>
            <w:r/>
            <w:r>
              <w:rPr>
                <w:b w:val="0"/>
                <w:i w:val="0"/>
                <w:sz w:val="18"/>
              </w:rPr>
              <w:t>400</w:t>
            </w:r>
          </w:p>
        </w:tc>
        <w:tc>
          <w:tcPr>
            <w:tcW w:type="dxa" w:w="2484"/>
          </w:tcPr>
          <w:p>
            <w:pPr>
              <w:keepNext w:val="0"/>
              <w:spacing w:line="264" w:lineRule="auto" w:before="0" w:after="0"/>
              <w:jc w:val="right"/>
            </w:pPr>
            <w:r/>
            <w:r>
              <w:rPr>
                <w:b w:val="0"/>
                <w:i w:val="0"/>
                <w:sz w:val="18"/>
              </w:rPr>
              <w:t>0.40</w:t>
            </w:r>
          </w:p>
        </w:tc>
      </w:tr>
      <w:tr>
        <w:tc>
          <w:tcPr>
            <w:tcW w:type="dxa" w:w="2484"/>
          </w:tcPr>
          <w:p>
            <w:pPr>
              <w:keepNext w:val="0"/>
              <w:spacing w:line="264" w:lineRule="auto" w:before="0" w:after="0"/>
              <w:jc w:val="left"/>
            </w:pPr>
            <w:r/>
            <w:r>
              <w:rPr>
                <w:b w:val="0"/>
                <w:i w:val="0"/>
                <w:sz w:val="18"/>
              </w:rPr>
              <w:t>Live alternative-data profiles</w:t>
            </w:r>
          </w:p>
        </w:tc>
        <w:tc>
          <w:tcPr>
            <w:tcW w:type="dxa" w:w="2484"/>
          </w:tcPr>
          <w:p>
            <w:pPr>
              <w:keepNext w:val="0"/>
              <w:spacing w:line="264" w:lineRule="auto" w:before="0" w:after="0"/>
              <w:jc w:val="left"/>
            </w:pPr>
            <w:r/>
            <w:r>
              <w:rPr>
                <w:b w:val="0"/>
                <w:i w:val="0"/>
                <w:sz w:val="18"/>
              </w:rPr>
              <w:t>380 live</w:t>
            </w:r>
          </w:p>
        </w:tc>
        <w:tc>
          <w:tcPr>
            <w:tcW w:type="dxa" w:w="2484"/>
          </w:tcPr>
          <w:p>
            <w:pPr>
              <w:keepNext w:val="0"/>
              <w:spacing w:line="264" w:lineRule="auto" w:before="0" w:after="0"/>
              <w:jc w:val="right"/>
            </w:pPr>
            <w:r/>
            <w:r>
              <w:rPr>
                <w:b w:val="0"/>
                <w:i w:val="0"/>
                <w:sz w:val="18"/>
              </w:rPr>
              <w:t>380</w:t>
            </w:r>
          </w:p>
        </w:tc>
        <w:tc>
          <w:tcPr>
            <w:tcW w:type="dxa" w:w="2484"/>
          </w:tcPr>
          <w:p>
            <w:pPr>
              <w:keepNext w:val="0"/>
              <w:spacing w:line="264" w:lineRule="auto" w:before="0" w:after="0"/>
              <w:jc w:val="right"/>
            </w:pPr>
            <w:r/>
            <w:r>
              <w:rPr>
                <w:b w:val="0"/>
                <w:i w:val="0"/>
                <w:sz w:val="18"/>
              </w:rPr>
              <w:t>0.20</w:t>
            </w:r>
          </w:p>
        </w:tc>
      </w:tr>
      <w:tr>
        <w:tc>
          <w:tcPr>
            <w:tcW w:type="dxa" w:w="2484"/>
          </w:tcPr>
          <w:p>
            <w:pPr>
              <w:keepNext w:val="0"/>
              <w:spacing w:line="264" w:lineRule="auto" w:before="0" w:after="0"/>
              <w:jc w:val="left"/>
            </w:pPr>
            <w:r/>
            <w:r>
              <w:rPr>
                <w:b w:val="0"/>
                <w:i w:val="0"/>
                <w:sz w:val="18"/>
              </w:rPr>
              <w:t>Revenue per employee</w:t>
            </w:r>
          </w:p>
        </w:tc>
        <w:tc>
          <w:tcPr>
            <w:tcW w:type="dxa" w:w="2484"/>
          </w:tcPr>
          <w:p>
            <w:pPr>
              <w:keepNext w:val="0"/>
              <w:spacing w:line="264" w:lineRule="auto" w:before="0" w:after="0"/>
              <w:jc w:val="left"/>
            </w:pPr>
            <w:r/>
            <w:r>
              <w:rPr>
                <w:b w:val="0"/>
                <w:i w:val="0"/>
                <w:sz w:val="18"/>
              </w:rPr>
              <w:t>$97.7M 2026E at $225K</w:t>
            </w:r>
          </w:p>
        </w:tc>
        <w:tc>
          <w:tcPr>
            <w:tcW w:type="dxa" w:w="2484"/>
          </w:tcPr>
          <w:p>
            <w:pPr>
              <w:keepNext w:val="0"/>
              <w:spacing w:line="264" w:lineRule="auto" w:before="0" w:after="0"/>
              <w:jc w:val="right"/>
            </w:pPr>
            <w:r/>
            <w:r>
              <w:rPr>
                <w:b w:val="0"/>
                <w:i w:val="0"/>
                <w:sz w:val="18"/>
              </w:rPr>
              <w:t>434</w:t>
            </w:r>
          </w:p>
        </w:tc>
        <w:tc>
          <w:tcPr>
            <w:tcW w:type="dxa" w:w="2484"/>
          </w:tcPr>
          <w:p>
            <w:pPr>
              <w:keepNext w:val="0"/>
              <w:spacing w:line="264" w:lineRule="auto" w:before="0" w:after="0"/>
              <w:jc w:val="right"/>
            </w:pPr>
            <w:r/>
            <w:r>
              <w:rPr>
                <w:b w:val="0"/>
                <w:i w:val="0"/>
                <w:sz w:val="18"/>
              </w:rPr>
              <w:t>0.20</w:t>
            </w:r>
          </w:p>
        </w:tc>
      </w:tr>
      <w:tr>
        <w:tc>
          <w:tcPr>
            <w:tcW w:type="dxa" w:w="2484"/>
          </w:tcPr>
          <w:p>
            <w:pPr>
              <w:keepNext w:val="0"/>
              <w:spacing w:line="264" w:lineRule="auto" w:before="0" w:after="0"/>
              <w:jc w:val="left"/>
            </w:pPr>
            <w:r/>
            <w:r>
              <w:rPr>
                <w:b w:val="0"/>
                <w:i w:val="0"/>
                <w:sz w:val="18"/>
              </w:rPr>
              <w:t>Fleet size, Feb 2026</w:t>
            </w:r>
          </w:p>
        </w:tc>
        <w:tc>
          <w:tcPr>
            <w:tcW w:type="dxa" w:w="2484"/>
          </w:tcPr>
          <w:p>
            <w:pPr>
              <w:keepNext w:val="0"/>
              <w:spacing w:line="264" w:lineRule="auto" w:before="0" w:after="0"/>
              <w:jc w:val="left"/>
            </w:pPr>
            <w:r/>
            <w:r>
              <w:rPr>
                <w:b w:val="0"/>
                <w:i w:val="0"/>
                <w:sz w:val="18"/>
              </w:rPr>
              <w:t>260 vehicles</w:t>
            </w:r>
          </w:p>
        </w:tc>
        <w:tc>
          <w:tcPr>
            <w:tcW w:type="dxa" w:w="2484"/>
          </w:tcPr>
          <w:p>
            <w:pPr>
              <w:keepNext w:val="0"/>
              <w:spacing w:line="264" w:lineRule="auto" w:before="0" w:after="0"/>
              <w:jc w:val="right"/>
            </w:pPr>
            <w:r/>
            <w:r>
              <w:rPr>
                <w:b w:val="0"/>
                <w:i w:val="0"/>
                <w:sz w:val="18"/>
              </w:rPr>
              <w:t>407</w:t>
            </w:r>
          </w:p>
        </w:tc>
        <w:tc>
          <w:tcPr>
            <w:tcW w:type="dxa" w:w="2484"/>
          </w:tcPr>
          <w:p>
            <w:pPr>
              <w:keepNext w:val="0"/>
              <w:spacing w:line="264" w:lineRule="auto" w:before="0" w:after="0"/>
              <w:jc w:val="right"/>
            </w:pPr>
            <w:r/>
            <w:r>
              <w:rPr>
                <w:b w:val="0"/>
                <w:i w:val="0"/>
                <w:sz w:val="18"/>
              </w:rPr>
              <w:t>0.15</w:t>
            </w:r>
          </w:p>
        </w:tc>
      </w:tr>
      <w:tr>
        <w:tc>
          <w:tcPr>
            <w:tcW w:type="dxa" w:w="2484"/>
          </w:tcPr>
          <w:p>
            <w:pPr>
              <w:keepNext w:val="0"/>
              <w:spacing w:line="264" w:lineRule="auto" w:before="0" w:after="0"/>
              <w:jc w:val="left"/>
            </w:pPr>
            <w:r/>
            <w:r>
              <w:rPr>
                <w:b w:val="0"/>
                <w:i w:val="0"/>
                <w:sz w:val="18"/>
              </w:rPr>
              <w:t>Trade press profile, Sept 2025</w:t>
            </w:r>
          </w:p>
        </w:tc>
        <w:tc>
          <w:tcPr>
            <w:tcW w:type="dxa" w:w="2484"/>
          </w:tcPr>
          <w:p>
            <w:pPr>
              <w:keepNext w:val="0"/>
              <w:spacing w:line="264" w:lineRule="auto" w:before="0" w:after="0"/>
              <w:jc w:val="left"/>
            </w:pPr>
            <w:r/>
            <w:r>
              <w:rPr>
                <w:b w:val="0"/>
                <w:i w:val="0"/>
                <w:sz w:val="18"/>
              </w:rPr>
              <w:t>&gt;350 team members</w:t>
            </w:r>
          </w:p>
        </w:tc>
        <w:tc>
          <w:tcPr>
            <w:tcW w:type="dxa" w:w="2484"/>
          </w:tcPr>
          <w:p>
            <w:pPr>
              <w:keepNext w:val="0"/>
              <w:spacing w:line="264" w:lineRule="auto" w:before="0" w:after="0"/>
              <w:jc w:val="right"/>
            </w:pPr>
            <w:r/>
            <w:r>
              <w:rPr>
                <w:b w:val="0"/>
                <w:i w:val="0"/>
                <w:sz w:val="18"/>
              </w:rPr>
              <w:t>374</w:t>
            </w:r>
          </w:p>
        </w:tc>
        <w:tc>
          <w:tcPr>
            <w:tcW w:type="dxa" w:w="2484"/>
          </w:tcPr>
          <w:p>
            <w:pPr>
              <w:keepNext w:val="0"/>
              <w:spacing w:line="264" w:lineRule="auto" w:before="0" w:after="0"/>
              <w:jc w:val="right"/>
            </w:pPr>
            <w:r/>
            <w:r>
              <w:rPr>
                <w:b w:val="0"/>
                <w:i w:val="0"/>
                <w:sz w:val="18"/>
              </w:rPr>
              <w:t>0.05</w:t>
            </w:r>
          </w:p>
        </w:tc>
      </w:tr>
      <w:tr>
        <w:tc>
          <w:tcPr>
            <w:tcW w:type="dxa" w:w="2484"/>
          </w:tcPr>
          <w:p>
            <w:pPr>
              <w:keepNext w:val="0"/>
              <w:spacing w:line="264" w:lineRule="auto" w:before="0" w:after="0"/>
              <w:jc w:val="left"/>
            </w:pPr>
            <w:r/>
            <w:r>
              <w:rPr>
                <w:b w:val="0"/>
                <w:i w:val="0"/>
                <w:sz w:val="18"/>
              </w:rPr>
              <w:t>Business directory</w:t>
            </w:r>
          </w:p>
        </w:tc>
        <w:tc>
          <w:tcPr>
            <w:tcW w:type="dxa" w:w="2484"/>
          </w:tcPr>
          <w:p>
            <w:pPr>
              <w:keepNext w:val="0"/>
              <w:spacing w:line="264" w:lineRule="auto" w:before="0" w:after="0"/>
              <w:jc w:val="left"/>
            </w:pPr>
            <w:r/>
            <w:r>
              <w:rPr>
                <w:b w:val="0"/>
                <w:i w:val="0"/>
                <w:sz w:val="18"/>
              </w:rPr>
              <w:t>250–499</w:t>
            </w:r>
          </w:p>
        </w:tc>
        <w:tc>
          <w:tcPr>
            <w:tcW w:type="dxa" w:w="2484"/>
          </w:tcPr>
          <w:p>
            <w:pPr>
              <w:keepNext w:val="0"/>
              <w:spacing w:line="264" w:lineRule="auto" w:before="0" w:after="0"/>
              <w:jc w:val="right"/>
            </w:pPr>
            <w:r/>
            <w:r>
              <w:rPr>
                <w:b w:val="0"/>
                <w:i w:val="0"/>
                <w:sz w:val="18"/>
              </w:rPr>
              <w:t>—</w:t>
            </w:r>
          </w:p>
        </w:tc>
        <w:tc>
          <w:tcPr>
            <w:tcW w:type="dxa" w:w="2484"/>
          </w:tcPr>
          <w:p>
            <w:pPr>
              <w:keepNext w:val="0"/>
              <w:spacing w:line="264" w:lineRule="auto" w:before="0" w:after="0"/>
              <w:jc w:val="right"/>
            </w:pPr>
            <w:r/>
            <w:r>
              <w:rPr>
                <w:b w:val="0"/>
                <w:i w:val="0"/>
                <w:sz w:val="18"/>
              </w:rPr>
              <w:t>0.00</w:t>
            </w:r>
          </w:p>
        </w:tc>
      </w:tr>
      <w:tr>
        <w:tc>
          <w:tcPr>
            <w:tcW w:type="dxa" w:w="2484"/>
          </w:tcPr>
          <w:p>
            <w:pPr>
              <w:keepNext w:val="0"/>
              <w:spacing w:line="264" w:lineRule="auto" w:before="0" w:after="0"/>
              <w:jc w:val="left"/>
            </w:pPr>
            <w:r/>
            <w:r>
              <w:rPr>
                <w:b/>
                <w:i w:val="0"/>
                <w:sz w:val="18"/>
              </w:rPr>
              <w:t>Weighted estimate</w:t>
            </w:r>
          </w:p>
        </w:tc>
        <w:tc>
          <w:tcPr>
            <w:tcW w:type="dxa" w:w="2484"/>
          </w:tcPr>
          <w:p>
            <w:pPr>
              <w:keepNext w:val="0"/>
              <w:spacing w:line="264" w:lineRule="auto" w:before="0" w:after="0"/>
              <w:jc w:val="left"/>
            </w:pPr>
            <w:r/>
          </w:p>
        </w:tc>
        <w:tc>
          <w:tcPr>
            <w:tcW w:type="dxa" w:w="2484"/>
          </w:tcPr>
          <w:p>
            <w:pPr>
              <w:keepNext w:val="0"/>
              <w:spacing w:line="264" w:lineRule="auto" w:before="0" w:after="0"/>
              <w:jc w:val="right"/>
            </w:pPr>
            <w:r/>
            <w:r>
              <w:rPr>
                <w:b/>
                <w:i w:val="0"/>
                <w:sz w:val="18"/>
              </w:rPr>
              <w:t>403</w:t>
            </w:r>
          </w:p>
        </w:tc>
        <w:tc>
          <w:tcPr>
            <w:tcW w:type="dxa" w:w="2484"/>
          </w:tcPr>
          <w:p>
            <w:pPr>
              <w:keepNext w:val="0"/>
              <w:spacing w:line="264" w:lineRule="auto" w:before="0" w:after="0"/>
              <w:jc w:val="right"/>
            </w:pPr>
            <w:r/>
            <w:r>
              <w:rPr>
                <w:b/>
                <w:i w:val="0"/>
                <w:sz w:val="18"/>
              </w:rPr>
              <w:t>1.00</w:t>
            </w:r>
          </w:p>
        </w:tc>
      </w:tr>
    </w:tbl>
    <w:p>
      <w:pPr>
        <w:keepNext w:val="0"/>
        <w:spacing w:line="264" w:lineRule="auto" w:before="0" w:after="80"/>
      </w:pPr>
    </w:p>
    <w:p>
      <w:pPr>
        <w:keepNext w:val="0"/>
        <w:spacing w:line="264" w:lineRule="auto" w:before="0" w:after="80"/>
      </w:pPr>
      <w:r>
        <w:rPr>
          <w:b w:val="0"/>
          <w:i w:val="0"/>
          <w:sz w:val="19"/>
        </w:rPr>
        <w:t>The press release carries the heaviest weight for recency and LOI-level access. Revenue per employee is genuinely independent but inherits a wide band — the $200–250K benchmark alone spans 390 to 490 employees. The fleet figure is the one signal nobody has an incentive to inflate, grossed up using the comp's field share. The directory band is too wide to discriminate between the others, so it is shown at zero weight rather than quietly dropped.</w:t>
      </w:r>
    </w:p>
    <w:p>
      <w:pPr>
        <w:keepNext w:val="0"/>
        <w:spacing w:line="264" w:lineRule="auto" w:before="0" w:after="80"/>
      </w:pPr>
      <w:r>
        <w:rPr>
          <w:b/>
          <w:i w:val="0"/>
          <w:sz w:val="19"/>
        </w:rPr>
        <w:t>Louisville is the live judgement.</w:t>
      </w:r>
      <w:r>
        <w:rPr>
          <w:b w:val="0"/>
          <w:i w:val="0"/>
          <w:sz w:val="19"/>
        </w:rPr>
        <w:t xml:space="preserve"> Cardinal Heating &amp; Air was acquired in March 2024 with roughly 60 employees and appears as 105 valid profiles across both Cardinal entities. The press release says "approximately 400 employees across six branches", and Louisville is a seventh location under its own name; if 400 excludes it, the consolidated company is nearer 470. This memo takes the inclusive reading because the four signals independent of the press release cluster at 374–434, not near 470. </w:t>
      </w:r>
      <w:r>
        <w:rPr>
          <w:b/>
          <w:i w:val="0"/>
          <w:sz w:val="19"/>
        </w:rPr>
        <w:t>It is worth one question on the first management call</w:t>
      </w:r>
      <w:r>
        <w:rPr>
          <w:b w:val="0"/>
          <w:i w:val="0"/>
          <w:sz w:val="19"/>
        </w:rPr>
        <w:t xml:space="preserve"> — getting it wrong moves the answer about 17%.</w:t>
      </w:r>
    </w:p>
    <w:p>
      <w:pPr>
        <w:keepNext/>
        <w:spacing w:line="264" w:lineRule="auto" w:before="80" w:after="40"/>
      </w:pPr>
      <w:r>
        <w:rPr>
          <w:b/>
          <w:sz w:val="20"/>
        </w:rPr>
        <w:t>Cost, standalone and pro-forma</w:t>
      </w:r>
    </w:p>
    <w:p>
      <w:pPr>
        <w:keepNext w:val="0"/>
        <w:spacing w:line="264" w:lineRule="auto" w:before="0" w:after="80"/>
      </w:pPr>
      <w:r>
        <w:rPr>
          <w:b w:val="0"/>
          <w:i w:val="0"/>
          <w:sz w:val="19"/>
        </w:rPr>
        <w:t xml:space="preserve">Structure comes from Great Lakes Comfort Systems: 392 employees running HVAC plus plumbing against Cardinal at roughly 400 running HVAC plus plumbing, as close a structural comp as this platform contains. Great Lakes carries almost no G&amp;A because it consumes Northstar Corporate shared services, so the corporate pool is allocated back on headcount (19.5 positions) and uplifted 1.5x. </w:t>
      </w:r>
      <w:r>
        <w:rPr>
          <w:b/>
          <w:i w:val="0"/>
          <w:sz w:val="19"/>
        </w:rPr>
        <w:t>That uplift is the largest judgement in the cost build</w:t>
      </w:r>
      <w:r>
        <w:rPr>
          <w:b w:val="0"/>
          <w:i w:val="0"/>
          <w:sz w:val="19"/>
        </w:rPr>
        <w:t>: a 400-person standalone company needs a controller, an HR manager and an IT manager whether or not it can keep them busy. Cost per position is the comp's own fully loaded cost per head, so Cardinal is priced on exactly the P&amp;L-derived load factors Northstar's CFO has already seen.</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2484"/>
        <w:gridCol w:w="2484"/>
        <w:gridCol w:w="2484"/>
        <w:gridCol w:w="2484"/>
      </w:tblGrid>
      <w:tr>
        <w:tc>
          <w:tcPr>
            <w:tcW w:type="dxa" w:w="2484"/>
            <w:shd w:val="clear" w:fill="EEEEEE"/>
          </w:tcPr>
          <w:p>
            <w:pPr>
              <w:keepNext/>
              <w:spacing w:line="264" w:lineRule="auto" w:before="0" w:after="0"/>
              <w:jc w:val="left"/>
            </w:pPr>
            <w:r/>
          </w:p>
        </w:tc>
        <w:tc>
          <w:tcPr>
            <w:tcW w:type="dxa" w:w="2484"/>
            <w:shd w:val="clear" w:fill="EEEEEE"/>
          </w:tcPr>
          <w:p>
            <w:pPr>
              <w:keepNext/>
              <w:spacing w:line="264" w:lineRule="auto" w:before="0" w:after="0"/>
              <w:jc w:val="right"/>
            </w:pPr>
            <w:r/>
            <w:r>
              <w:rPr>
                <w:b/>
                <w:i w:val="0"/>
                <w:sz w:val="18"/>
              </w:rPr>
              <w:t>Positions</w:t>
            </w:r>
          </w:p>
        </w:tc>
        <w:tc>
          <w:tcPr>
            <w:tcW w:type="dxa" w:w="2484"/>
            <w:shd w:val="clear" w:fill="EEEEEE"/>
          </w:tcPr>
          <w:p>
            <w:pPr>
              <w:keepNext/>
              <w:spacing w:line="264" w:lineRule="auto" w:before="0" w:after="0"/>
              <w:jc w:val="right"/>
            </w:pPr>
            <w:r/>
            <w:r>
              <w:rPr>
                <w:b/>
                <w:i w:val="0"/>
                <w:sz w:val="18"/>
              </w:rPr>
              <w:t>FTE</w:t>
            </w:r>
          </w:p>
        </w:tc>
        <w:tc>
          <w:tcPr>
            <w:tcW w:type="dxa" w:w="2484"/>
            <w:shd w:val="clear" w:fill="EEEEEE"/>
          </w:tcPr>
          <w:p>
            <w:pPr>
              <w:keepNext/>
              <w:spacing w:line="264" w:lineRule="auto" w:before="0" w:after="0"/>
              <w:jc w:val="right"/>
            </w:pPr>
            <w:r/>
            <w:r>
              <w:rPr>
                <w:b/>
                <w:i w:val="0"/>
                <w:sz w:val="18"/>
              </w:rPr>
              <w:t>Fully loaded</w:t>
            </w:r>
          </w:p>
        </w:tc>
      </w:tr>
      <w:tr>
        <w:tc>
          <w:tcPr>
            <w:tcW w:type="dxa" w:w="2484"/>
          </w:tcPr>
          <w:p>
            <w:pPr>
              <w:keepNext w:val="0"/>
              <w:spacing w:line="264" w:lineRule="auto" w:before="0" w:after="0"/>
              <w:jc w:val="left"/>
            </w:pPr>
            <w:r/>
            <w:r>
              <w:rPr>
                <w:b/>
                <w:i w:val="0"/>
                <w:sz w:val="18"/>
              </w:rPr>
              <w:t>Standalone (headline)</w:t>
            </w:r>
          </w:p>
        </w:tc>
        <w:tc>
          <w:tcPr>
            <w:tcW w:type="dxa" w:w="2484"/>
          </w:tcPr>
          <w:p>
            <w:pPr>
              <w:keepNext w:val="0"/>
              <w:spacing w:line="264" w:lineRule="auto" w:before="0" w:after="0"/>
              <w:jc w:val="right"/>
            </w:pPr>
            <w:r/>
            <w:r>
              <w:rPr>
                <w:b/>
                <w:i w:val="0"/>
                <w:sz w:val="18"/>
              </w:rPr>
              <w:t>403</w:t>
            </w:r>
          </w:p>
        </w:tc>
        <w:tc>
          <w:tcPr>
            <w:tcW w:type="dxa" w:w="2484"/>
          </w:tcPr>
          <w:p>
            <w:pPr>
              <w:keepNext w:val="0"/>
              <w:spacing w:line="264" w:lineRule="auto" w:before="0" w:after="0"/>
              <w:jc w:val="right"/>
            </w:pPr>
            <w:r/>
            <w:r>
              <w:rPr>
                <w:b/>
                <w:i w:val="0"/>
                <w:sz w:val="18"/>
              </w:rPr>
              <w:t>392</w:t>
            </w:r>
          </w:p>
        </w:tc>
        <w:tc>
          <w:tcPr>
            <w:tcW w:type="dxa" w:w="2484"/>
          </w:tcPr>
          <w:p>
            <w:pPr>
              <w:keepNext w:val="0"/>
              <w:spacing w:line="264" w:lineRule="auto" w:before="0" w:after="0"/>
              <w:jc w:val="right"/>
            </w:pPr>
            <w:r/>
            <w:r>
              <w:rPr>
                <w:b/>
                <w:i w:val="0"/>
                <w:sz w:val="18"/>
              </w:rPr>
              <w:t>$34.0M</w:t>
            </w:r>
          </w:p>
        </w:tc>
      </w:tr>
      <w:tr>
        <w:tc>
          <w:tcPr>
            <w:tcW w:type="dxa" w:w="2484"/>
          </w:tcPr>
          <w:p>
            <w:pPr>
              <w:keepNext w:val="0"/>
              <w:spacing w:line="264" w:lineRule="auto" w:before="0" w:after="0"/>
              <w:jc w:val="left"/>
            </w:pPr>
            <w:r/>
            <w:r>
              <w:rPr>
                <w:b w:val="0"/>
                <w:i w:val="0"/>
                <w:sz w:val="18"/>
              </w:rPr>
              <w:t>Pro-forma on Northstar</w:t>
            </w:r>
          </w:p>
        </w:tc>
        <w:tc>
          <w:tcPr>
            <w:tcW w:type="dxa" w:w="2484"/>
          </w:tcPr>
          <w:p>
            <w:pPr>
              <w:keepNext w:val="0"/>
              <w:spacing w:line="264" w:lineRule="auto" w:before="0" w:after="0"/>
              <w:jc w:val="right"/>
            </w:pPr>
            <w:r/>
            <w:r>
              <w:rPr>
                <w:b w:val="0"/>
                <w:i w:val="0"/>
                <w:sz w:val="18"/>
              </w:rPr>
              <w:t>394</w:t>
            </w:r>
          </w:p>
        </w:tc>
        <w:tc>
          <w:tcPr>
            <w:tcW w:type="dxa" w:w="2484"/>
          </w:tcPr>
          <w:p>
            <w:pPr>
              <w:keepNext w:val="0"/>
              <w:spacing w:line="264" w:lineRule="auto" w:before="0" w:after="0"/>
              <w:jc w:val="right"/>
            </w:pPr>
            <w:r/>
            <w:r>
              <w:rPr>
                <w:b w:val="0"/>
                <w:i w:val="0"/>
                <w:sz w:val="18"/>
              </w:rPr>
              <w:t>383</w:t>
            </w:r>
          </w:p>
        </w:tc>
        <w:tc>
          <w:tcPr>
            <w:tcW w:type="dxa" w:w="2484"/>
          </w:tcPr>
          <w:p>
            <w:pPr>
              <w:keepNext w:val="0"/>
              <w:spacing w:line="264" w:lineRule="auto" w:before="0" w:after="0"/>
              <w:jc w:val="right"/>
            </w:pPr>
            <w:r/>
            <w:r>
              <w:rPr>
                <w:b w:val="0"/>
                <w:i w:val="0"/>
                <w:sz w:val="18"/>
              </w:rPr>
              <w:t>$32.9M</w:t>
            </w:r>
          </w:p>
        </w:tc>
      </w:tr>
      <w:tr>
        <w:tc>
          <w:tcPr>
            <w:tcW w:type="dxa" w:w="2484"/>
          </w:tcPr>
          <w:p>
            <w:pPr>
              <w:keepNext w:val="0"/>
              <w:spacing w:line="264" w:lineRule="auto" w:before="0" w:after="0"/>
              <w:jc w:val="left"/>
            </w:pPr>
            <w:r/>
            <w:r>
              <w:rPr>
                <w:b w:val="0"/>
                <w:i w:val="0"/>
                <w:sz w:val="18"/>
              </w:rPr>
              <w:t>Shared-services synergy</w:t>
            </w:r>
          </w:p>
        </w:tc>
        <w:tc>
          <w:tcPr>
            <w:tcW w:type="dxa" w:w="2484"/>
          </w:tcPr>
          <w:p>
            <w:pPr>
              <w:keepNext w:val="0"/>
              <w:spacing w:line="264" w:lineRule="auto" w:before="0" w:after="0"/>
              <w:jc w:val="right"/>
            </w:pPr>
            <w:r/>
            <w:r>
              <w:rPr>
                <w:b w:val="0"/>
                <w:i w:val="0"/>
                <w:sz w:val="18"/>
              </w:rPr>
              <w:t>−9</w:t>
            </w:r>
          </w:p>
        </w:tc>
        <w:tc>
          <w:tcPr>
            <w:tcW w:type="dxa" w:w="2484"/>
          </w:tcPr>
          <w:p>
            <w:pPr>
              <w:keepNext w:val="0"/>
              <w:spacing w:line="264" w:lineRule="auto" w:before="0" w:after="0"/>
              <w:jc w:val="right"/>
            </w:pPr>
            <w:r/>
            <w:r>
              <w:rPr>
                <w:b w:val="0"/>
                <w:i w:val="0"/>
                <w:sz w:val="18"/>
              </w:rPr>
              <w:t>−9</w:t>
            </w:r>
          </w:p>
        </w:tc>
        <w:tc>
          <w:tcPr>
            <w:tcW w:type="dxa" w:w="2484"/>
          </w:tcPr>
          <w:p>
            <w:pPr>
              <w:keepNext w:val="0"/>
              <w:spacing w:line="264" w:lineRule="auto" w:before="0" w:after="0"/>
              <w:jc w:val="right"/>
            </w:pPr>
            <w:r/>
            <w:r>
              <w:rPr>
                <w:b w:val="0"/>
                <w:i w:val="0"/>
                <w:sz w:val="18"/>
              </w:rPr>
              <w:t>−$1.2M</w:t>
            </w:r>
          </w:p>
        </w:tc>
      </w:tr>
    </w:tbl>
    <w:p>
      <w:pPr>
        <w:keepNext w:val="0"/>
        <w:spacing w:line="264" w:lineRule="auto" w:before="0" w:after="80"/>
      </w:pPr>
    </w:p>
    <w:p>
      <w:pPr>
        <w:keepNext w:val="0"/>
        <w:spacing w:line="264" w:lineRule="auto" w:before="0" w:after="80"/>
      </w:pPr>
      <w:r>
        <w:rPr>
          <w:b w:val="0"/>
          <w:i w:val="0"/>
          <w:sz w:val="19"/>
        </w:rPr>
        <w:t>The pro-forma line collapses the duplicated corporate layer back to the share Great Lakes already consumes and leaves the operating organisation untouched, since that is the business being bought. It is labour-only: systems, insurance and purchasing synergies are excluded.</w:t>
      </w:r>
    </w:p>
    <w:p>
      <w:pPr>
        <w:keepNext w:val="0"/>
        <w:spacing w:line="264" w:lineRule="auto" w:before="0" w:after="80"/>
      </w:pPr>
      <w:r>
        <w:rPr>
          <w:b w:val="0"/>
          <w:i w:val="0"/>
          <w:sz w:val="19"/>
        </w:rPr>
        <w:t xml:space="preserve">Two external cross-checks land where they should. Labour is </w:t>
      </w:r>
      <w:r>
        <w:rPr>
          <w:b/>
          <w:i w:val="0"/>
          <w:sz w:val="19"/>
        </w:rPr>
        <w:t>34.9% of 2026E revenue</w:t>
      </w:r>
      <w:r>
        <w:rPr>
          <w:b w:val="0"/>
          <w:i w:val="0"/>
          <w:sz w:val="19"/>
        </w:rPr>
        <w:t xml:space="preserve"> against the 35–40% benchmark, and </w:t>
      </w:r>
      <w:r>
        <w:rPr>
          <w:b/>
          <w:i w:val="0"/>
          <w:sz w:val="19"/>
        </w:rPr>
        <w:t>revenue per FTE is $249,000</w:t>
      </w:r>
      <w:r>
        <w:rPr>
          <w:b w:val="0"/>
          <w:i w:val="0"/>
          <w:sz w:val="19"/>
        </w:rPr>
        <w:t xml:space="preserve"> against the $200–250K band. Both sit at the efficient edge rather than mid-range — consistent with 14.9% revenue growth outrunning hiring, and also what this would look like if headcount were modestly understated.</w:t>
      </w:r>
    </w:p>
    <w:p>
      <w:pPr>
        <w:keepNext w:val="0"/>
        <w:spacing w:line="264" w:lineRule="auto" w:before="0" w:after="80"/>
      </w:pPr>
      <w:r>
        <w:rPr>
          <w:b/>
          <w:i w:val="0"/>
          <w:sz w:val="19"/>
        </w:rPr>
        <w:t>Confidence differs by output.</w:t>
      </w:r>
      <w:r>
        <w:rPr>
          <w:b w:val="0"/>
          <w:i w:val="0"/>
          <w:sz w:val="19"/>
        </w:rPr>
        <w:t xml:space="preserve"> Headcount is tighter: five signals from four independent source types converge inside a 60-person band, and the back-test puts the structural method at 2.5% error. Call it ±8%. Cost is wider, inheriting all of that and adding pay-structure error, since the comp's pay is Michigan pay re-indexed and Cardinal's benefit design is unobserved. Call it ±15%, roughly $29M to $39M.</w:t>
      </w:r>
    </w:p>
    <w:p>
      <w:pPr>
        <w:keepNext/>
        <w:spacing w:line="264" w:lineRule="auto" w:before="100" w:after="40"/>
      </w:pPr>
      <w:r>
        <w:rPr>
          <w:b/>
          <w:sz w:val="22"/>
        </w:rPr>
        <w:t>2. Field Service end to end</w:t>
      </w:r>
    </w:p>
    <w:p>
      <w:pPr>
        <w:keepNext w:val="0"/>
        <w:spacing w:line="264" w:lineRule="auto" w:before="0" w:after="80"/>
      </w:pPr>
      <w:r>
        <w:rPr>
          <w:b w:val="0"/>
          <w:i w:val="0"/>
          <w:sz w:val="19"/>
        </w:rPr>
        <w:t>Field Service means installation and repair technicians plus their direct supervisors. Branch managers sit above that line and are modelled in Executive &amp; Corporate. Each step names its source and what only that source contributes.</w:t>
      </w:r>
    </w:p>
    <w:p>
      <w:pPr>
        <w:keepNext w:val="0"/>
        <w:spacing w:line="264" w:lineRule="auto" w:before="0" w:after="80"/>
      </w:pPr>
      <w:r>
        <w:rPr>
          <w:b/>
          <w:i w:val="0"/>
          <w:sz w:val="19"/>
        </w:rPr>
        <w:t>Total positions — triangulation.</w:t>
      </w:r>
      <w:r>
        <w:rPr>
          <w:b w:val="0"/>
          <w:i w:val="0"/>
          <w:sz w:val="19"/>
        </w:rPr>
        <w:t xml:space="preserve"> 403 company-wide, of which the comp's field share (63.9%, after the standalone G&amp;A layer is added) gives </w:t>
      </w:r>
      <w:r>
        <w:rPr>
          <w:b/>
          <w:i w:val="0"/>
          <w:sz w:val="19"/>
        </w:rPr>
        <w:t>257 field positions</w:t>
      </w:r>
      <w:r>
        <w:rPr>
          <w:b w:val="0"/>
          <w:i w:val="0"/>
          <w:sz w:val="19"/>
        </w:rPr>
        <w:t>.</w:t>
      </w:r>
    </w:p>
    <w:p>
      <w:pPr>
        <w:keepNext w:val="0"/>
        <w:spacing w:line="264" w:lineRule="auto" w:before="0" w:after="80"/>
      </w:pPr>
      <w:r>
        <w:rPr>
          <w:b/>
          <w:i w:val="0"/>
          <w:sz w:val="19"/>
        </w:rPr>
        <w:t>Split across families — Great Lakes, from Part 1.</w:t>
      </w:r>
      <w:r>
        <w:rPr>
          <w:b w:val="0"/>
          <w:i w:val="0"/>
          <w:sz w:val="19"/>
        </w:rPr>
        <w:t xml:space="preserve"> Install 101.4, Service 134.9, Leadership 21.0. The alternative data cannot do this job; its field coverage is 0.28x–0.45x.</w:t>
      </w:r>
    </w:p>
    <w:p>
      <w:pPr>
        <w:keepNext w:val="0"/>
        <w:spacing w:line="264" w:lineRule="auto" w:before="0" w:after="80"/>
      </w:pPr>
      <w:r>
        <w:rPr>
          <w:b/>
          <w:i w:val="0"/>
          <w:sz w:val="19"/>
        </w:rPr>
        <w:t>Level ladder — Bayside and Pinnacle, from Part 1.</w:t>
      </w:r>
      <w:r>
        <w:rPr>
          <w:b w:val="0"/>
          <w:i w:val="0"/>
          <w:sz w:val="19"/>
        </w:rPr>
        <w:t xml:space="preserve"> Great Lakes records every role level as </w:t>
      </w:r>
      <w:r>
        <w:rPr>
          <w:rFonts w:ascii="Consolas" w:hAnsi="Consolas"/>
          <w:b w:val="0"/>
          <w:i w:val="0"/>
          <w:sz w:val="18"/>
        </w:rPr>
        <w:t>Unspecified</w:t>
      </w:r>
      <w:r>
        <w:rPr>
          <w:b w:val="0"/>
          <w:i w:val="0"/>
          <w:sz w:val="19"/>
        </w:rPr>
        <w:t>, so the ladder is borrowed: Bayside for HVAC (Service Tech I/II/III at 22/59/19, Installer I/II/Lead at 23/61/16) and Pinnacle for plumbing (Apprentice/Journeyman/Master at 19/61/21).</w:t>
      </w:r>
    </w:p>
    <w:p>
      <w:pPr>
        <w:keepNext w:val="0"/>
        <w:spacing w:line="264" w:lineRule="auto" w:before="0" w:after="80"/>
      </w:pPr>
      <w:r>
        <w:rPr>
          <w:b/>
          <w:i w:val="0"/>
          <w:sz w:val="19"/>
        </w:rPr>
        <w:t>Trade split — Great Lakes actuals blended with the Cardinal title mix.</w:t>
      </w:r>
      <w:r>
        <w:rPr>
          <w:b w:val="0"/>
          <w:i w:val="0"/>
          <w:sz w:val="19"/>
        </w:rPr>
        <w:t xml:space="preserve"> Great Lakes runs 68% HVAC in service, Cardinal's live titles 87%; the model uses 75%. Install is all HVAC because neither source shows a plumbing install crew — a finding to confirm, not a certainty.</w:t>
      </w:r>
    </w:p>
    <w:p>
      <w:pPr>
        <w:keepNext w:val="0"/>
        <w:spacing w:line="264" w:lineRule="auto" w:before="0" w:after="80"/>
      </w:pPr>
      <w:r>
        <w:rPr>
          <w:b/>
          <w:i w:val="0"/>
          <w:sz w:val="19"/>
        </w:rPr>
        <w:t>Pay — Great Lakes medians, re-indexed on BLS.</w:t>
      </w:r>
      <w:r>
        <w:rPr>
          <w:b w:val="0"/>
          <w:i w:val="0"/>
          <w:sz w:val="19"/>
        </w:rPr>
        <w:t xml:space="preserve"> The comp's median base by role is the anchor; the borrowed ladders contribute only the </w:t>
      </w:r>
      <w:r>
        <w:rPr>
          <w:b w:val="0"/>
          <w:i/>
          <w:sz w:val="19"/>
        </w:rPr>
        <w:t>ratio</w:t>
      </w:r>
      <w:r>
        <w:rPr>
          <w:b w:val="0"/>
          <w:i w:val="0"/>
          <w:sz w:val="19"/>
        </w:rPr>
        <w:t xml:space="preserve"> of each level to that median, because level premia travel across geographies far better than absolute pay does. BLS OEWS May 2025 for SOC 49-9021, weighted on Cardinal's own branch footprint, gives </w:t>
      </w:r>
      <w:r>
        <w:rPr>
          <w:b/>
          <w:i w:val="0"/>
          <w:sz w:val="19"/>
        </w:rPr>
        <w:t>$61,595 against Michigan's $60,850 — an index of 1.012</w:t>
      </w:r>
      <w:r>
        <w:rPr>
          <w:b w:val="0"/>
          <w:i w:val="0"/>
          <w:sz w:val="19"/>
        </w:rPr>
        <w:t xml:space="preserve"> (Cincinnati $62,240, Columbus $64,440, Dayton $62,500, Lexington $60,280, Louisville $58,930). Geography is second-order here, and now it is cited rather than asserted.</w:t>
      </w:r>
    </w:p>
    <w:p>
      <w:pPr>
        <w:keepNext w:val="0"/>
        <w:spacing w:line="264" w:lineRule="auto" w:before="0" w:after="80"/>
      </w:pPr>
      <w:r>
        <w:rPr>
          <w:b/>
          <w:i w:val="0"/>
          <w:sz w:val="19"/>
        </w:rPr>
        <w:t>Load factors — the Part 1 P&amp;L.</w:t>
      </w:r>
      <w:r>
        <w:rPr>
          <w:b w:val="0"/>
          <w:i w:val="0"/>
          <w:sz w:val="19"/>
        </w:rPr>
        <w:t xml:space="preserve"> Applied exactly as Part 1 applies them: overtime, commissions, bonus and taxes as a percentage of base, benefits per head rather than as a rate. The resulting factors run 1.38x to 1.51x.</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1656"/>
        <w:gridCol w:w="1656"/>
        <w:gridCol w:w="1656"/>
        <w:gridCol w:w="1656"/>
        <w:gridCol w:w="1656"/>
        <w:gridCol w:w="1656"/>
      </w:tblGrid>
      <w:tr>
        <w:tc>
          <w:tcPr>
            <w:tcW w:type="dxa" w:w="1656"/>
            <w:shd w:val="clear" w:fill="EEEEEE"/>
          </w:tcPr>
          <w:p>
            <w:pPr>
              <w:keepNext/>
              <w:spacing w:line="264" w:lineRule="auto" w:before="0" w:after="0"/>
              <w:jc w:val="left"/>
            </w:pPr>
            <w:r/>
            <w:r>
              <w:rPr>
                <w:b/>
                <w:i w:val="0"/>
                <w:sz w:val="18"/>
              </w:rPr>
              <w:t>Role</w:t>
            </w:r>
          </w:p>
        </w:tc>
        <w:tc>
          <w:tcPr>
            <w:tcW w:type="dxa" w:w="1656"/>
            <w:shd w:val="clear" w:fill="EEEEEE"/>
          </w:tcPr>
          <w:p>
            <w:pPr>
              <w:keepNext/>
              <w:spacing w:line="264" w:lineRule="auto" w:before="0" w:after="0"/>
              <w:jc w:val="left"/>
            </w:pPr>
            <w:r/>
            <w:r>
              <w:rPr>
                <w:b/>
                <w:i w:val="0"/>
                <w:sz w:val="18"/>
              </w:rPr>
              <w:t>Level</w:t>
            </w:r>
          </w:p>
        </w:tc>
        <w:tc>
          <w:tcPr>
            <w:tcW w:type="dxa" w:w="1656"/>
            <w:shd w:val="clear" w:fill="EEEEEE"/>
          </w:tcPr>
          <w:p>
            <w:pPr>
              <w:keepNext/>
              <w:spacing w:line="264" w:lineRule="auto" w:before="0" w:after="0"/>
              <w:jc w:val="right"/>
            </w:pPr>
            <w:r/>
            <w:r>
              <w:rPr>
                <w:b/>
                <w:i w:val="0"/>
                <w:sz w:val="18"/>
              </w:rPr>
              <w:t>Positions</w:t>
            </w:r>
          </w:p>
        </w:tc>
        <w:tc>
          <w:tcPr>
            <w:tcW w:type="dxa" w:w="1656"/>
            <w:shd w:val="clear" w:fill="EEEEEE"/>
          </w:tcPr>
          <w:p>
            <w:pPr>
              <w:keepNext/>
              <w:spacing w:line="264" w:lineRule="auto" w:before="0" w:after="0"/>
              <w:jc w:val="right"/>
            </w:pPr>
            <w:r/>
            <w:r>
              <w:rPr>
                <w:b/>
                <w:i w:val="0"/>
                <w:sz w:val="18"/>
              </w:rPr>
              <w:t>Annual base</w:t>
            </w:r>
          </w:p>
        </w:tc>
        <w:tc>
          <w:tcPr>
            <w:tcW w:type="dxa" w:w="1656"/>
            <w:shd w:val="clear" w:fill="EEEEEE"/>
          </w:tcPr>
          <w:p>
            <w:pPr>
              <w:keepNext/>
              <w:spacing w:line="264" w:lineRule="auto" w:before="0" w:after="0"/>
              <w:jc w:val="right"/>
            </w:pPr>
            <w:r/>
            <w:r>
              <w:rPr>
                <w:b/>
                <w:i w:val="0"/>
                <w:sz w:val="18"/>
              </w:rPr>
              <w:t>Fully loaded</w:t>
            </w:r>
          </w:p>
        </w:tc>
        <w:tc>
          <w:tcPr>
            <w:tcW w:type="dxa" w:w="1656"/>
            <w:shd w:val="clear" w:fill="EEEEEE"/>
          </w:tcPr>
          <w:p>
            <w:pPr>
              <w:keepNext/>
              <w:spacing w:line="264" w:lineRule="auto" w:before="0" w:after="0"/>
              <w:jc w:val="right"/>
            </w:pPr>
            <w:r/>
            <w:r>
              <w:rPr>
                <w:b/>
                <w:i w:val="0"/>
                <w:sz w:val="18"/>
              </w:rPr>
              <w:t>Total</w:t>
            </w:r>
          </w:p>
        </w:tc>
      </w:tr>
      <w:tr>
        <w:tc>
          <w:tcPr>
            <w:tcW w:type="dxa" w:w="1656"/>
          </w:tcPr>
          <w:p>
            <w:pPr>
              <w:keepNext w:val="0"/>
              <w:spacing w:line="264" w:lineRule="auto" w:before="0" w:after="0"/>
              <w:jc w:val="left"/>
            </w:pPr>
            <w:r/>
            <w:r>
              <w:rPr>
                <w:b w:val="0"/>
                <w:i w:val="0"/>
                <w:sz w:val="18"/>
              </w:rPr>
              <w:t>HVAC Installer</w:t>
            </w:r>
          </w:p>
        </w:tc>
        <w:tc>
          <w:tcPr>
            <w:tcW w:type="dxa" w:w="1656"/>
          </w:tcPr>
          <w:p>
            <w:pPr>
              <w:keepNext w:val="0"/>
              <w:spacing w:line="264" w:lineRule="auto" w:before="0" w:after="0"/>
              <w:jc w:val="left"/>
            </w:pPr>
            <w:r/>
            <w:r>
              <w:rPr>
                <w:b w:val="0"/>
                <w:i w:val="0"/>
                <w:sz w:val="18"/>
              </w:rPr>
              <w:t>I</w:t>
            </w:r>
          </w:p>
        </w:tc>
        <w:tc>
          <w:tcPr>
            <w:tcW w:type="dxa" w:w="1656"/>
          </w:tcPr>
          <w:p>
            <w:pPr>
              <w:keepNext w:val="0"/>
              <w:spacing w:line="264" w:lineRule="auto" w:before="0" w:after="0"/>
              <w:jc w:val="right"/>
            </w:pPr>
            <w:r/>
            <w:r>
              <w:rPr>
                <w:b w:val="0"/>
                <w:i w:val="0"/>
                <w:sz w:val="18"/>
              </w:rPr>
              <w:t>23.0</w:t>
            </w:r>
          </w:p>
        </w:tc>
        <w:tc>
          <w:tcPr>
            <w:tcW w:type="dxa" w:w="1656"/>
          </w:tcPr>
          <w:p>
            <w:pPr>
              <w:keepNext w:val="0"/>
              <w:spacing w:line="264" w:lineRule="auto" w:before="0" w:after="0"/>
              <w:jc w:val="right"/>
            </w:pPr>
            <w:r/>
            <w:r>
              <w:rPr>
                <w:b w:val="0"/>
                <w:i w:val="0"/>
                <w:sz w:val="18"/>
              </w:rPr>
              <w:t>$41,550</w:t>
            </w:r>
          </w:p>
        </w:tc>
        <w:tc>
          <w:tcPr>
            <w:tcW w:type="dxa" w:w="1656"/>
          </w:tcPr>
          <w:p>
            <w:pPr>
              <w:keepNext w:val="0"/>
              <w:spacing w:line="264" w:lineRule="auto" w:before="0" w:after="0"/>
              <w:jc w:val="right"/>
            </w:pPr>
            <w:r/>
            <w:r>
              <w:rPr>
                <w:b w:val="0"/>
                <w:i w:val="0"/>
                <w:sz w:val="18"/>
              </w:rPr>
              <w:t>$61,604</w:t>
            </w:r>
          </w:p>
        </w:tc>
        <w:tc>
          <w:tcPr>
            <w:tcW w:type="dxa" w:w="1656"/>
          </w:tcPr>
          <w:p>
            <w:pPr>
              <w:keepNext w:val="0"/>
              <w:spacing w:line="264" w:lineRule="auto" w:before="0" w:after="0"/>
              <w:jc w:val="right"/>
            </w:pPr>
            <w:r/>
            <w:r>
              <w:rPr>
                <w:b w:val="0"/>
                <w:i w:val="0"/>
                <w:sz w:val="18"/>
              </w:rPr>
              <w:t>$1.42M</w:t>
            </w:r>
          </w:p>
        </w:tc>
      </w:tr>
      <w:tr>
        <w:tc>
          <w:tcPr>
            <w:tcW w:type="dxa" w:w="1656"/>
          </w:tcPr>
          <w:p>
            <w:pPr>
              <w:keepNext w:val="0"/>
              <w:spacing w:line="264" w:lineRule="auto" w:before="0" w:after="0"/>
              <w:jc w:val="left"/>
            </w:pPr>
            <w:r/>
            <w:r>
              <w:rPr>
                <w:b w:val="0"/>
                <w:i w:val="0"/>
                <w:sz w:val="18"/>
              </w:rPr>
              <w:t>HVAC Installer</w:t>
            </w:r>
          </w:p>
        </w:tc>
        <w:tc>
          <w:tcPr>
            <w:tcW w:type="dxa" w:w="1656"/>
          </w:tcPr>
          <w:p>
            <w:pPr>
              <w:keepNext w:val="0"/>
              <w:spacing w:line="264" w:lineRule="auto" w:before="0" w:after="0"/>
              <w:jc w:val="left"/>
            </w:pPr>
            <w:r/>
            <w:r>
              <w:rPr>
                <w:b w:val="0"/>
                <w:i w:val="0"/>
                <w:sz w:val="18"/>
              </w:rPr>
              <w:t>II</w:t>
            </w:r>
          </w:p>
        </w:tc>
        <w:tc>
          <w:tcPr>
            <w:tcW w:type="dxa" w:w="1656"/>
          </w:tcPr>
          <w:p>
            <w:pPr>
              <w:keepNext w:val="0"/>
              <w:spacing w:line="264" w:lineRule="auto" w:before="0" w:after="0"/>
              <w:jc w:val="right"/>
            </w:pPr>
            <w:r/>
            <w:r>
              <w:rPr>
                <w:b w:val="0"/>
                <w:i w:val="0"/>
                <w:sz w:val="18"/>
              </w:rPr>
              <w:t>62.2</w:t>
            </w:r>
          </w:p>
        </w:tc>
        <w:tc>
          <w:tcPr>
            <w:tcW w:type="dxa" w:w="1656"/>
          </w:tcPr>
          <w:p>
            <w:pPr>
              <w:keepNext w:val="0"/>
              <w:spacing w:line="264" w:lineRule="auto" w:before="0" w:after="0"/>
              <w:jc w:val="right"/>
            </w:pPr>
            <w:r/>
            <w:r>
              <w:rPr>
                <w:b w:val="0"/>
                <w:i w:val="0"/>
                <w:sz w:val="18"/>
              </w:rPr>
              <w:t>$55,435</w:t>
            </w:r>
          </w:p>
        </w:tc>
        <w:tc>
          <w:tcPr>
            <w:tcW w:type="dxa" w:w="1656"/>
          </w:tcPr>
          <w:p>
            <w:pPr>
              <w:keepNext w:val="0"/>
              <w:spacing w:line="264" w:lineRule="auto" w:before="0" w:after="0"/>
              <w:jc w:val="right"/>
            </w:pPr>
            <w:r/>
            <w:r>
              <w:rPr>
                <w:b w:val="0"/>
                <w:i w:val="0"/>
                <w:sz w:val="18"/>
              </w:rPr>
              <w:t>$79,613</w:t>
            </w:r>
          </w:p>
        </w:tc>
        <w:tc>
          <w:tcPr>
            <w:tcW w:type="dxa" w:w="1656"/>
          </w:tcPr>
          <w:p>
            <w:pPr>
              <w:keepNext w:val="0"/>
              <w:spacing w:line="264" w:lineRule="auto" w:before="0" w:after="0"/>
              <w:jc w:val="right"/>
            </w:pPr>
            <w:r/>
            <w:r>
              <w:rPr>
                <w:b w:val="0"/>
                <w:i w:val="0"/>
                <w:sz w:val="18"/>
              </w:rPr>
              <w:t>$4.95M</w:t>
            </w:r>
          </w:p>
        </w:tc>
      </w:tr>
      <w:tr>
        <w:tc>
          <w:tcPr>
            <w:tcW w:type="dxa" w:w="1656"/>
          </w:tcPr>
          <w:p>
            <w:pPr>
              <w:keepNext w:val="0"/>
              <w:spacing w:line="264" w:lineRule="auto" w:before="0" w:after="0"/>
              <w:jc w:val="left"/>
            </w:pPr>
            <w:r/>
            <w:r>
              <w:rPr>
                <w:b w:val="0"/>
                <w:i w:val="0"/>
                <w:sz w:val="18"/>
              </w:rPr>
              <w:t>HVAC Installer</w:t>
            </w:r>
          </w:p>
        </w:tc>
        <w:tc>
          <w:tcPr>
            <w:tcW w:type="dxa" w:w="1656"/>
          </w:tcPr>
          <w:p>
            <w:pPr>
              <w:keepNext w:val="0"/>
              <w:spacing w:line="264" w:lineRule="auto" w:before="0" w:after="0"/>
              <w:jc w:val="left"/>
            </w:pPr>
            <w:r/>
            <w:r>
              <w:rPr>
                <w:b w:val="0"/>
                <w:i w:val="0"/>
                <w:sz w:val="18"/>
              </w:rPr>
              <w:t>Lead</w:t>
            </w:r>
          </w:p>
        </w:tc>
        <w:tc>
          <w:tcPr>
            <w:tcW w:type="dxa" w:w="1656"/>
          </w:tcPr>
          <w:p>
            <w:pPr>
              <w:keepNext w:val="0"/>
              <w:spacing w:line="264" w:lineRule="auto" w:before="0" w:after="0"/>
              <w:jc w:val="right"/>
            </w:pPr>
            <w:r/>
            <w:r>
              <w:rPr>
                <w:b w:val="0"/>
                <w:i w:val="0"/>
                <w:sz w:val="18"/>
              </w:rPr>
              <w:t>16.1</w:t>
            </w:r>
          </w:p>
        </w:tc>
        <w:tc>
          <w:tcPr>
            <w:tcW w:type="dxa" w:w="1656"/>
          </w:tcPr>
          <w:p>
            <w:pPr>
              <w:keepNext w:val="0"/>
              <w:spacing w:line="264" w:lineRule="auto" w:before="0" w:after="0"/>
              <w:jc w:val="right"/>
            </w:pPr>
            <w:r/>
            <w:r>
              <w:rPr>
                <w:b w:val="0"/>
                <w:i w:val="0"/>
                <w:sz w:val="18"/>
              </w:rPr>
              <w:t>$89,575</w:t>
            </w:r>
          </w:p>
        </w:tc>
        <w:tc>
          <w:tcPr>
            <w:tcW w:type="dxa" w:w="1656"/>
          </w:tcPr>
          <w:p>
            <w:pPr>
              <w:keepNext w:val="0"/>
              <w:spacing w:line="264" w:lineRule="auto" w:before="0" w:after="0"/>
              <w:jc w:val="right"/>
            </w:pPr>
            <w:r/>
            <w:r>
              <w:rPr>
                <w:b w:val="0"/>
                <w:i w:val="0"/>
                <w:sz w:val="18"/>
              </w:rPr>
              <w:t>$123,892</w:t>
            </w:r>
          </w:p>
        </w:tc>
        <w:tc>
          <w:tcPr>
            <w:tcW w:type="dxa" w:w="1656"/>
          </w:tcPr>
          <w:p>
            <w:pPr>
              <w:keepNext w:val="0"/>
              <w:spacing w:line="264" w:lineRule="auto" w:before="0" w:after="0"/>
              <w:jc w:val="right"/>
            </w:pPr>
            <w:r/>
            <w:r>
              <w:rPr>
                <w:b w:val="0"/>
                <w:i w:val="0"/>
                <w:sz w:val="18"/>
              </w:rPr>
              <w:t>$2.00M</w:t>
            </w:r>
          </w:p>
        </w:tc>
      </w:tr>
      <w:tr>
        <w:tc>
          <w:tcPr>
            <w:tcW w:type="dxa" w:w="1656"/>
          </w:tcPr>
          <w:p>
            <w:pPr>
              <w:keepNext w:val="0"/>
              <w:spacing w:line="264" w:lineRule="auto" w:before="0" w:after="0"/>
              <w:jc w:val="left"/>
            </w:pPr>
            <w:r/>
            <w:r>
              <w:rPr>
                <w:b w:val="0"/>
                <w:i w:val="0"/>
                <w:sz w:val="18"/>
              </w:rPr>
              <w:t>HVAC Service Technician</w:t>
            </w:r>
          </w:p>
        </w:tc>
        <w:tc>
          <w:tcPr>
            <w:tcW w:type="dxa" w:w="1656"/>
          </w:tcPr>
          <w:p>
            <w:pPr>
              <w:keepNext w:val="0"/>
              <w:spacing w:line="264" w:lineRule="auto" w:before="0" w:after="0"/>
              <w:jc w:val="left"/>
            </w:pPr>
            <w:r/>
            <w:r>
              <w:rPr>
                <w:b w:val="0"/>
                <w:i w:val="0"/>
                <w:sz w:val="18"/>
              </w:rPr>
              <w:t>I</w:t>
            </w:r>
          </w:p>
        </w:tc>
        <w:tc>
          <w:tcPr>
            <w:tcW w:type="dxa" w:w="1656"/>
          </w:tcPr>
          <w:p>
            <w:pPr>
              <w:keepNext w:val="0"/>
              <w:spacing w:line="264" w:lineRule="auto" w:before="0" w:after="0"/>
              <w:jc w:val="right"/>
            </w:pPr>
            <w:r/>
            <w:r>
              <w:rPr>
                <w:b w:val="0"/>
                <w:i w:val="0"/>
                <w:sz w:val="18"/>
              </w:rPr>
              <w:t>22.3</w:t>
            </w:r>
          </w:p>
        </w:tc>
        <w:tc>
          <w:tcPr>
            <w:tcW w:type="dxa" w:w="1656"/>
          </w:tcPr>
          <w:p>
            <w:pPr>
              <w:keepNext w:val="0"/>
              <w:spacing w:line="264" w:lineRule="auto" w:before="0" w:after="0"/>
              <w:jc w:val="right"/>
            </w:pPr>
            <w:r/>
            <w:r>
              <w:rPr>
                <w:b w:val="0"/>
                <w:i w:val="0"/>
                <w:sz w:val="18"/>
              </w:rPr>
              <w:t>$42,215</w:t>
            </w:r>
          </w:p>
        </w:tc>
        <w:tc>
          <w:tcPr>
            <w:tcW w:type="dxa" w:w="1656"/>
          </w:tcPr>
          <w:p>
            <w:pPr>
              <w:keepNext w:val="0"/>
              <w:spacing w:line="264" w:lineRule="auto" w:before="0" w:after="0"/>
              <w:jc w:val="right"/>
            </w:pPr>
            <w:r/>
            <w:r>
              <w:rPr>
                <w:b w:val="0"/>
                <w:i w:val="0"/>
                <w:sz w:val="18"/>
              </w:rPr>
              <w:t>$63,716</w:t>
            </w:r>
          </w:p>
        </w:tc>
        <w:tc>
          <w:tcPr>
            <w:tcW w:type="dxa" w:w="1656"/>
          </w:tcPr>
          <w:p>
            <w:pPr>
              <w:keepNext w:val="0"/>
              <w:spacing w:line="264" w:lineRule="auto" w:before="0" w:after="0"/>
              <w:jc w:val="right"/>
            </w:pPr>
            <w:r/>
            <w:r>
              <w:rPr>
                <w:b w:val="0"/>
                <w:i w:val="0"/>
                <w:sz w:val="18"/>
              </w:rPr>
              <w:t>$1.42M</w:t>
            </w:r>
          </w:p>
        </w:tc>
      </w:tr>
      <w:tr>
        <w:tc>
          <w:tcPr>
            <w:tcW w:type="dxa" w:w="1656"/>
          </w:tcPr>
          <w:p>
            <w:pPr>
              <w:keepNext w:val="0"/>
              <w:spacing w:line="264" w:lineRule="auto" w:before="0" w:after="0"/>
              <w:jc w:val="left"/>
            </w:pPr>
            <w:r/>
            <w:r>
              <w:rPr>
                <w:b w:val="0"/>
                <w:i w:val="0"/>
                <w:sz w:val="18"/>
              </w:rPr>
              <w:t>HVAC Service Technician</w:t>
            </w:r>
          </w:p>
        </w:tc>
        <w:tc>
          <w:tcPr>
            <w:tcW w:type="dxa" w:w="1656"/>
          </w:tcPr>
          <w:p>
            <w:pPr>
              <w:keepNext w:val="0"/>
              <w:spacing w:line="264" w:lineRule="auto" w:before="0" w:after="0"/>
              <w:jc w:val="left"/>
            </w:pPr>
            <w:r/>
            <w:r>
              <w:rPr>
                <w:b w:val="0"/>
                <w:i w:val="0"/>
                <w:sz w:val="18"/>
              </w:rPr>
              <w:t>II</w:t>
            </w:r>
          </w:p>
        </w:tc>
        <w:tc>
          <w:tcPr>
            <w:tcW w:type="dxa" w:w="1656"/>
          </w:tcPr>
          <w:p>
            <w:pPr>
              <w:keepNext w:val="0"/>
              <w:spacing w:line="264" w:lineRule="auto" w:before="0" w:after="0"/>
              <w:jc w:val="right"/>
            </w:pPr>
            <w:r/>
            <w:r>
              <w:rPr>
                <w:b w:val="0"/>
                <w:i w:val="0"/>
                <w:sz w:val="18"/>
              </w:rPr>
              <w:t>60.0</w:t>
            </w:r>
          </w:p>
        </w:tc>
        <w:tc>
          <w:tcPr>
            <w:tcW w:type="dxa" w:w="1656"/>
          </w:tcPr>
          <w:p>
            <w:pPr>
              <w:keepNext w:val="0"/>
              <w:spacing w:line="264" w:lineRule="auto" w:before="0" w:after="0"/>
              <w:jc w:val="right"/>
            </w:pPr>
            <w:r/>
            <w:r>
              <w:rPr>
                <w:b w:val="0"/>
                <w:i w:val="0"/>
                <w:sz w:val="18"/>
              </w:rPr>
              <w:t>$60,600</w:t>
            </w:r>
          </w:p>
        </w:tc>
        <w:tc>
          <w:tcPr>
            <w:tcW w:type="dxa" w:w="1656"/>
          </w:tcPr>
          <w:p>
            <w:pPr>
              <w:keepNext w:val="0"/>
              <w:spacing w:line="264" w:lineRule="auto" w:before="0" w:after="0"/>
              <w:jc w:val="right"/>
            </w:pPr>
            <w:r/>
            <w:r>
              <w:rPr>
                <w:b w:val="0"/>
                <w:i w:val="0"/>
                <w:sz w:val="18"/>
              </w:rPr>
              <w:t>$87,866</w:t>
            </w:r>
          </w:p>
        </w:tc>
        <w:tc>
          <w:tcPr>
            <w:tcW w:type="dxa" w:w="1656"/>
          </w:tcPr>
          <w:p>
            <w:pPr>
              <w:keepNext w:val="0"/>
              <w:spacing w:line="264" w:lineRule="auto" w:before="0" w:after="0"/>
              <w:jc w:val="right"/>
            </w:pPr>
            <w:r/>
            <w:r>
              <w:rPr>
                <w:b w:val="0"/>
                <w:i w:val="0"/>
                <w:sz w:val="18"/>
              </w:rPr>
              <w:t>$5.27M</w:t>
            </w:r>
          </w:p>
        </w:tc>
      </w:tr>
      <w:tr>
        <w:tc>
          <w:tcPr>
            <w:tcW w:type="dxa" w:w="1656"/>
          </w:tcPr>
          <w:p>
            <w:pPr>
              <w:keepNext w:val="0"/>
              <w:spacing w:line="264" w:lineRule="auto" w:before="0" w:after="0"/>
              <w:jc w:val="left"/>
            </w:pPr>
            <w:r/>
            <w:r>
              <w:rPr>
                <w:b w:val="0"/>
                <w:i w:val="0"/>
                <w:sz w:val="18"/>
              </w:rPr>
              <w:t>HVAC Service Technician</w:t>
            </w:r>
          </w:p>
        </w:tc>
        <w:tc>
          <w:tcPr>
            <w:tcW w:type="dxa" w:w="1656"/>
          </w:tcPr>
          <w:p>
            <w:pPr>
              <w:keepNext w:val="0"/>
              <w:spacing w:line="264" w:lineRule="auto" w:before="0" w:after="0"/>
              <w:jc w:val="left"/>
            </w:pPr>
            <w:r/>
            <w:r>
              <w:rPr>
                <w:b w:val="0"/>
                <w:i w:val="0"/>
                <w:sz w:val="18"/>
              </w:rPr>
              <w:t>III</w:t>
            </w:r>
          </w:p>
        </w:tc>
        <w:tc>
          <w:tcPr>
            <w:tcW w:type="dxa" w:w="1656"/>
          </w:tcPr>
          <w:p>
            <w:pPr>
              <w:keepNext w:val="0"/>
              <w:spacing w:line="264" w:lineRule="auto" w:before="0" w:after="0"/>
              <w:jc w:val="right"/>
            </w:pPr>
            <w:r/>
            <w:r>
              <w:rPr>
                <w:b w:val="0"/>
                <w:i w:val="0"/>
                <w:sz w:val="18"/>
              </w:rPr>
              <w:t>18.8</w:t>
            </w:r>
          </w:p>
        </w:tc>
        <w:tc>
          <w:tcPr>
            <w:tcW w:type="dxa" w:w="1656"/>
          </w:tcPr>
          <w:p>
            <w:pPr>
              <w:keepNext w:val="0"/>
              <w:spacing w:line="264" w:lineRule="auto" w:before="0" w:after="0"/>
              <w:jc w:val="right"/>
            </w:pPr>
            <w:r/>
            <w:r>
              <w:rPr>
                <w:b w:val="0"/>
                <w:i w:val="0"/>
                <w:sz w:val="18"/>
              </w:rPr>
              <w:t>$79,805</w:t>
            </w:r>
          </w:p>
        </w:tc>
        <w:tc>
          <w:tcPr>
            <w:tcW w:type="dxa" w:w="1656"/>
          </w:tcPr>
          <w:p>
            <w:pPr>
              <w:keepNext w:val="0"/>
              <w:spacing w:line="264" w:lineRule="auto" w:before="0" w:after="0"/>
              <w:jc w:val="right"/>
            </w:pPr>
            <w:r/>
            <w:r>
              <w:rPr>
                <w:b w:val="0"/>
                <w:i w:val="0"/>
                <w:sz w:val="18"/>
              </w:rPr>
              <w:t>$113,094</w:t>
            </w:r>
          </w:p>
        </w:tc>
        <w:tc>
          <w:tcPr>
            <w:tcW w:type="dxa" w:w="1656"/>
          </w:tcPr>
          <w:p>
            <w:pPr>
              <w:keepNext w:val="0"/>
              <w:spacing w:line="264" w:lineRule="auto" w:before="0" w:after="0"/>
              <w:jc w:val="right"/>
            </w:pPr>
            <w:r/>
            <w:r>
              <w:rPr>
                <w:b w:val="0"/>
                <w:i w:val="0"/>
                <w:sz w:val="18"/>
              </w:rPr>
              <w:t>$2.13M</w:t>
            </w:r>
          </w:p>
        </w:tc>
      </w:tr>
      <w:tr>
        <w:tc>
          <w:tcPr>
            <w:tcW w:type="dxa" w:w="1656"/>
          </w:tcPr>
          <w:p>
            <w:pPr>
              <w:keepNext w:val="0"/>
              <w:spacing w:line="264" w:lineRule="auto" w:before="0" w:after="0"/>
              <w:jc w:val="left"/>
            </w:pPr>
            <w:r/>
            <w:r>
              <w:rPr>
                <w:b w:val="0"/>
                <w:i w:val="0"/>
                <w:sz w:val="18"/>
              </w:rPr>
              <w:t>Plumbing Service Technician</w:t>
            </w:r>
          </w:p>
        </w:tc>
        <w:tc>
          <w:tcPr>
            <w:tcW w:type="dxa" w:w="1656"/>
          </w:tcPr>
          <w:p>
            <w:pPr>
              <w:keepNext w:val="0"/>
              <w:spacing w:line="264" w:lineRule="auto" w:before="0" w:after="0"/>
              <w:jc w:val="left"/>
            </w:pPr>
            <w:r/>
            <w:r>
              <w:rPr>
                <w:b w:val="0"/>
                <w:i w:val="0"/>
                <w:sz w:val="18"/>
              </w:rPr>
              <w:t>Apprentice</w:t>
            </w:r>
          </w:p>
        </w:tc>
        <w:tc>
          <w:tcPr>
            <w:tcW w:type="dxa" w:w="1656"/>
          </w:tcPr>
          <w:p>
            <w:pPr>
              <w:keepNext w:val="0"/>
              <w:spacing w:line="264" w:lineRule="auto" w:before="0" w:after="0"/>
              <w:jc w:val="right"/>
            </w:pPr>
            <w:r/>
            <w:r>
              <w:rPr>
                <w:b w:val="0"/>
                <w:i w:val="0"/>
                <w:sz w:val="18"/>
              </w:rPr>
              <w:t>6.7</w:t>
            </w:r>
          </w:p>
        </w:tc>
        <w:tc>
          <w:tcPr>
            <w:tcW w:type="dxa" w:w="1656"/>
          </w:tcPr>
          <w:p>
            <w:pPr>
              <w:keepNext w:val="0"/>
              <w:spacing w:line="264" w:lineRule="auto" w:before="0" w:after="0"/>
              <w:jc w:val="right"/>
            </w:pPr>
            <w:r/>
            <w:r>
              <w:rPr>
                <w:b w:val="0"/>
                <w:i w:val="0"/>
                <w:sz w:val="18"/>
              </w:rPr>
              <w:t>$43,074</w:t>
            </w:r>
          </w:p>
        </w:tc>
        <w:tc>
          <w:tcPr>
            <w:tcW w:type="dxa" w:w="1656"/>
          </w:tcPr>
          <w:p>
            <w:pPr>
              <w:keepNext w:val="0"/>
              <w:spacing w:line="264" w:lineRule="auto" w:before="0" w:after="0"/>
              <w:jc w:val="right"/>
            </w:pPr>
            <w:r/>
            <w:r>
              <w:rPr>
                <w:b w:val="0"/>
                <w:i w:val="0"/>
                <w:sz w:val="18"/>
              </w:rPr>
              <w:t>$64,844</w:t>
            </w:r>
          </w:p>
        </w:tc>
        <w:tc>
          <w:tcPr>
            <w:tcW w:type="dxa" w:w="1656"/>
          </w:tcPr>
          <w:p>
            <w:pPr>
              <w:keepNext w:val="0"/>
              <w:spacing w:line="264" w:lineRule="auto" w:before="0" w:after="0"/>
              <w:jc w:val="right"/>
            </w:pPr>
            <w:r/>
            <w:r>
              <w:rPr>
                <w:b w:val="0"/>
                <w:i w:val="0"/>
                <w:sz w:val="18"/>
              </w:rPr>
              <w:t>$0.43M</w:t>
            </w:r>
          </w:p>
        </w:tc>
      </w:tr>
      <w:tr>
        <w:tc>
          <w:tcPr>
            <w:tcW w:type="dxa" w:w="1656"/>
          </w:tcPr>
          <w:p>
            <w:pPr>
              <w:keepNext w:val="0"/>
              <w:spacing w:line="264" w:lineRule="auto" w:before="0" w:after="0"/>
              <w:jc w:val="left"/>
            </w:pPr>
            <w:r/>
            <w:r>
              <w:rPr>
                <w:b w:val="0"/>
                <w:i w:val="0"/>
                <w:sz w:val="18"/>
              </w:rPr>
              <w:t>Plumbing Service Technician</w:t>
            </w:r>
          </w:p>
        </w:tc>
        <w:tc>
          <w:tcPr>
            <w:tcW w:type="dxa" w:w="1656"/>
          </w:tcPr>
          <w:p>
            <w:pPr>
              <w:keepNext w:val="0"/>
              <w:spacing w:line="264" w:lineRule="auto" w:before="0" w:after="0"/>
              <w:jc w:val="left"/>
            </w:pPr>
            <w:r/>
            <w:r>
              <w:rPr>
                <w:b w:val="0"/>
                <w:i w:val="0"/>
                <w:sz w:val="18"/>
              </w:rPr>
              <w:t>Journeyman</w:t>
            </w:r>
          </w:p>
        </w:tc>
        <w:tc>
          <w:tcPr>
            <w:tcW w:type="dxa" w:w="1656"/>
          </w:tcPr>
          <w:p>
            <w:pPr>
              <w:keepNext w:val="0"/>
              <w:spacing w:line="264" w:lineRule="auto" w:before="0" w:after="0"/>
              <w:jc w:val="right"/>
            </w:pPr>
            <w:r/>
            <w:r>
              <w:rPr>
                <w:b w:val="0"/>
                <w:i w:val="0"/>
                <w:sz w:val="18"/>
              </w:rPr>
              <w:t>19.6</w:t>
            </w:r>
          </w:p>
        </w:tc>
        <w:tc>
          <w:tcPr>
            <w:tcW w:type="dxa" w:w="1656"/>
          </w:tcPr>
          <w:p>
            <w:pPr>
              <w:keepNext w:val="0"/>
              <w:spacing w:line="264" w:lineRule="auto" w:before="0" w:after="0"/>
              <w:jc w:val="right"/>
            </w:pPr>
            <w:r/>
            <w:r>
              <w:rPr>
                <w:b w:val="0"/>
                <w:i w:val="0"/>
                <w:sz w:val="18"/>
              </w:rPr>
              <w:t>$62,840</w:t>
            </w:r>
          </w:p>
        </w:tc>
        <w:tc>
          <w:tcPr>
            <w:tcW w:type="dxa" w:w="1656"/>
          </w:tcPr>
          <w:p>
            <w:pPr>
              <w:keepNext w:val="0"/>
              <w:spacing w:line="264" w:lineRule="auto" w:before="0" w:after="0"/>
              <w:jc w:val="right"/>
            </w:pPr>
            <w:r/>
            <w:r>
              <w:rPr>
                <w:b w:val="0"/>
                <w:i w:val="0"/>
                <w:sz w:val="18"/>
              </w:rPr>
              <w:t>$90,808</w:t>
            </w:r>
          </w:p>
        </w:tc>
        <w:tc>
          <w:tcPr>
            <w:tcW w:type="dxa" w:w="1656"/>
          </w:tcPr>
          <w:p>
            <w:pPr>
              <w:keepNext w:val="0"/>
              <w:spacing w:line="264" w:lineRule="auto" w:before="0" w:after="0"/>
              <w:jc w:val="right"/>
            </w:pPr>
            <w:r/>
            <w:r>
              <w:rPr>
                <w:b w:val="0"/>
                <w:i w:val="0"/>
                <w:sz w:val="18"/>
              </w:rPr>
              <w:t>$1.78M</w:t>
            </w:r>
          </w:p>
        </w:tc>
      </w:tr>
      <w:tr>
        <w:tc>
          <w:tcPr>
            <w:tcW w:type="dxa" w:w="1656"/>
          </w:tcPr>
          <w:p>
            <w:pPr>
              <w:keepNext w:val="0"/>
              <w:spacing w:line="264" w:lineRule="auto" w:before="0" w:after="0"/>
              <w:jc w:val="left"/>
            </w:pPr>
            <w:r/>
            <w:r>
              <w:rPr>
                <w:b w:val="0"/>
                <w:i w:val="0"/>
                <w:sz w:val="18"/>
              </w:rPr>
              <w:t>Plumbing Service Technician</w:t>
            </w:r>
          </w:p>
        </w:tc>
        <w:tc>
          <w:tcPr>
            <w:tcW w:type="dxa" w:w="1656"/>
          </w:tcPr>
          <w:p>
            <w:pPr>
              <w:keepNext w:val="0"/>
              <w:spacing w:line="264" w:lineRule="auto" w:before="0" w:after="0"/>
              <w:jc w:val="left"/>
            </w:pPr>
            <w:r/>
            <w:r>
              <w:rPr>
                <w:b w:val="0"/>
                <w:i w:val="0"/>
                <w:sz w:val="18"/>
              </w:rPr>
              <w:t>Master</w:t>
            </w:r>
          </w:p>
        </w:tc>
        <w:tc>
          <w:tcPr>
            <w:tcW w:type="dxa" w:w="1656"/>
          </w:tcPr>
          <w:p>
            <w:pPr>
              <w:keepNext w:val="0"/>
              <w:spacing w:line="264" w:lineRule="auto" w:before="0" w:after="0"/>
              <w:jc w:val="right"/>
            </w:pPr>
            <w:r/>
            <w:r>
              <w:rPr>
                <w:b w:val="0"/>
                <w:i w:val="0"/>
                <w:sz w:val="18"/>
              </w:rPr>
              <w:t>7.4</w:t>
            </w:r>
          </w:p>
        </w:tc>
        <w:tc>
          <w:tcPr>
            <w:tcW w:type="dxa" w:w="1656"/>
          </w:tcPr>
          <w:p>
            <w:pPr>
              <w:keepNext w:val="0"/>
              <w:spacing w:line="264" w:lineRule="auto" w:before="0" w:after="0"/>
              <w:jc w:val="right"/>
            </w:pPr>
            <w:r/>
            <w:r>
              <w:rPr>
                <w:b w:val="0"/>
                <w:i w:val="0"/>
                <w:sz w:val="18"/>
              </w:rPr>
              <w:t>$86,806</w:t>
            </w:r>
          </w:p>
        </w:tc>
        <w:tc>
          <w:tcPr>
            <w:tcW w:type="dxa" w:w="1656"/>
          </w:tcPr>
          <w:p>
            <w:pPr>
              <w:keepNext w:val="0"/>
              <w:spacing w:line="264" w:lineRule="auto" w:before="0" w:after="0"/>
              <w:jc w:val="right"/>
            </w:pPr>
            <w:r/>
            <w:r>
              <w:rPr>
                <w:b w:val="0"/>
                <w:i w:val="0"/>
                <w:sz w:val="18"/>
              </w:rPr>
              <w:t>$122,290</w:t>
            </w:r>
          </w:p>
        </w:tc>
        <w:tc>
          <w:tcPr>
            <w:tcW w:type="dxa" w:w="1656"/>
          </w:tcPr>
          <w:p>
            <w:pPr>
              <w:keepNext w:val="0"/>
              <w:spacing w:line="264" w:lineRule="auto" w:before="0" w:after="0"/>
              <w:jc w:val="right"/>
            </w:pPr>
            <w:r/>
            <w:r>
              <w:rPr>
                <w:b w:val="0"/>
                <w:i w:val="0"/>
                <w:sz w:val="18"/>
              </w:rPr>
              <w:t>$0.91M</w:t>
            </w:r>
          </w:p>
        </w:tc>
      </w:tr>
      <w:tr>
        <w:tc>
          <w:tcPr>
            <w:tcW w:type="dxa" w:w="1656"/>
          </w:tcPr>
          <w:p>
            <w:pPr>
              <w:keepNext w:val="0"/>
              <w:spacing w:line="264" w:lineRule="auto" w:before="0" w:after="0"/>
              <w:jc w:val="left"/>
            </w:pPr>
            <w:r/>
            <w:r>
              <w:rPr>
                <w:b w:val="0"/>
                <w:i w:val="0"/>
                <w:sz w:val="18"/>
              </w:rPr>
              <w:t>Field Supervisor</w:t>
            </w:r>
          </w:p>
        </w:tc>
        <w:tc>
          <w:tcPr>
            <w:tcW w:type="dxa" w:w="1656"/>
          </w:tcPr>
          <w:p>
            <w:pPr>
              <w:keepNext w:val="0"/>
              <w:spacing w:line="264" w:lineRule="auto" w:before="0" w:after="0"/>
              <w:jc w:val="left"/>
            </w:pPr>
            <w:r/>
            <w:r>
              <w:rPr>
                <w:b w:val="0"/>
                <w:i w:val="0"/>
                <w:sz w:val="18"/>
              </w:rPr>
              <w:t>—</w:t>
            </w:r>
          </w:p>
        </w:tc>
        <w:tc>
          <w:tcPr>
            <w:tcW w:type="dxa" w:w="1656"/>
          </w:tcPr>
          <w:p>
            <w:pPr>
              <w:keepNext w:val="0"/>
              <w:spacing w:line="264" w:lineRule="auto" w:before="0" w:after="0"/>
              <w:jc w:val="right"/>
            </w:pPr>
            <w:r/>
            <w:r>
              <w:rPr>
                <w:b w:val="0"/>
                <w:i w:val="0"/>
                <w:sz w:val="18"/>
              </w:rPr>
              <w:t>7.7</w:t>
            </w:r>
          </w:p>
        </w:tc>
        <w:tc>
          <w:tcPr>
            <w:tcW w:type="dxa" w:w="1656"/>
          </w:tcPr>
          <w:p>
            <w:pPr>
              <w:keepNext w:val="0"/>
              <w:spacing w:line="264" w:lineRule="auto" w:before="0" w:after="0"/>
              <w:jc w:val="right"/>
            </w:pPr>
            <w:r/>
            <w:r>
              <w:rPr>
                <w:b w:val="0"/>
                <w:i w:val="0"/>
                <w:sz w:val="18"/>
              </w:rPr>
              <w:t>$78,955</w:t>
            </w:r>
          </w:p>
        </w:tc>
        <w:tc>
          <w:tcPr>
            <w:tcW w:type="dxa" w:w="1656"/>
          </w:tcPr>
          <w:p>
            <w:pPr>
              <w:keepNext w:val="0"/>
              <w:spacing w:line="264" w:lineRule="auto" w:before="0" w:after="0"/>
              <w:jc w:val="right"/>
            </w:pPr>
            <w:r/>
            <w:r>
              <w:rPr>
                <w:b w:val="0"/>
                <w:i w:val="0"/>
                <w:sz w:val="18"/>
              </w:rPr>
              <w:t>$111,977</w:t>
            </w:r>
          </w:p>
        </w:tc>
        <w:tc>
          <w:tcPr>
            <w:tcW w:type="dxa" w:w="1656"/>
          </w:tcPr>
          <w:p>
            <w:pPr>
              <w:keepNext w:val="0"/>
              <w:spacing w:line="264" w:lineRule="auto" w:before="0" w:after="0"/>
              <w:jc w:val="right"/>
            </w:pPr>
            <w:r/>
            <w:r>
              <w:rPr>
                <w:b w:val="0"/>
                <w:i w:val="0"/>
                <w:sz w:val="18"/>
              </w:rPr>
              <w:t>$0.86M</w:t>
            </w:r>
          </w:p>
        </w:tc>
      </w:tr>
      <w:tr>
        <w:tc>
          <w:tcPr>
            <w:tcW w:type="dxa" w:w="1656"/>
          </w:tcPr>
          <w:p>
            <w:pPr>
              <w:keepNext w:val="0"/>
              <w:spacing w:line="264" w:lineRule="auto" w:before="0" w:after="0"/>
              <w:jc w:val="left"/>
            </w:pPr>
            <w:r/>
            <w:r>
              <w:rPr>
                <w:b w:val="0"/>
                <w:i w:val="0"/>
                <w:sz w:val="18"/>
              </w:rPr>
              <w:t>Install Manager</w:t>
            </w:r>
          </w:p>
        </w:tc>
        <w:tc>
          <w:tcPr>
            <w:tcW w:type="dxa" w:w="1656"/>
          </w:tcPr>
          <w:p>
            <w:pPr>
              <w:keepNext w:val="0"/>
              <w:spacing w:line="264" w:lineRule="auto" w:before="0" w:after="0"/>
              <w:jc w:val="left"/>
            </w:pPr>
            <w:r/>
            <w:r>
              <w:rPr>
                <w:b w:val="0"/>
                <w:i w:val="0"/>
                <w:sz w:val="18"/>
              </w:rPr>
              <w:t>—</w:t>
            </w:r>
          </w:p>
        </w:tc>
        <w:tc>
          <w:tcPr>
            <w:tcW w:type="dxa" w:w="1656"/>
          </w:tcPr>
          <w:p>
            <w:pPr>
              <w:keepNext w:val="0"/>
              <w:spacing w:line="264" w:lineRule="auto" w:before="0" w:after="0"/>
              <w:jc w:val="right"/>
            </w:pPr>
            <w:r/>
            <w:r>
              <w:rPr>
                <w:b w:val="0"/>
                <w:i w:val="0"/>
                <w:sz w:val="18"/>
              </w:rPr>
              <w:t>6.7</w:t>
            </w:r>
          </w:p>
        </w:tc>
        <w:tc>
          <w:tcPr>
            <w:tcW w:type="dxa" w:w="1656"/>
          </w:tcPr>
          <w:p>
            <w:pPr>
              <w:keepNext w:val="0"/>
              <w:spacing w:line="264" w:lineRule="auto" w:before="0" w:after="0"/>
              <w:jc w:val="right"/>
            </w:pPr>
            <w:r/>
            <w:r>
              <w:rPr>
                <w:b w:val="0"/>
                <w:i w:val="0"/>
                <w:sz w:val="18"/>
              </w:rPr>
              <w:t>$85,028</w:t>
            </w:r>
          </w:p>
        </w:tc>
        <w:tc>
          <w:tcPr>
            <w:tcW w:type="dxa" w:w="1656"/>
          </w:tcPr>
          <w:p>
            <w:pPr>
              <w:keepNext w:val="0"/>
              <w:spacing w:line="264" w:lineRule="auto" w:before="0" w:after="0"/>
              <w:jc w:val="right"/>
            </w:pPr>
            <w:r/>
            <w:r>
              <w:rPr>
                <w:b w:val="0"/>
                <w:i w:val="0"/>
                <w:sz w:val="18"/>
              </w:rPr>
              <w:t>$119,955</w:t>
            </w:r>
          </w:p>
        </w:tc>
        <w:tc>
          <w:tcPr>
            <w:tcW w:type="dxa" w:w="1656"/>
          </w:tcPr>
          <w:p>
            <w:pPr>
              <w:keepNext w:val="0"/>
              <w:spacing w:line="264" w:lineRule="auto" w:before="0" w:after="0"/>
              <w:jc w:val="right"/>
            </w:pPr>
            <w:r/>
            <w:r>
              <w:rPr>
                <w:b w:val="0"/>
                <w:i w:val="0"/>
                <w:sz w:val="18"/>
              </w:rPr>
              <w:t>$0.80M</w:t>
            </w:r>
          </w:p>
        </w:tc>
      </w:tr>
      <w:tr>
        <w:tc>
          <w:tcPr>
            <w:tcW w:type="dxa" w:w="1656"/>
          </w:tcPr>
          <w:p>
            <w:pPr>
              <w:keepNext w:val="0"/>
              <w:spacing w:line="264" w:lineRule="auto" w:before="0" w:after="0"/>
              <w:jc w:val="left"/>
            </w:pPr>
            <w:r/>
            <w:r>
              <w:rPr>
                <w:b w:val="0"/>
                <w:i w:val="0"/>
                <w:sz w:val="18"/>
              </w:rPr>
              <w:t>Service Manager</w:t>
            </w:r>
          </w:p>
        </w:tc>
        <w:tc>
          <w:tcPr>
            <w:tcW w:type="dxa" w:w="1656"/>
          </w:tcPr>
          <w:p>
            <w:pPr>
              <w:keepNext w:val="0"/>
              <w:spacing w:line="264" w:lineRule="auto" w:before="0" w:after="0"/>
              <w:jc w:val="left"/>
            </w:pPr>
            <w:r/>
            <w:r>
              <w:rPr>
                <w:b w:val="0"/>
                <w:i w:val="0"/>
                <w:sz w:val="18"/>
              </w:rPr>
              <w:t>—</w:t>
            </w:r>
          </w:p>
        </w:tc>
        <w:tc>
          <w:tcPr>
            <w:tcW w:type="dxa" w:w="1656"/>
          </w:tcPr>
          <w:p>
            <w:pPr>
              <w:keepNext w:val="0"/>
              <w:spacing w:line="264" w:lineRule="auto" w:before="0" w:after="0"/>
              <w:jc w:val="right"/>
            </w:pPr>
            <w:r/>
            <w:r>
              <w:rPr>
                <w:b w:val="0"/>
                <w:i w:val="0"/>
                <w:sz w:val="18"/>
              </w:rPr>
              <w:t>6.7</w:t>
            </w:r>
          </w:p>
        </w:tc>
        <w:tc>
          <w:tcPr>
            <w:tcW w:type="dxa" w:w="1656"/>
          </w:tcPr>
          <w:p>
            <w:pPr>
              <w:keepNext w:val="0"/>
              <w:spacing w:line="264" w:lineRule="auto" w:before="0" w:after="0"/>
              <w:jc w:val="right"/>
            </w:pPr>
            <w:r/>
            <w:r>
              <w:rPr>
                <w:b w:val="0"/>
                <w:i w:val="0"/>
                <w:sz w:val="18"/>
              </w:rPr>
              <w:t>$94,138</w:t>
            </w:r>
          </w:p>
        </w:tc>
        <w:tc>
          <w:tcPr>
            <w:tcW w:type="dxa" w:w="1656"/>
          </w:tcPr>
          <w:p>
            <w:pPr>
              <w:keepNext w:val="0"/>
              <w:spacing w:line="264" w:lineRule="auto" w:before="0" w:after="0"/>
              <w:jc w:val="right"/>
            </w:pPr>
            <w:r/>
            <w:r>
              <w:rPr>
                <w:b w:val="0"/>
                <w:i w:val="0"/>
                <w:sz w:val="18"/>
              </w:rPr>
              <w:t>$131,922</w:t>
            </w:r>
          </w:p>
        </w:tc>
        <w:tc>
          <w:tcPr>
            <w:tcW w:type="dxa" w:w="1656"/>
          </w:tcPr>
          <w:p>
            <w:pPr>
              <w:keepNext w:val="0"/>
              <w:spacing w:line="264" w:lineRule="auto" w:before="0" w:after="0"/>
              <w:jc w:val="right"/>
            </w:pPr>
            <w:r/>
            <w:r>
              <w:rPr>
                <w:b w:val="0"/>
                <w:i w:val="0"/>
                <w:sz w:val="18"/>
              </w:rPr>
              <w:t>$0.88M</w:t>
            </w:r>
          </w:p>
        </w:tc>
      </w:tr>
      <w:tr>
        <w:tc>
          <w:tcPr>
            <w:tcW w:type="dxa" w:w="1656"/>
          </w:tcPr>
          <w:p>
            <w:pPr>
              <w:keepNext w:val="0"/>
              <w:spacing w:line="264" w:lineRule="auto" w:before="0" w:after="0"/>
              <w:jc w:val="left"/>
            </w:pPr>
            <w:r/>
            <w:r>
              <w:rPr>
                <w:b/>
                <w:i w:val="0"/>
                <w:sz w:val="18"/>
              </w:rPr>
              <w:t>Total</w:t>
            </w:r>
          </w:p>
        </w:tc>
        <w:tc>
          <w:tcPr>
            <w:tcW w:type="dxa" w:w="1656"/>
          </w:tcPr>
          <w:p>
            <w:pPr>
              <w:keepNext w:val="0"/>
              <w:spacing w:line="264" w:lineRule="auto" w:before="0" w:after="0"/>
              <w:jc w:val="left"/>
            </w:pPr>
            <w:r/>
          </w:p>
        </w:tc>
        <w:tc>
          <w:tcPr>
            <w:tcW w:type="dxa" w:w="1656"/>
          </w:tcPr>
          <w:p>
            <w:pPr>
              <w:keepNext w:val="0"/>
              <w:spacing w:line="264" w:lineRule="auto" w:before="0" w:after="0"/>
              <w:jc w:val="right"/>
            </w:pPr>
            <w:r/>
            <w:r>
              <w:rPr>
                <w:b/>
                <w:i w:val="0"/>
                <w:sz w:val="18"/>
              </w:rPr>
              <w:t>257</w:t>
            </w:r>
          </w:p>
        </w:tc>
        <w:tc>
          <w:tcPr>
            <w:tcW w:type="dxa" w:w="1656"/>
          </w:tcPr>
          <w:p>
            <w:pPr>
              <w:keepNext w:val="0"/>
              <w:spacing w:line="264" w:lineRule="auto" w:before="0" w:after="0"/>
              <w:jc w:val="right"/>
            </w:pPr>
            <w:r/>
          </w:p>
        </w:tc>
        <w:tc>
          <w:tcPr>
            <w:tcW w:type="dxa" w:w="1656"/>
          </w:tcPr>
          <w:p>
            <w:pPr>
              <w:keepNext w:val="0"/>
              <w:spacing w:line="264" w:lineRule="auto" w:before="0" w:after="0"/>
              <w:jc w:val="right"/>
            </w:pPr>
            <w:r/>
          </w:p>
        </w:tc>
        <w:tc>
          <w:tcPr>
            <w:tcW w:type="dxa" w:w="1656"/>
          </w:tcPr>
          <w:p>
            <w:pPr>
              <w:keepNext w:val="0"/>
              <w:spacing w:line="264" w:lineRule="auto" w:before="0" w:after="0"/>
              <w:jc w:val="right"/>
            </w:pPr>
            <w:r/>
            <w:r>
              <w:rPr>
                <w:b/>
                <w:i w:val="0"/>
                <w:sz w:val="18"/>
              </w:rPr>
              <w:t>$22.9M</w:t>
            </w:r>
          </w:p>
        </w:tc>
      </w:tr>
    </w:tbl>
    <w:p>
      <w:pPr>
        <w:keepNext w:val="0"/>
        <w:spacing w:line="264" w:lineRule="auto" w:before="0" w:after="80"/>
      </w:pPr>
    </w:p>
    <w:p>
      <w:pPr>
        <w:keepNext w:val="0"/>
        <w:spacing w:line="264" w:lineRule="auto" w:before="0" w:after="80"/>
      </w:pPr>
      <w:r>
        <w:rPr>
          <w:b w:val="0"/>
          <w:i w:val="0"/>
          <w:sz w:val="19"/>
        </w:rPr>
        <w:t xml:space="preserve">Three checks, one genuinely independent. </w:t>
      </w:r>
      <w:r>
        <w:rPr>
          <w:b/>
          <w:i w:val="0"/>
          <w:sz w:val="19"/>
        </w:rPr>
        <w:t>Fleet:</w:t>
      </w:r>
      <w:r>
        <w:rPr>
          <w:b w:val="0"/>
          <w:i w:val="0"/>
          <w:sz w:val="19"/>
        </w:rPr>
        <w:t xml:space="preserve"> 260 vehicles against 257 field positions is 1.01 per position, matching how Great Lakes runs its own fleet. </w:t>
      </w:r>
      <w:r>
        <w:rPr>
          <w:b/>
          <w:i w:val="0"/>
          <w:sz w:val="19"/>
        </w:rPr>
        <w:t>Supervisor span:</w:t>
      </w:r>
      <w:r>
        <w:rPr>
          <w:b w:val="0"/>
          <w:i w:val="0"/>
          <w:sz w:val="19"/>
        </w:rPr>
        <w:t xml:space="preserve"> 11.2:1, identical to the comp — true by construction, so it confirms arithmetic rather than reality. </w:t>
      </w:r>
      <w:r>
        <w:rPr>
          <w:b/>
          <w:i w:val="0"/>
          <w:sz w:val="19"/>
        </w:rPr>
        <w:t>Field leaders:</w:t>
      </w:r>
      <w:r>
        <w:rPr>
          <w:b w:val="0"/>
          <w:i w:val="0"/>
          <w:sz w:val="19"/>
        </w:rPr>
        <w:t xml:space="preserve"> the model says 21, the live extract independently shows 18, a 17% gap. That one </w:t>
      </w:r>
      <w:r>
        <w:rPr>
          <w:b w:val="0"/>
          <w:i/>
          <w:sz w:val="19"/>
        </w:rPr>
        <w:t>is</w:t>
      </w:r>
      <w:r>
        <w:rPr>
          <w:b w:val="0"/>
          <w:i w:val="0"/>
          <w:sz w:val="19"/>
        </w:rPr>
        <w:t xml:space="preserve"> independent, and it works precisely because supervisors are the one field population the alternative data covers well, at 0.86x.</w:t>
      </w:r>
    </w:p>
    <w:p>
      <w:pPr>
        <w:keepNext w:val="0"/>
        <w:spacing w:line="264" w:lineRule="auto" w:before="0" w:after="80"/>
      </w:pPr>
      <w:r>
        <w:rPr>
          <w:b/>
          <w:i w:val="0"/>
          <w:sz w:val="19"/>
        </w:rPr>
        <w:t>The provider's own salary estimate is usable only in aggregate.</w:t>
      </w:r>
      <w:r>
        <w:rPr>
          <w:b w:val="0"/>
          <w:i w:val="0"/>
          <w:sz w:val="19"/>
        </w:rPr>
        <w:t xml:space="preserve"> Across field profiles carrying an estimate it averages $62,289 against this model's $61,799, within 0.8%. At role grain it is inverted: Apprentice HVAC Technician $59,500 above Senior Service Technician $55,000, HVAC Installer $54,500 above Lead Installer $50,000, Help Desk above IT Manager. A model built on provider salaries by role would have passed every total-level sanity check while pricing the ladder upside down.</w:t>
      </w:r>
    </w:p>
    <w:p>
      <w:pPr>
        <w:keepNext/>
        <w:spacing w:line="264" w:lineRule="auto" w:before="100" w:after="40"/>
      </w:pPr>
      <w:r>
        <w:rPr>
          <w:b/>
          <w:sz w:val="22"/>
        </w:rPr>
        <w:t>3. Testing the model, and reviewing someone else's</w:t>
      </w:r>
    </w:p>
    <w:p>
      <w:pPr>
        <w:keepNext/>
        <w:spacing w:line="264" w:lineRule="auto" w:before="80" w:after="40"/>
      </w:pPr>
      <w:r>
        <w:rPr>
          <w:b/>
          <w:sz w:val="20"/>
        </w:rPr>
        <w:t>The back-test, executed</w:t>
      </w:r>
    </w:p>
    <w:p>
      <w:pPr>
        <w:keepNext w:val="0"/>
        <w:spacing w:line="264" w:lineRule="auto" w:before="0" w:after="80"/>
      </w:pPr>
      <w:r>
        <w:rPr>
          <w:b w:val="0"/>
          <w:i w:val="0"/>
          <w:sz w:val="19"/>
        </w:rPr>
        <w:t xml:space="preserve">The estimate rests on one claim: given a total headcount, a contractor's field organisation can be predicted from a comparable contractor's structure. That is testable on data in hand. </w:t>
      </w:r>
      <w:r>
        <w:rPr>
          <w:rFonts w:ascii="Consolas" w:hAnsi="Consolas"/>
          <w:b w:val="0"/>
          <w:i w:val="0"/>
          <w:sz w:val="18"/>
        </w:rPr>
        <w:t>src/backtest_structure.py</w:t>
      </w:r>
      <w:r>
        <w:rPr>
          <w:b w:val="0"/>
          <w:i w:val="0"/>
          <w:sz w:val="19"/>
        </w:rPr>
        <w:t xml:space="preserve"> holds out each Northstar operating company in turn and predicts its field headcount from the mean field share of the other three, given nothing but its total.</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1987"/>
        <w:gridCol w:w="1987"/>
        <w:gridCol w:w="1987"/>
        <w:gridCol w:w="1987"/>
        <w:gridCol w:w="1987"/>
      </w:tblGrid>
      <w:tr>
        <w:tc>
          <w:tcPr>
            <w:tcW w:type="dxa" w:w="1987"/>
            <w:shd w:val="clear" w:fill="EEEEEE"/>
          </w:tcPr>
          <w:p>
            <w:pPr>
              <w:keepNext/>
              <w:spacing w:line="264" w:lineRule="auto" w:before="0" w:after="0"/>
              <w:jc w:val="left"/>
            </w:pPr>
            <w:r/>
            <w:r>
              <w:rPr>
                <w:b/>
                <w:i w:val="0"/>
                <w:sz w:val="18"/>
              </w:rPr>
              <w:t>Held out</w:t>
            </w:r>
          </w:p>
        </w:tc>
        <w:tc>
          <w:tcPr>
            <w:tcW w:type="dxa" w:w="1987"/>
            <w:shd w:val="clear" w:fill="EEEEEE"/>
          </w:tcPr>
          <w:p>
            <w:pPr>
              <w:keepNext/>
              <w:spacing w:line="264" w:lineRule="auto" w:before="0" w:after="0"/>
              <w:jc w:val="right"/>
            </w:pPr>
            <w:r/>
            <w:r>
              <w:rPr>
                <w:b/>
                <w:i w:val="0"/>
                <w:sz w:val="18"/>
              </w:rPr>
              <w:t>Given</w:t>
            </w:r>
          </w:p>
        </w:tc>
        <w:tc>
          <w:tcPr>
            <w:tcW w:type="dxa" w:w="1987"/>
            <w:shd w:val="clear" w:fill="EEEEEE"/>
          </w:tcPr>
          <w:p>
            <w:pPr>
              <w:keepNext/>
              <w:spacing w:line="264" w:lineRule="auto" w:before="0" w:after="0"/>
              <w:jc w:val="right"/>
            </w:pPr>
            <w:r/>
            <w:r>
              <w:rPr>
                <w:b/>
                <w:i w:val="0"/>
                <w:sz w:val="18"/>
              </w:rPr>
              <w:t>Predicted</w:t>
            </w:r>
          </w:p>
        </w:tc>
        <w:tc>
          <w:tcPr>
            <w:tcW w:type="dxa" w:w="1987"/>
            <w:shd w:val="clear" w:fill="EEEEEE"/>
          </w:tcPr>
          <w:p>
            <w:pPr>
              <w:keepNext/>
              <w:spacing w:line="264" w:lineRule="auto" w:before="0" w:after="0"/>
              <w:jc w:val="right"/>
            </w:pPr>
            <w:r/>
            <w:r>
              <w:rPr>
                <w:b/>
                <w:i w:val="0"/>
                <w:sz w:val="18"/>
              </w:rPr>
              <w:t>Actual</w:t>
            </w:r>
          </w:p>
        </w:tc>
        <w:tc>
          <w:tcPr>
            <w:tcW w:type="dxa" w:w="1987"/>
            <w:shd w:val="clear" w:fill="EEEEEE"/>
          </w:tcPr>
          <w:p>
            <w:pPr>
              <w:keepNext/>
              <w:spacing w:line="264" w:lineRule="auto" w:before="0" w:after="0"/>
              <w:jc w:val="right"/>
            </w:pPr>
            <w:r/>
            <w:r>
              <w:rPr>
                <w:b/>
                <w:i w:val="0"/>
                <w:sz w:val="18"/>
              </w:rPr>
              <w:t>Error</w:t>
            </w:r>
          </w:p>
        </w:tc>
      </w:tr>
      <w:tr>
        <w:tc>
          <w:tcPr>
            <w:tcW w:type="dxa" w:w="1987"/>
          </w:tcPr>
          <w:p>
            <w:pPr>
              <w:keepNext w:val="0"/>
              <w:spacing w:line="264" w:lineRule="auto" w:before="0" w:after="0"/>
              <w:jc w:val="left"/>
            </w:pPr>
            <w:r/>
            <w:r>
              <w:rPr>
                <w:b w:val="0"/>
                <w:i w:val="0"/>
                <w:sz w:val="18"/>
              </w:rPr>
              <w:t>Bayside Mechanical</w:t>
            </w:r>
          </w:p>
        </w:tc>
        <w:tc>
          <w:tcPr>
            <w:tcW w:type="dxa" w:w="1987"/>
          </w:tcPr>
          <w:p>
            <w:pPr>
              <w:keepNext w:val="0"/>
              <w:spacing w:line="264" w:lineRule="auto" w:before="0" w:after="0"/>
              <w:jc w:val="right"/>
            </w:pPr>
            <w:r/>
            <w:r>
              <w:rPr>
                <w:b w:val="0"/>
                <w:i w:val="0"/>
                <w:sz w:val="18"/>
              </w:rPr>
              <w:t>482</w:t>
            </w:r>
          </w:p>
        </w:tc>
        <w:tc>
          <w:tcPr>
            <w:tcW w:type="dxa" w:w="1987"/>
          </w:tcPr>
          <w:p>
            <w:pPr>
              <w:keepNext w:val="0"/>
              <w:spacing w:line="264" w:lineRule="auto" w:before="0" w:after="0"/>
              <w:jc w:val="right"/>
            </w:pPr>
            <w:r/>
            <w:r>
              <w:rPr>
                <w:b w:val="0"/>
                <w:i w:val="0"/>
                <w:sz w:val="18"/>
              </w:rPr>
              <w:t>332.3</w:t>
            </w:r>
          </w:p>
        </w:tc>
        <w:tc>
          <w:tcPr>
            <w:tcW w:type="dxa" w:w="1987"/>
          </w:tcPr>
          <w:p>
            <w:pPr>
              <w:keepNext w:val="0"/>
              <w:spacing w:line="264" w:lineRule="auto" w:before="0" w:after="0"/>
              <w:jc w:val="right"/>
            </w:pPr>
            <w:r/>
            <w:r>
              <w:rPr>
                <w:b w:val="0"/>
                <w:i w:val="0"/>
                <w:sz w:val="18"/>
              </w:rPr>
              <w:t>328</w:t>
            </w:r>
          </w:p>
        </w:tc>
        <w:tc>
          <w:tcPr>
            <w:tcW w:type="dxa" w:w="1987"/>
          </w:tcPr>
          <w:p>
            <w:pPr>
              <w:keepNext w:val="0"/>
              <w:spacing w:line="264" w:lineRule="auto" w:before="0" w:after="0"/>
              <w:jc w:val="right"/>
            </w:pPr>
            <w:r/>
            <w:r>
              <w:rPr>
                <w:b w:val="0"/>
                <w:i w:val="0"/>
                <w:sz w:val="18"/>
              </w:rPr>
              <w:t>+1.3%</w:t>
            </w:r>
          </w:p>
        </w:tc>
      </w:tr>
      <w:tr>
        <w:tc>
          <w:tcPr>
            <w:tcW w:type="dxa" w:w="1987"/>
          </w:tcPr>
          <w:p>
            <w:pPr>
              <w:keepNext w:val="0"/>
              <w:spacing w:line="264" w:lineRule="auto" w:before="0" w:after="0"/>
              <w:jc w:val="left"/>
            </w:pPr>
            <w:r/>
            <w:r>
              <w:rPr>
                <w:b w:val="0"/>
                <w:i w:val="0"/>
                <w:sz w:val="18"/>
              </w:rPr>
              <w:t>Great Lakes Comfort Systems</w:t>
            </w:r>
          </w:p>
        </w:tc>
        <w:tc>
          <w:tcPr>
            <w:tcW w:type="dxa" w:w="1987"/>
          </w:tcPr>
          <w:p>
            <w:pPr>
              <w:keepNext w:val="0"/>
              <w:spacing w:line="264" w:lineRule="auto" w:before="0" w:after="0"/>
              <w:jc w:val="right"/>
            </w:pPr>
            <w:r/>
            <w:r>
              <w:rPr>
                <w:b w:val="0"/>
                <w:i w:val="0"/>
                <w:sz w:val="18"/>
              </w:rPr>
              <w:t>392</w:t>
            </w:r>
          </w:p>
        </w:tc>
        <w:tc>
          <w:tcPr>
            <w:tcW w:type="dxa" w:w="1987"/>
          </w:tcPr>
          <w:p>
            <w:pPr>
              <w:keepNext w:val="0"/>
              <w:spacing w:line="264" w:lineRule="auto" w:before="0" w:after="0"/>
              <w:jc w:val="right"/>
            </w:pPr>
            <w:r/>
            <w:r>
              <w:rPr>
                <w:b w:val="0"/>
                <w:i w:val="0"/>
                <w:sz w:val="18"/>
              </w:rPr>
              <w:t>269.5</w:t>
            </w:r>
          </w:p>
        </w:tc>
        <w:tc>
          <w:tcPr>
            <w:tcW w:type="dxa" w:w="1987"/>
          </w:tcPr>
          <w:p>
            <w:pPr>
              <w:keepNext w:val="0"/>
              <w:spacing w:line="264" w:lineRule="auto" w:before="0" w:after="0"/>
              <w:jc w:val="right"/>
            </w:pPr>
            <w:r/>
            <w:r>
              <w:rPr>
                <w:b w:val="0"/>
                <w:i w:val="0"/>
                <w:sz w:val="18"/>
              </w:rPr>
              <w:t>269</w:t>
            </w:r>
          </w:p>
        </w:tc>
        <w:tc>
          <w:tcPr>
            <w:tcW w:type="dxa" w:w="1987"/>
          </w:tcPr>
          <w:p>
            <w:pPr>
              <w:keepNext w:val="0"/>
              <w:spacing w:line="264" w:lineRule="auto" w:before="0" w:after="0"/>
              <w:jc w:val="right"/>
            </w:pPr>
            <w:r/>
            <w:r>
              <w:rPr>
                <w:b w:val="0"/>
                <w:i w:val="0"/>
                <w:sz w:val="18"/>
              </w:rPr>
              <w:t>+0.2%</w:t>
            </w:r>
          </w:p>
        </w:tc>
      </w:tr>
      <w:tr>
        <w:tc>
          <w:tcPr>
            <w:tcW w:type="dxa" w:w="1987"/>
          </w:tcPr>
          <w:p>
            <w:pPr>
              <w:keepNext w:val="0"/>
              <w:spacing w:line="264" w:lineRule="auto" w:before="0" w:after="0"/>
              <w:jc w:val="left"/>
            </w:pPr>
            <w:r/>
            <w:r>
              <w:rPr>
                <w:b w:val="0"/>
                <w:i w:val="0"/>
                <w:sz w:val="18"/>
              </w:rPr>
              <w:t>Pinnacle Plumbing &amp; Drain</w:t>
            </w:r>
          </w:p>
        </w:tc>
        <w:tc>
          <w:tcPr>
            <w:tcW w:type="dxa" w:w="1987"/>
          </w:tcPr>
          <w:p>
            <w:pPr>
              <w:keepNext w:val="0"/>
              <w:spacing w:line="264" w:lineRule="auto" w:before="0" w:after="0"/>
              <w:jc w:val="right"/>
            </w:pPr>
            <w:r/>
            <w:r>
              <w:rPr>
                <w:b w:val="0"/>
                <w:i w:val="0"/>
                <w:sz w:val="18"/>
              </w:rPr>
              <w:t>426</w:t>
            </w:r>
          </w:p>
        </w:tc>
        <w:tc>
          <w:tcPr>
            <w:tcW w:type="dxa" w:w="1987"/>
          </w:tcPr>
          <w:p>
            <w:pPr>
              <w:keepNext w:val="0"/>
              <w:spacing w:line="264" w:lineRule="auto" w:before="0" w:after="0"/>
              <w:jc w:val="right"/>
            </w:pPr>
            <w:r/>
            <w:r>
              <w:rPr>
                <w:b w:val="0"/>
                <w:i w:val="0"/>
                <w:sz w:val="18"/>
              </w:rPr>
              <w:t>295.4</w:t>
            </w:r>
          </w:p>
        </w:tc>
        <w:tc>
          <w:tcPr>
            <w:tcW w:type="dxa" w:w="1987"/>
          </w:tcPr>
          <w:p>
            <w:pPr>
              <w:keepNext w:val="0"/>
              <w:spacing w:line="264" w:lineRule="auto" w:before="0" w:after="0"/>
              <w:jc w:val="right"/>
            </w:pPr>
            <w:r/>
            <w:r>
              <w:rPr>
                <w:b w:val="0"/>
                <w:i w:val="0"/>
                <w:sz w:val="18"/>
              </w:rPr>
              <w:t>285</w:t>
            </w:r>
          </w:p>
        </w:tc>
        <w:tc>
          <w:tcPr>
            <w:tcW w:type="dxa" w:w="1987"/>
          </w:tcPr>
          <w:p>
            <w:pPr>
              <w:keepNext w:val="0"/>
              <w:spacing w:line="264" w:lineRule="auto" w:before="0" w:after="0"/>
              <w:jc w:val="right"/>
            </w:pPr>
            <w:r/>
            <w:r>
              <w:rPr>
                <w:b w:val="0"/>
                <w:i w:val="0"/>
                <w:sz w:val="18"/>
              </w:rPr>
              <w:t>+3.6%</w:t>
            </w:r>
          </w:p>
        </w:tc>
      </w:tr>
      <w:tr>
        <w:tc>
          <w:tcPr>
            <w:tcW w:type="dxa" w:w="1987"/>
          </w:tcPr>
          <w:p>
            <w:pPr>
              <w:keepNext w:val="0"/>
              <w:spacing w:line="264" w:lineRule="auto" w:before="0" w:after="0"/>
              <w:jc w:val="left"/>
            </w:pPr>
            <w:r/>
            <w:r>
              <w:rPr>
                <w:b w:val="0"/>
                <w:i w:val="0"/>
                <w:sz w:val="18"/>
              </w:rPr>
              <w:t>Redwood Electric</w:t>
            </w:r>
          </w:p>
        </w:tc>
        <w:tc>
          <w:tcPr>
            <w:tcW w:type="dxa" w:w="1987"/>
          </w:tcPr>
          <w:p>
            <w:pPr>
              <w:keepNext w:val="0"/>
              <w:spacing w:line="264" w:lineRule="auto" w:before="0" w:after="0"/>
              <w:jc w:val="right"/>
            </w:pPr>
            <w:r/>
            <w:r>
              <w:rPr>
                <w:b w:val="0"/>
                <w:i w:val="0"/>
                <w:sz w:val="18"/>
              </w:rPr>
              <w:t>286</w:t>
            </w:r>
          </w:p>
        </w:tc>
        <w:tc>
          <w:tcPr>
            <w:tcW w:type="dxa" w:w="1987"/>
          </w:tcPr>
          <w:p>
            <w:pPr>
              <w:keepNext w:val="0"/>
              <w:spacing w:line="264" w:lineRule="auto" w:before="0" w:after="0"/>
              <w:jc w:val="right"/>
            </w:pPr>
            <w:r/>
            <w:r>
              <w:rPr>
                <w:b w:val="0"/>
                <w:i w:val="0"/>
                <w:sz w:val="18"/>
              </w:rPr>
              <w:t>194.1</w:t>
            </w:r>
          </w:p>
        </w:tc>
        <w:tc>
          <w:tcPr>
            <w:tcW w:type="dxa" w:w="1987"/>
          </w:tcPr>
          <w:p>
            <w:pPr>
              <w:keepNext w:val="0"/>
              <w:spacing w:line="264" w:lineRule="auto" w:before="0" w:after="0"/>
              <w:jc w:val="right"/>
            </w:pPr>
            <w:r/>
            <w:r>
              <w:rPr>
                <w:b w:val="0"/>
                <w:i w:val="0"/>
                <w:sz w:val="18"/>
              </w:rPr>
              <w:t>204</w:t>
            </w:r>
          </w:p>
        </w:tc>
        <w:tc>
          <w:tcPr>
            <w:tcW w:type="dxa" w:w="1987"/>
          </w:tcPr>
          <w:p>
            <w:pPr>
              <w:keepNext w:val="0"/>
              <w:spacing w:line="264" w:lineRule="auto" w:before="0" w:after="0"/>
              <w:jc w:val="right"/>
            </w:pPr>
            <w:r/>
            <w:r>
              <w:rPr>
                <w:b w:val="0"/>
                <w:i w:val="0"/>
                <w:sz w:val="18"/>
              </w:rPr>
              <w:t>−4.9%</w:t>
            </w:r>
          </w:p>
        </w:tc>
      </w:tr>
    </w:tbl>
    <w:p>
      <w:pPr>
        <w:keepNext w:val="0"/>
        <w:spacing w:line="264" w:lineRule="auto" w:before="0" w:after="80"/>
      </w:pPr>
    </w:p>
    <w:p>
      <w:pPr>
        <w:keepNext w:val="0"/>
        <w:spacing w:line="264" w:lineRule="auto" w:before="0" w:after="80"/>
      </w:pPr>
      <w:r>
        <w:rPr>
          <w:b/>
          <w:i w:val="0"/>
          <w:sz w:val="19"/>
        </w:rPr>
        <w:t>Mean absolute error 2.5%, worst case 4.9%.</w:t>
      </w:r>
      <w:r>
        <w:rPr>
          <w:b w:val="0"/>
          <w:i w:val="0"/>
          <w:sz w:val="19"/>
        </w:rPr>
        <w:t xml:space="preserve"> Splitting that total between families is harder, and the memo should not pretend otherwise: Service 3.8%, Install 7.3%, Leadership 9.5%. So the 257 total is the trustworthy number and the 101/135/21 split is the soft one — the opposite of how these models are usually read.</w:t>
      </w:r>
    </w:p>
    <w:p>
      <w:pPr>
        <w:keepNext w:val="0"/>
        <w:spacing w:line="264" w:lineRule="auto" w:before="0" w:after="80"/>
      </w:pPr>
      <w:r>
        <w:rPr>
          <w:b/>
          <w:i w:val="0"/>
          <w:sz w:val="19"/>
        </w:rPr>
        <w:t>The back-test also caught a live error.</w:t>
      </w:r>
      <w:r>
        <w:rPr>
          <w:b w:val="0"/>
          <w:i w:val="0"/>
          <w:sz w:val="19"/>
        </w:rPr>
        <w:t xml:space="preserve"> The first run left Northstar Corporate in the comparison set. Every field estimate came out roughly 25% low with the same sign: 24.9% mean absolute error against 2.5%, and a −24.9% signed bias. A one-line comp-set error was worth ten times every pay assumption in the model combined.</w:t>
      </w:r>
    </w:p>
    <w:p>
      <w:pPr>
        <w:keepNext/>
        <w:spacing w:line="264" w:lineRule="auto" w:before="80" w:after="40"/>
      </w:pPr>
      <w:r>
        <w:rPr>
          <w:b/>
          <w:sz w:val="20"/>
        </w:rPr>
        <w:t>What actually moves the answer</w:t>
      </w:r>
    </w:p>
    <w:tbl>
      <w:tblPr>
        <w:tblStyle w:val="TableGrid"/>
        <w:tblW w:type="auto" w:w="0"/>
        <w:jc w:val="left"/>
        <w:tblLook w:firstColumn="1" w:firstRow="1" w:lastColumn="0" w:lastRow="0" w:noHBand="0" w:noVBand="1" w:val="04A0"/>
        <w:tblCellMar>
          <w:top w:w="10" w:type="dxa"/>
          <w:left w:w="72" w:type="dxa"/>
          <w:bottom w:w="10" w:type="dxa"/>
          <w:right w:w="72" w:type="dxa"/>
        </w:tblCellMar>
      </w:tblPr>
      <w:tblGrid>
        <w:gridCol w:w="3312"/>
        <w:gridCol w:w="3312"/>
        <w:gridCol w:w="3312"/>
      </w:tblGrid>
      <w:tr>
        <w:tc>
          <w:tcPr>
            <w:tcW w:type="dxa" w:w="3312"/>
            <w:shd w:val="clear" w:fill="EEEEEE"/>
          </w:tcPr>
          <w:p>
            <w:pPr>
              <w:keepNext/>
              <w:spacing w:line="264" w:lineRule="auto" w:before="0" w:after="0"/>
              <w:jc w:val="left"/>
            </w:pPr>
            <w:r/>
            <w:r>
              <w:rPr>
                <w:b/>
                <w:i w:val="0"/>
                <w:sz w:val="18"/>
              </w:rPr>
              <w:t>Assumption</w:t>
            </w:r>
          </w:p>
        </w:tc>
        <w:tc>
          <w:tcPr>
            <w:tcW w:type="dxa" w:w="3312"/>
            <w:shd w:val="clear" w:fill="EEEEEE"/>
          </w:tcPr>
          <w:p>
            <w:pPr>
              <w:keepNext/>
              <w:spacing w:line="264" w:lineRule="auto" w:before="0" w:after="0"/>
              <w:jc w:val="left"/>
            </w:pPr>
            <w:r/>
            <w:r>
              <w:rPr>
                <w:b/>
                <w:i w:val="0"/>
                <w:sz w:val="18"/>
              </w:rPr>
              <w:t>Range tested</w:t>
            </w:r>
          </w:p>
        </w:tc>
        <w:tc>
          <w:tcPr>
            <w:tcW w:type="dxa" w:w="3312"/>
            <w:shd w:val="clear" w:fill="EEEEEE"/>
          </w:tcPr>
          <w:p>
            <w:pPr>
              <w:keepNext/>
              <w:spacing w:line="264" w:lineRule="auto" w:before="0" w:after="0"/>
              <w:jc w:val="right"/>
            </w:pPr>
            <w:r/>
            <w:r>
              <w:rPr>
                <w:b/>
                <w:i w:val="0"/>
                <w:sz w:val="18"/>
              </w:rPr>
              <w:t>Swing in Field Service cost</w:t>
            </w:r>
          </w:p>
        </w:tc>
      </w:tr>
      <w:tr>
        <w:tc>
          <w:tcPr>
            <w:tcW w:type="dxa" w:w="3312"/>
          </w:tcPr>
          <w:p>
            <w:pPr>
              <w:keepNext w:val="0"/>
              <w:spacing w:line="264" w:lineRule="auto" w:before="0" w:after="0"/>
              <w:jc w:val="left"/>
            </w:pPr>
            <w:r/>
            <w:r>
              <w:rPr>
                <w:b w:val="0"/>
                <w:i w:val="0"/>
                <w:sz w:val="18"/>
              </w:rPr>
              <w:t>Total headcount</w:t>
            </w:r>
          </w:p>
        </w:tc>
        <w:tc>
          <w:tcPr>
            <w:tcW w:type="dxa" w:w="3312"/>
          </w:tcPr>
          <w:p>
            <w:pPr>
              <w:keepNext w:val="0"/>
              <w:spacing w:line="264" w:lineRule="auto" w:before="0" w:after="0"/>
              <w:jc w:val="left"/>
            </w:pPr>
            <w:r/>
            <w:r>
              <w:rPr>
                <w:b w:val="0"/>
                <w:i w:val="0"/>
                <w:sz w:val="18"/>
              </w:rPr>
              <w:t>±10%</w:t>
            </w:r>
          </w:p>
        </w:tc>
        <w:tc>
          <w:tcPr>
            <w:tcW w:type="dxa" w:w="3312"/>
          </w:tcPr>
          <w:p>
            <w:pPr>
              <w:keepNext w:val="0"/>
              <w:spacing w:line="264" w:lineRule="auto" w:before="0" w:after="0"/>
              <w:jc w:val="right"/>
            </w:pPr>
            <w:r/>
            <w:r>
              <w:rPr>
                <w:b w:val="0"/>
                <w:i w:val="0"/>
                <w:sz w:val="18"/>
              </w:rPr>
              <w:t>20.0%</w:t>
            </w:r>
          </w:p>
        </w:tc>
      </w:tr>
      <w:tr>
        <w:tc>
          <w:tcPr>
            <w:tcW w:type="dxa" w:w="3312"/>
          </w:tcPr>
          <w:p>
            <w:pPr>
              <w:keepNext w:val="0"/>
              <w:spacing w:line="264" w:lineRule="auto" w:before="0" w:after="0"/>
              <w:jc w:val="left"/>
            </w:pPr>
            <w:r/>
            <w:r>
              <w:rPr>
                <w:b w:val="0"/>
                <w:i w:val="0"/>
                <w:sz w:val="18"/>
              </w:rPr>
              <w:t>Field share of headcount</w:t>
            </w:r>
          </w:p>
        </w:tc>
        <w:tc>
          <w:tcPr>
            <w:tcW w:type="dxa" w:w="3312"/>
          </w:tcPr>
          <w:p>
            <w:pPr>
              <w:keepNext w:val="0"/>
              <w:spacing w:line="264" w:lineRule="auto" w:before="0" w:after="0"/>
              <w:jc w:val="left"/>
            </w:pPr>
            <w:r/>
            <w:r>
              <w:rPr>
                <w:b w:val="0"/>
                <w:i w:val="0"/>
                <w:sz w:val="18"/>
              </w:rPr>
              <w:t>±5%</w:t>
            </w:r>
          </w:p>
        </w:tc>
        <w:tc>
          <w:tcPr>
            <w:tcW w:type="dxa" w:w="3312"/>
          </w:tcPr>
          <w:p>
            <w:pPr>
              <w:keepNext w:val="0"/>
              <w:spacing w:line="264" w:lineRule="auto" w:before="0" w:after="0"/>
              <w:jc w:val="right"/>
            </w:pPr>
            <w:r/>
            <w:r>
              <w:rPr>
                <w:b w:val="0"/>
                <w:i w:val="0"/>
                <w:sz w:val="18"/>
              </w:rPr>
              <w:t>10.0%</w:t>
            </w:r>
          </w:p>
        </w:tc>
      </w:tr>
      <w:tr>
        <w:tc>
          <w:tcPr>
            <w:tcW w:type="dxa" w:w="3312"/>
          </w:tcPr>
          <w:p>
            <w:pPr>
              <w:keepNext w:val="0"/>
              <w:spacing w:line="264" w:lineRule="auto" w:before="0" w:after="0"/>
              <w:jc w:val="left"/>
            </w:pPr>
            <w:r/>
            <w:r>
              <w:rPr>
                <w:b w:val="0"/>
                <w:i w:val="0"/>
                <w:sz w:val="18"/>
              </w:rPr>
              <w:t>Load factor</w:t>
            </w:r>
          </w:p>
        </w:tc>
        <w:tc>
          <w:tcPr>
            <w:tcW w:type="dxa" w:w="3312"/>
          </w:tcPr>
          <w:p>
            <w:pPr>
              <w:keepNext w:val="0"/>
              <w:spacing w:line="264" w:lineRule="auto" w:before="0" w:after="0"/>
              <w:jc w:val="left"/>
            </w:pPr>
            <w:r/>
            <w:r>
              <w:rPr>
                <w:b w:val="0"/>
                <w:i w:val="0"/>
                <w:sz w:val="18"/>
              </w:rPr>
              <w:t>±5%</w:t>
            </w:r>
          </w:p>
        </w:tc>
        <w:tc>
          <w:tcPr>
            <w:tcW w:type="dxa" w:w="3312"/>
          </w:tcPr>
          <w:p>
            <w:pPr>
              <w:keepNext w:val="0"/>
              <w:spacing w:line="264" w:lineRule="auto" w:before="0" w:after="0"/>
              <w:jc w:val="right"/>
            </w:pPr>
            <w:r/>
            <w:r>
              <w:rPr>
                <w:b w:val="0"/>
                <w:i w:val="0"/>
                <w:sz w:val="18"/>
              </w:rPr>
              <w:t>10.0%</w:t>
            </w:r>
          </w:p>
        </w:tc>
      </w:tr>
      <w:tr>
        <w:tc>
          <w:tcPr>
            <w:tcW w:type="dxa" w:w="3312"/>
          </w:tcPr>
          <w:p>
            <w:pPr>
              <w:keepNext w:val="0"/>
              <w:spacing w:line="264" w:lineRule="auto" w:before="0" w:after="0"/>
              <w:jc w:val="left"/>
            </w:pPr>
            <w:r/>
            <w:r>
              <w:rPr>
                <w:b w:val="0"/>
                <w:i w:val="0"/>
                <w:sz w:val="18"/>
              </w:rPr>
              <w:t>Geographic wage index</w:t>
            </w:r>
          </w:p>
        </w:tc>
        <w:tc>
          <w:tcPr>
            <w:tcW w:type="dxa" w:w="3312"/>
          </w:tcPr>
          <w:p>
            <w:pPr>
              <w:keepNext w:val="0"/>
              <w:spacing w:line="264" w:lineRule="auto" w:before="0" w:after="0"/>
              <w:jc w:val="left"/>
            </w:pPr>
            <w:r/>
            <w:r>
              <w:rPr>
                <w:b w:val="0"/>
                <w:i w:val="0"/>
                <w:sz w:val="18"/>
              </w:rPr>
              <w:t>±5%</w:t>
            </w:r>
          </w:p>
        </w:tc>
        <w:tc>
          <w:tcPr>
            <w:tcW w:type="dxa" w:w="3312"/>
          </w:tcPr>
          <w:p>
            <w:pPr>
              <w:keepNext w:val="0"/>
              <w:spacing w:line="264" w:lineRule="auto" w:before="0" w:after="0"/>
              <w:jc w:val="right"/>
            </w:pPr>
            <w:r/>
            <w:r>
              <w:rPr>
                <w:b w:val="0"/>
                <w:i w:val="0"/>
                <w:sz w:val="18"/>
              </w:rPr>
              <w:t>9.1%</w:t>
            </w:r>
          </w:p>
        </w:tc>
      </w:tr>
      <w:tr>
        <w:tc>
          <w:tcPr>
            <w:tcW w:type="dxa" w:w="3312"/>
          </w:tcPr>
          <w:p>
            <w:pPr>
              <w:keepNext w:val="0"/>
              <w:spacing w:line="264" w:lineRule="auto" w:before="0" w:after="0"/>
              <w:jc w:val="left"/>
            </w:pPr>
            <w:r/>
            <w:r>
              <w:rPr>
                <w:b w:val="0"/>
                <w:i w:val="0"/>
                <w:sz w:val="18"/>
              </w:rPr>
              <w:t>HVAC / plumbing split</w:t>
            </w:r>
          </w:p>
        </w:tc>
        <w:tc>
          <w:tcPr>
            <w:tcW w:type="dxa" w:w="3312"/>
          </w:tcPr>
          <w:p>
            <w:pPr>
              <w:keepNext w:val="0"/>
              <w:spacing w:line="264" w:lineRule="auto" w:before="0" w:after="0"/>
              <w:jc w:val="left"/>
            </w:pPr>
            <w:r/>
            <w:r>
              <w:rPr>
                <w:b w:val="0"/>
                <w:i w:val="0"/>
                <w:sz w:val="18"/>
              </w:rPr>
              <w:t>±15%</w:t>
            </w:r>
          </w:p>
        </w:tc>
        <w:tc>
          <w:tcPr>
            <w:tcW w:type="dxa" w:w="3312"/>
          </w:tcPr>
          <w:p>
            <w:pPr>
              <w:keepNext w:val="0"/>
              <w:spacing w:line="264" w:lineRule="auto" w:before="0" w:after="0"/>
              <w:jc w:val="right"/>
            </w:pPr>
            <w:r/>
            <w:r>
              <w:rPr>
                <w:b w:val="0"/>
                <w:i w:val="0"/>
                <w:sz w:val="18"/>
              </w:rPr>
              <w:t>0.7%</w:t>
            </w:r>
          </w:p>
        </w:tc>
      </w:tr>
    </w:tbl>
    <w:p>
      <w:pPr>
        <w:keepNext w:val="0"/>
        <w:spacing w:line="264" w:lineRule="auto" w:before="0" w:after="80"/>
      </w:pPr>
    </w:p>
    <w:p>
      <w:pPr>
        <w:keepNext w:val="0"/>
        <w:spacing w:line="264" w:lineRule="auto" w:before="0" w:after="80"/>
      </w:pPr>
      <w:r>
        <w:rPr>
          <w:b w:val="0"/>
          <w:i w:val="0"/>
          <w:sz w:val="19"/>
        </w:rPr>
        <w:t>Headcount dominates, which is why most of the effort went there. The trade split barely registers, because HVAC and plumbing technicians are paid within a few percent of each other at Great Lakes — worth knowing before anyone spends a diligence day on it.</w:t>
      </w:r>
    </w:p>
    <w:p>
      <w:pPr>
        <w:keepNext/>
        <w:spacing w:line="264" w:lineRule="auto" w:before="80" w:after="40"/>
      </w:pPr>
      <w:r>
        <w:rPr>
          <w:b/>
          <w:sz w:val="20"/>
        </w:rPr>
        <w:t>Falsifiers, committed before the data room opens</w:t>
      </w:r>
    </w:p>
    <w:p>
      <w:pPr>
        <w:keepNext w:val="0"/>
        <w:spacing w:line="264" w:lineRule="auto" w:before="0" w:after="80"/>
      </w:pPr>
      <w:r>
        <w:rPr>
          <w:b w:val="0"/>
          <w:i w:val="0"/>
          <w:sz w:val="19"/>
        </w:rPr>
        <w:t xml:space="preserve">Stating these now is the point; stating them afterwards is rationalisation. </w:t>
      </w:r>
      <w:r>
        <w:rPr>
          <w:b/>
          <w:i w:val="0"/>
          <w:sz w:val="19"/>
        </w:rPr>
        <w:t>The model is wrong if:</w:t>
      </w:r>
      <w:r>
        <w:rPr>
          <w:b w:val="0"/>
          <w:i w:val="0"/>
          <w:sz w:val="19"/>
        </w:rPr>
        <w:t xml:space="preserve"> total headcount lands outside 370–440; field staff are below 60% or above 68% of the company; the plumbing share of service technicians is below 15% or above 40%; sales exceeds 10% of headcount, which the extract hints at and the comp does not; or Louisville is excluded from the 400. Any of these means the comp choice, not the arithmetic, has to change.</w:t>
      </w:r>
    </w:p>
    <w:p>
      <w:pPr>
        <w:keepNext/>
        <w:spacing w:line="264" w:lineRule="auto" w:before="80" w:after="40"/>
      </w:pPr>
      <w:r>
        <w:rPr>
          <w:b/>
          <w:sz w:val="20"/>
        </w:rPr>
        <w:t>Reviewing a teammate's model built this way</w:t>
      </w:r>
    </w:p>
    <w:p>
      <w:pPr>
        <w:keepNext w:val="0"/>
        <w:spacing w:line="264" w:lineRule="auto" w:before="0" w:after="80"/>
      </w:pPr>
      <w:r>
        <w:rPr>
          <w:b w:val="0"/>
          <w:i w:val="0"/>
          <w:sz w:val="19"/>
        </w:rPr>
        <w:t>In this order, because it is the order in which the errors actually occurred:</w:t>
      </w:r>
    </w:p>
    <w:p>
      <w:pPr>
        <w:pStyle w:val="ListNumber"/>
        <w:keepNext w:val="0"/>
        <w:spacing w:line="264" w:lineRule="auto" w:before="0" w:after="20"/>
        <w:ind w:left="360"/>
      </w:pPr>
      <w:r>
        <w:rPr>
          <w:b/>
          <w:i w:val="0"/>
          <w:sz w:val="19"/>
        </w:rPr>
        <w:t>Entity resolution.</w:t>
      </w:r>
      <w:r>
        <w:rPr>
          <w:b w:val="0"/>
          <w:i w:val="0"/>
          <w:sz w:val="19"/>
        </w:rPr>
        <w:t xml:space="preserve"> Which provider entities were kept, on what evidence beyond name similarity, and how many profiles were dropped? Here it was 22% of the file.</w:t>
      </w:r>
    </w:p>
    <w:p>
      <w:pPr>
        <w:pStyle w:val="ListNumber"/>
        <w:keepNext w:val="0"/>
        <w:spacing w:line="264" w:lineRule="auto" w:before="0" w:after="20"/>
        <w:ind w:left="360"/>
      </w:pPr>
      <w:r>
        <w:rPr>
          <w:b/>
          <w:i w:val="0"/>
          <w:sz w:val="19"/>
        </w:rPr>
        <w:t>Comp-set construction.</w:t>
      </w:r>
      <w:r>
        <w:rPr>
          <w:b w:val="0"/>
          <w:i w:val="0"/>
          <w:sz w:val="19"/>
        </w:rPr>
        <w:t xml:space="preserve"> What is in the comparison set that should not be? Shared services in a field comp biased every estimate 25% low, silently.</w:t>
      </w:r>
    </w:p>
    <w:p>
      <w:pPr>
        <w:pStyle w:val="ListNumber"/>
        <w:keepNext w:val="0"/>
        <w:spacing w:line="264" w:lineRule="auto" w:before="0" w:after="20"/>
        <w:ind w:left="360"/>
      </w:pPr>
      <w:r>
        <w:rPr>
          <w:b/>
          <w:i w:val="0"/>
          <w:sz w:val="19"/>
        </w:rPr>
        <w:t>Coverage, not counts.</w:t>
      </w:r>
      <w:r>
        <w:rPr>
          <w:b w:val="0"/>
          <w:i w:val="0"/>
          <w:sz w:val="19"/>
        </w:rPr>
        <w:t xml:space="preserve"> Was the alternative data tested for even role representation? If the model uses the profile </w:t>
      </w:r>
      <w:r>
        <w:rPr>
          <w:b w:val="0"/>
          <w:i/>
          <w:sz w:val="19"/>
        </w:rPr>
        <w:t>mix</w:t>
      </w:r>
      <w:r>
        <w:rPr>
          <w:b w:val="0"/>
          <w:i w:val="0"/>
          <w:sz w:val="19"/>
        </w:rPr>
        <w:t xml:space="preserve"> as a structure anywhere, it is wrong.</w:t>
      </w:r>
    </w:p>
    <w:p>
      <w:pPr>
        <w:pStyle w:val="ListNumber"/>
        <w:keepNext w:val="0"/>
        <w:spacing w:line="264" w:lineRule="auto" w:before="0" w:after="20"/>
        <w:ind w:left="360"/>
      </w:pPr>
      <w:r>
        <w:rPr>
          <w:b/>
          <w:i w:val="0"/>
          <w:sz w:val="19"/>
        </w:rPr>
        <w:t>Staleness.</w:t>
      </w:r>
      <w:r>
        <w:rPr>
          <w:b w:val="0"/>
          <w:i w:val="0"/>
          <w:sz w:val="19"/>
        </w:rPr>
        <w:t xml:space="preserve"> What is the cutoff, who chose it, and what does the answer look like at 12 and 36 months?</w:t>
      </w:r>
    </w:p>
    <w:p>
      <w:pPr>
        <w:pStyle w:val="ListNumber"/>
        <w:keepNext w:val="0"/>
        <w:spacing w:line="264" w:lineRule="auto" w:before="0" w:after="20"/>
        <w:ind w:left="360"/>
      </w:pPr>
      <w:r>
        <w:rPr>
          <w:b/>
          <w:i w:val="0"/>
          <w:sz w:val="19"/>
        </w:rPr>
        <w:t>External reconciliation.</w:t>
      </w:r>
      <w:r>
        <w:rPr>
          <w:b w:val="0"/>
          <w:i w:val="0"/>
          <w:sz w:val="19"/>
        </w:rPr>
        <w:t xml:space="preserve"> Does the result survive revenue per employee, labour as a share of revenue, and a physical count like vehicles? Three checks that could fail independently beat one that passes.</w:t>
      </w:r>
    </w:p>
    <w:p>
      <w:pPr>
        <w:pStyle w:val="ListNumber"/>
        <w:keepNext w:val="0"/>
        <w:spacing w:line="264" w:lineRule="auto" w:before="0" w:after="20"/>
        <w:ind w:left="360"/>
      </w:pPr>
      <w:r>
        <w:rPr>
          <w:b/>
          <w:i w:val="0"/>
          <w:sz w:val="19"/>
        </w:rPr>
        <w:t>A measured error, not a confidence adjective.</w:t>
      </w:r>
      <w:r>
        <w:rPr>
          <w:b w:val="0"/>
          <w:i w:val="0"/>
          <w:sz w:val="19"/>
        </w:rPr>
        <w:t xml:space="preserve"> Without a back-test the reliability claim is an opinion, and the data to run one is usually already in the model.</w:t>
      </w:r>
    </w:p>
    <w:p>
      <w:pPr>
        <w:pStyle w:val="ListNumber"/>
        <w:keepNext w:val="0"/>
        <w:spacing w:line="264" w:lineRule="auto" w:before="0" w:after="20"/>
        <w:ind w:left="360"/>
      </w:pPr>
      <w:r>
        <w:rPr>
          <w:b/>
          <w:i w:val="0"/>
          <w:sz w:val="19"/>
        </w:rPr>
        <w:t>Falsifiers in writing before diligence.</w:t>
      </w:r>
      <w:r>
        <w:rPr>
          <w:b w:val="0"/>
          <w:i w:val="0"/>
          <w:sz w:val="19"/>
        </w:rPr>
        <w:t xml:space="preserve"> If the model cannot be wrong, it cannot be tested.</w:t>
      </w:r>
    </w:p>
    <w:p>
      <w:pPr>
        <w:keepNext w:val="0"/>
        <w:spacing w:line="264" w:lineRule="auto" w:before="0" w:after="20"/>
      </w:pPr>
    </w:p>
    <w:p>
      <w:pPr>
        <w:keepNext/>
        <w:spacing w:line="264" w:lineRule="auto" w:before="100" w:after="40"/>
      </w:pPr>
      <w:r>
        <w:rPr>
          <w:b/>
          <w:sz w:val="22"/>
        </w:rPr>
        <w:t>Limitations and AI use</w:t>
      </w:r>
    </w:p>
    <w:p>
      <w:pPr>
        <w:keepNext w:val="0"/>
        <w:spacing w:line="264" w:lineRule="auto" w:before="0" w:after="80"/>
      </w:pPr>
      <w:r>
        <w:rPr>
          <w:b w:val="0"/>
          <w:i w:val="0"/>
          <w:sz w:val="19"/>
        </w:rPr>
        <w:t>Cardinal is priced on Northstar's load factors because nothing else is observable; its real benefit design could move cost 5% either way and is the first diligence request. The comp is a single company, so Great Lakes' idiosyncrasies are inherited wholesale — the honest hedge is that the back-test measures exactly that risk at 2.5%. Level ladders are borrowed from two opcos in two other states. And the sales anomaly is unresolved: at 3.5x coverage, either the extract over-retains sales profiles or Cardinal runs a genuinely sales-heavy in-home model, and the org chart settles it in an afternoon.</w:t>
      </w:r>
    </w:p>
    <w:p>
      <w:pPr>
        <w:keepNext w:val="0"/>
        <w:spacing w:line="264" w:lineRule="auto" w:before="0" w:after="80"/>
      </w:pPr>
      <w:r>
        <w:rPr>
          <w:b w:val="0"/>
          <w:i w:val="0"/>
          <w:sz w:val="19"/>
        </w:rPr>
        <w:t xml:space="preserve">Cursor with Claude profiled the extract, drafted the pipeline and this memo. The material judgements were made against output, not code: the Florida entity was found by reading a location crosstab rather than trusting the provider's match; the two-live-base split came from noticing that excluding unresolvable titles was quietly shrinking a headcount signal; and the Corporate contamination was caught because a −25% error appearing four times with the same sign is a structural bug, not noise. Fifteen assertions in </w:t>
      </w:r>
      <w:r>
        <w:rPr>
          <w:rFonts w:ascii="Consolas" w:hAnsi="Consolas"/>
          <w:b w:val="0"/>
          <w:i w:val="0"/>
          <w:sz w:val="18"/>
        </w:rPr>
        <w:t>build_cardinal.py</w:t>
      </w:r>
      <w:r>
        <w:rPr>
          <w:b w:val="0"/>
          <w:i w:val="0"/>
          <w:sz w:val="19"/>
        </w:rPr>
        <w:t xml:space="preserve"> exist so the next such error fails loudly.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