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  <w:jc w:val="center"/>
      </w:pPr>
      <w:r>
        <w:rPr/>
        <w:t>Business Plan</w:t>
      </w:r>
    </w:p>
    <w:p>
      <w:pPr>
        <w:jc w:val="center"/>
        <w:spacing w:after="60" w:line="276" w:lineRule="auto"/>
      </w:pPr>
      <w:r>
        <w:rPr>
          <w:color w:val="006B5F"/>
          <w:sz w:val="28"/>
        </w:rPr>
        <w:t>Erasmus+ Application Support Business</w:t>
      </w:r>
    </w:p>
    <w:p>
      <w:pPr>
        <w:jc w:val="center"/>
        <w:spacing w:after="220" w:line="276" w:lineRule="auto"/>
      </w:pPr>
      <w:r>
        <w:rPr>
          <w:i/>
          <w:color w:val="52606D"/>
          <w:sz w:val="18"/>
        </w:rPr>
        <w:t>For Rob Bangert and Kata Kadek</w:t>
      </w:r>
    </w:p>
    <w:p>
      <w:pPr>
        <w:pStyle w:val="Heading2"/>
        <w:spacing w:before="160" w:line="276" w:lineRule="auto"/>
      </w:pPr>
      <w:r>
        <w:rPr/>
        <w:t>Prepared: 30 April 2026</w:t>
      </w:r>
    </w:p>
    <w:p>
      <w:pPr>
        <w:pStyle w:val="Heading1"/>
      </w:pPr>
      <w:r>
        <w:rPr/>
        <w:t>1. Executive Summary</w:t>
      </w:r>
    </w:p>
    <w:p>
      <w:pPr>
        <w:spacing w:after="90" w:line="276" w:lineRule="auto"/>
      </w:pPr>
      <w:r>
        <w:rPr>
          <w:color w:val="101828"/>
          <w:sz w:val="19"/>
        </w:rPr>
        <w:t>Rob Bangert and Kata Kadek can build a strong, scalable business around the Erasmus+ Proposal Coach by positioning themselves not as traditional paid consultants, but as expert guides whose knowledge is embedded in a paid application platform.</w:t>
      </w:r>
    </w:p>
    <w:tbl>
      <w:tblPr>
        <w:tblW w:type="dxa" w:w="10166"/>
        <w:jc w:val="center"/>
      </w:tblPr>
      <w:tblGrid>
        <w:gridCol w:w="10166"/>
      </w:tblGrid>
      <w:tr>
        <w:tc>
          <w:tcPr>
            <w:tcW w:type="dxa" w:w="10166"/>
            <w:shd w:fill="EEF8F5"/>
            <w:tcBorders>
              <w:top w:val="single" w:sz="10" w:space="0" w:color="006B5F"/>
              <w:left w:val="single" w:sz="10" w:space="0" w:color="006B5F"/>
              <w:bottom w:val="single" w:sz="10" w:space="0" w:color="006B5F"/>
              <w:right w:val="single" w:sz="10" w:space="0" w:color="006B5F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6B5F"/>
                <w:sz w:val="20"/>
              </w:rPr>
              <w:t>Core principle:</w:t>
            </w:r>
          </w:p>
          <w:p>
            <w:pPr>
              <w:spacing w:after="0" w:line="276" w:lineRule="auto"/>
            </w:pPr>
            <w:r>
              <w:rPr>
                <w:color w:val="101828"/>
                <w:sz w:val="19"/>
              </w:rPr>
              <w:t>Clients do not pay primarily for hours of consultancy. They pay for access to the app, the structured workflow, the proposal intelligence, the guide search, the reusable partner library, and a limited expert success layer that helps them use the tool well.</w:t>
            </w:r>
          </w:p>
        </w:tc>
      </w:tr>
    </w:tbl>
    <w:p>
      <w:pPr>
        <w:spacing w:after="40" w:line="276" w:lineRule="auto"/>
      </w:pPr>
    </w:p>
    <w:p>
      <w:pPr>
        <w:pStyle w:val="Heading2"/>
        <w:spacing w:before="160" w:line="276" w:lineRule="auto"/>
      </w:pPr>
      <w:r>
        <w:rPr/>
        <w:t>This model is stronger than classic consultancy because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it is scalable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it reduces dependence on billable hours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it creates recurring revenue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it turns expert knowledge into a product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it allows support to be standardised</w:t>
      </w:r>
    </w:p>
    <w:p>
      <w:pPr>
        <w:pStyle w:val="Heading2"/>
        <w:spacing w:before="160" w:line="276" w:lineRule="auto"/>
      </w:pPr>
      <w:r>
        <w:rPr/>
        <w:t>The best business model is a product-led advisory business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paid app access is the main revenue engine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onboarding, workshops, and review moments are included only in controlled formats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Rob and Kata remain visible as trusted experts, but the app does the repetitive work</w:t>
      </w:r>
    </w:p>
    <w:p>
      <w:pPr>
        <w:pStyle w:val="Heading1"/>
      </w:pPr>
      <w:r>
        <w:rPr/>
        <w:t>2. Market Opportunity</w:t>
      </w:r>
    </w:p>
    <w:p>
      <w:pPr>
        <w:spacing w:after="90" w:line="276" w:lineRule="auto"/>
      </w:pPr>
      <w:r>
        <w:rPr>
          <w:color w:val="101828"/>
          <w:sz w:val="19"/>
        </w:rPr>
        <w:t>The Erasmus+ market is large and active enough to support a focused niche business.</w:t>
      </w:r>
    </w:p>
    <w:p>
      <w:pPr>
        <w:pStyle w:val="Heading2"/>
        <w:spacing w:before="160" w:line="276" w:lineRule="auto"/>
      </w:pPr>
      <w:r>
        <w:rPr/>
        <w:t>Relevant official context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Erasmus+ had an annual budget of EUR 4.7 billion in 2024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in 2024 the programme supported more than 34,400 projects and involved over 85,600 organisations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almost 1.5 million people took part in Erasmus+ mobility in 2024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the 2026 Erasmus+ call was published on 12 November 2025</w:t>
      </w:r>
    </w:p>
    <w:p>
      <w:pPr>
        <w:spacing w:after="90" w:line="276" w:lineRule="auto"/>
      </w:pPr>
      <w:r>
        <w:rPr>
          <w:color w:val="101828"/>
          <w:sz w:val="19"/>
        </w:rPr>
        <w:t>This means there is a continuous market of schools, youth organisations, cultural institutions, municipalities, and small foundations that need help writing better proposals.</w:t>
      </w:r>
    </w:p>
    <w:p>
      <w:pPr>
        <w:spacing w:after="90" w:line="276" w:lineRule="auto"/>
      </w:pPr>
      <w:r>
        <w:rPr>
          <w:color w:val="101828"/>
          <w:sz w:val="19"/>
        </w:rPr>
        <w:t>The strongest customer segment is not the already highly professional Brussels-style grant office. The strongest segment is: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smaller and medium-sized organisations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first-time or second-time applicants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organisations with limited internal writing capacity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cultural and educational institutions that have ideas but need structure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youth and arts organisations that struggle with deadlines, budget logic, and Erasmus wording</w:t>
      </w:r>
    </w:p>
    <w:p>
      <w:pPr>
        <w:pStyle w:val="Heading1"/>
      </w:pPr>
      <w:r>
        <w:rPr/>
        <w:t>3. Strategic Positioning</w:t>
      </w:r>
    </w:p>
    <w:tbl>
      <w:tblPr>
        <w:tblW w:type="dxa" w:w="10166"/>
        <w:jc w:val="center"/>
      </w:tblPr>
      <w:tblGrid>
        <w:gridCol w:w="10166"/>
      </w:tblGrid>
      <w:tr>
        <w:tc>
          <w:tcPr>
            <w:tcW w:type="dxa" w:w="10166"/>
            <w:shd w:fill="EEF8F5"/>
            <w:tcBorders>
              <w:top w:val="single" w:sz="10" w:space="0" w:color="006B5F"/>
              <w:left w:val="single" w:sz="10" w:space="0" w:color="006B5F"/>
              <w:bottom w:val="single" w:sz="10" w:space="0" w:color="006B5F"/>
              <w:right w:val="single" w:sz="10" w:space="0" w:color="006B5F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6B5F"/>
                <w:sz w:val="20"/>
              </w:rPr>
              <w:t>Recommended positioning:</w:t>
            </w:r>
          </w:p>
          <w:p>
            <w:pPr>
              <w:spacing w:after="0" w:line="276" w:lineRule="auto"/>
            </w:pPr>
            <w:r>
              <w:rPr>
                <w:color w:val="101828"/>
                <w:sz w:val="19"/>
              </w:rPr>
              <w:t>"We help cultural, educational, and youth organisations write stronger Erasmus+ applications faster through a guided application platform."</w:t>
            </w:r>
          </w:p>
        </w:tc>
      </w:tr>
    </w:tbl>
    <w:p>
      <w:pPr>
        <w:spacing w:after="40" w:line="276" w:lineRule="auto"/>
      </w:pPr>
    </w:p>
    <w:p>
      <w:pPr>
        <w:pStyle w:val="Heading2"/>
        <w:spacing w:before="160" w:line="276" w:lineRule="auto"/>
      </w:pPr>
      <w:r>
        <w:rPr/>
        <w:t>This is better than saying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"we are consultants"</w:t>
      </w:r>
    </w:p>
    <w:p>
      <w:pPr>
        <w:spacing w:after="90" w:line="276" w:lineRule="auto"/>
      </w:pPr>
      <w:r>
        <w:rPr>
          <w:color w:val="101828"/>
          <w:sz w:val="19"/>
        </w:rPr>
        <w:t>or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"we are software developers"</w:t>
      </w:r>
    </w:p>
    <w:p>
      <w:pPr>
        <w:pStyle w:val="Heading2"/>
        <w:spacing w:before="160" w:line="276" w:lineRule="auto"/>
      </w:pPr>
      <w:r>
        <w:rPr/>
        <w:t>The strongest position is between those two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expert-led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app-supported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deadline-driven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practical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affordable compared with full consultancy</w:t>
      </w:r>
    </w:p>
    <w:p>
      <w:pPr>
        <w:spacing w:after="90" w:line="276" w:lineRule="auto"/>
      </w:pPr>
      <w:r>
        <w:rPr>
          <w:color w:val="101828"/>
          <w:sz w:val="19"/>
        </w:rPr>
        <w:t>Positioning statement</w:t>
      </w:r>
    </w:p>
    <w:p>
      <w:pPr>
        <w:spacing w:after="90" w:line="276" w:lineRule="auto"/>
      </w:pPr>
      <w:r>
        <w:rPr>
          <w:color w:val="101828"/>
          <w:sz w:val="19"/>
        </w:rPr>
        <w:t>The Erasmus+ Proposal Coach combines the experience of two cultural and educational advisors with a practical drafting app that helps organisations move from idea to application much faster and with greater quality.</w:t>
      </w:r>
    </w:p>
    <w:p>
      <w:pPr>
        <w:pStyle w:val="Heading1"/>
      </w:pPr>
      <w:r>
        <w:rPr/>
        <w:t>4. Value Proposition</w:t>
      </w:r>
    </w:p>
    <w:p>
      <w:pPr>
        <w:pStyle w:val="Heading2"/>
        <w:spacing w:before="160" w:line="276" w:lineRule="auto"/>
      </w:pPr>
      <w:r>
        <w:rPr/>
        <w:t>Main customer value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less stress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faster drafting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better structure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clearer action fit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stronger budget logic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better alignment with Erasmus priorities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improved quality before portal submission</w:t>
      </w:r>
    </w:p>
    <w:p>
      <w:pPr>
        <w:pStyle w:val="Heading2"/>
        <w:spacing w:before="160" w:line="276" w:lineRule="auto"/>
      </w:pPr>
      <w:r>
        <w:rPr/>
        <w:t>What clients are really buying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confidence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speed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structure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better internal collaboration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 better chance of submitting a coherent application</w:t>
      </w:r>
    </w:p>
    <w:p>
      <w:pPr>
        <w:pStyle w:val="Heading2"/>
        <w:spacing w:before="160" w:line="276" w:lineRule="auto"/>
      </w:pPr>
      <w:r>
        <w:rPr/>
        <w:t>What makes this offer distinctive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the app is specifically designed for Erasmus+ proposal writing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the knowledge is embedded in the workflow, not just in a PDF or workshop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the tool reflects official priorities such as inclusion, digital transformation, sustainability, and participation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it allows institutions to save projects, partners, and reusable logic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it gives organisations a preparation space before the official Erasmus environment</w:t>
      </w:r>
    </w:p>
    <w:p>
      <w:pPr>
        <w:pStyle w:val="Heading1"/>
      </w:pPr>
      <w:r>
        <w:rPr/>
        <w:t>5. Business Model</w:t>
      </w:r>
    </w:p>
    <w:p>
      <w:pPr>
        <w:spacing w:after="90" w:line="276" w:lineRule="auto"/>
      </w:pPr>
      <w:r>
        <w:rPr>
          <w:color w:val="101828"/>
          <w:sz w:val="19"/>
        </w:rPr>
        <w:t>The right business model is institutional subscription plus controlled advisory layers.</w:t>
      </w:r>
    </w:p>
    <w:p>
      <w:pPr>
        <w:spacing w:after="90" w:line="276" w:lineRule="auto"/>
      </w:pPr>
      <w:r>
        <w:rPr>
          <w:color w:val="101828"/>
          <w:sz w:val="19"/>
        </w:rPr>
        <w:t>Recommended revenue model</w:t>
      </w:r>
    </w:p>
    <w:p>
      <w:pPr>
        <w:spacing w:after="90" w:line="276" w:lineRule="auto"/>
      </w:pPr>
      <w:r>
        <w:rPr>
          <w:color w:val="101828"/>
          <w:sz w:val="19"/>
        </w:rPr>
        <w:t>Layer 1: App licence revenue</w:t>
      </w:r>
    </w:p>
    <w:p>
      <w:pPr>
        <w:spacing w:after="90" w:line="276" w:lineRule="auto"/>
      </w:pPr>
      <w:r>
        <w:rPr>
          <w:color w:val="101828"/>
          <w:sz w:val="19"/>
        </w:rPr>
        <w:t>This is the main business.</w:t>
      </w:r>
    </w:p>
    <w:p>
      <w:pPr>
        <w:pStyle w:val="Heading2"/>
        <w:spacing w:before="160" w:line="276" w:lineRule="auto"/>
      </w:pPr>
      <w:r>
        <w:rPr/>
        <w:t>Suggested pricing structure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Solo or micro-organisation licence: EUR 290 to EUR 490 per year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Small institution licence: EUR 900 to EUR 1,500 per year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Multi-user institutional licence: EUR 2,500 to EUR 6,000 per year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Network or umbrella licence: EUR 7,500+ per year</w:t>
      </w:r>
    </w:p>
    <w:p>
      <w:pPr>
        <w:pStyle w:val="Heading2"/>
        <w:spacing w:before="160" w:line="276" w:lineRule="auto"/>
      </w:pPr>
      <w:r>
        <w:rPr/>
        <w:t>What is included in the licence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access to the app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future app updates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proposal examples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partner library and project storage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programme guide search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finance helper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AI-ready workflow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limited email support</w:t>
      </w:r>
    </w:p>
    <w:p>
      <w:pPr>
        <w:spacing w:after="90" w:line="276" w:lineRule="auto"/>
      </w:pPr>
      <w:r>
        <w:rPr>
          <w:color w:val="101828"/>
          <w:sz w:val="19"/>
        </w:rPr>
        <w:t>Layer 2: Onboarding revenue or onboarding included in higher tiers</w:t>
      </w:r>
    </w:p>
    <w:p>
      <w:pPr>
        <w:pStyle w:val="Heading2"/>
        <w:spacing w:before="160" w:line="276" w:lineRule="auto"/>
      </w:pPr>
      <w:r>
        <w:rPr/>
        <w:t>Suggested formats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90-minute onboarding session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2-hour team setup workshop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partner-library and workflow configuration</w:t>
      </w:r>
    </w:p>
    <w:p>
      <w:pPr>
        <w:pStyle w:val="Heading2"/>
        <w:spacing w:before="160" w:line="276" w:lineRule="auto"/>
      </w:pPr>
      <w:r>
        <w:rPr/>
        <w:t>This can be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included in premium licences</w:t>
      </w:r>
    </w:p>
    <w:p>
      <w:pPr>
        <w:spacing w:after="90" w:line="276" w:lineRule="auto"/>
      </w:pPr>
      <w:r>
        <w:rPr>
          <w:color w:val="101828"/>
          <w:sz w:val="19"/>
        </w:rPr>
        <w:t>or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sold as a one-time setup fee</w:t>
      </w:r>
    </w:p>
    <w:p>
      <w:pPr>
        <w:pStyle w:val="Heading2"/>
        <w:spacing w:before="160" w:line="276" w:lineRule="auto"/>
      </w:pPr>
      <w:r>
        <w:rPr/>
        <w:t>Suggested fee if sold separately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EUR 350 to EUR 950</w:t>
      </w:r>
    </w:p>
    <w:p>
      <w:pPr>
        <w:spacing w:after="90" w:line="276" w:lineRule="auto"/>
      </w:pPr>
      <w:r>
        <w:rPr>
          <w:color w:val="101828"/>
          <w:sz w:val="19"/>
        </w:rPr>
        <w:t>Layer 3: Review moments, not open-ended consultancy</w:t>
      </w:r>
    </w:p>
    <w:p>
      <w:pPr>
        <w:pStyle w:val="Heading2"/>
        <w:spacing w:before="160" w:line="276" w:lineRule="auto"/>
      </w:pPr>
      <w:r>
        <w:rPr/>
        <w:t>Important rule</w:t>
      </w:r>
    </w:p>
    <w:p>
      <w:pPr>
        <w:spacing w:after="90" w:line="276" w:lineRule="auto"/>
      </w:pPr>
      <w:r>
        <w:rPr>
          <w:color w:val="101828"/>
          <w:sz w:val="19"/>
        </w:rPr>
        <w:t>Do not offer unlimited free advisory work, because then the app licence becomes hidden consultancy.</w:t>
      </w:r>
    </w:p>
    <w:p>
      <w:pPr>
        <w:pStyle w:val="Heading2"/>
        <w:spacing w:before="160" w:line="276" w:lineRule="auto"/>
      </w:pPr>
      <w:r>
        <w:rPr/>
        <w:t>Instead, create fixed expert formats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one proposal review round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one finance review round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one partner-role review round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one deadline sprint session</w:t>
      </w:r>
    </w:p>
    <w:p>
      <w:pPr>
        <w:pStyle w:val="Heading2"/>
        <w:spacing w:before="160" w:line="276" w:lineRule="auto"/>
      </w:pPr>
      <w:r>
        <w:rPr/>
        <w:t>This can be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included in premium tiers in limited quantity</w:t>
      </w:r>
    </w:p>
    <w:p>
      <w:pPr>
        <w:spacing w:after="90" w:line="276" w:lineRule="auto"/>
      </w:pPr>
      <w:r>
        <w:rPr>
          <w:color w:val="101828"/>
          <w:sz w:val="19"/>
        </w:rPr>
        <w:t>or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sold as add-ons</w:t>
      </w:r>
    </w:p>
    <w:p>
      <w:pPr>
        <w:pStyle w:val="Heading2"/>
        <w:spacing w:before="160" w:line="276" w:lineRule="auto"/>
      </w:pPr>
      <w:r>
        <w:rPr/>
        <w:t>Suggested pricing for add-ons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proposal review sprint: EUR 450 to EUR 750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full institutional application review: EUR 900 to EUR 1,500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team workshop: EUR 950 to EUR 1,800</w:t>
      </w:r>
    </w:p>
    <w:p>
      <w:pPr>
        <w:pStyle w:val="Heading2"/>
        <w:spacing w:before="160" w:line="276" w:lineRule="auto"/>
      </w:pPr>
      <w:r>
        <w:rPr/>
        <w:t>Key principle</w:t>
      </w:r>
    </w:p>
    <w:p>
      <w:pPr>
        <w:spacing w:after="90" w:line="276" w:lineRule="auto"/>
      </w:pPr>
      <w:r>
        <w:rPr>
          <w:color w:val="101828"/>
          <w:sz w:val="19"/>
        </w:rPr>
        <w:t>The customer pays for the platform. Expert time is structured, limited, and productised.</w:t>
      </w:r>
    </w:p>
    <w:p>
      <w:pPr>
        <w:pStyle w:val="Heading1"/>
      </w:pPr>
      <w:r>
        <w:rPr/>
        <w:t>6. Service Boundary</w:t>
      </w:r>
    </w:p>
    <w:p>
      <w:pPr>
        <w:spacing w:after="90" w:line="276" w:lineRule="auto"/>
      </w:pPr>
      <w:r>
        <w:rPr>
          <w:color w:val="101828"/>
          <w:sz w:val="19"/>
        </w:rPr>
        <w:t>This is crucial for profitability.</w:t>
      </w:r>
    </w:p>
    <w:p>
      <w:pPr>
        <w:spacing w:after="90" w:line="276" w:lineRule="auto"/>
      </w:pPr>
      <w:r>
        <w:rPr>
          <w:color w:val="101828"/>
          <w:sz w:val="19"/>
        </w:rPr>
        <w:t>Rob and Kata should not become unpaid ghostwriters.</w:t>
      </w:r>
    </w:p>
    <w:p>
      <w:pPr>
        <w:pStyle w:val="Heading2"/>
        <w:spacing w:before="160" w:line="276" w:lineRule="auto"/>
      </w:pPr>
      <w:r>
        <w:rPr/>
        <w:t>Recommended boundary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you help organisations think, structure, improve, and review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the organisation itself remains responsible for the final submission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support is delivered through the app, templates, webinars, and fixed-format review moments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custom writing is the exception, not the default</w:t>
      </w:r>
    </w:p>
    <w:p>
      <w:pPr>
        <w:pStyle w:val="Heading2"/>
        <w:spacing w:before="160" w:line="276" w:lineRule="auto"/>
      </w:pPr>
      <w:r>
        <w:rPr/>
        <w:t>A useful rule for every sale</w:t>
      </w:r>
    </w:p>
    <w:p>
      <w:pPr>
        <w:spacing w:after="90" w:line="276" w:lineRule="auto"/>
      </w:pPr>
      <w:r>
        <w:rPr>
          <w:color w:val="101828"/>
          <w:sz w:val="19"/>
        </w:rPr>
        <w:t>"The app does the drafting work. We help your team use it well."</w:t>
      </w:r>
    </w:p>
    <w:p>
      <w:pPr>
        <w:pStyle w:val="Heading1"/>
      </w:pPr>
      <w:r>
        <w:rPr/>
        <w:t>7. Target Customers</w:t>
      </w:r>
    </w:p>
    <w:p>
      <w:pPr>
        <w:pStyle w:val="Heading2"/>
        <w:spacing w:before="160" w:line="276" w:lineRule="auto"/>
      </w:pPr>
      <w:r>
        <w:rPr/>
        <w:t>Primary target groups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youth organisations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cultural foundations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music schools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arts education institutes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municipalities with youth or participation projects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schools and educational partnerships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NGOs working in inclusion, participation, language, sustainability, and creativity</w:t>
      </w:r>
    </w:p>
    <w:p>
      <w:pPr>
        <w:pStyle w:val="Heading2"/>
        <w:spacing w:before="160" w:line="276" w:lineRule="auto"/>
      </w:pPr>
      <w:r>
        <w:rPr/>
        <w:t>Best early adopter profile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already interested in Erasmus+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has one person carrying too much proposal work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has some project ideas but weak structure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wants to submit within the next 3 to 9 months</w:t>
      </w:r>
    </w:p>
    <w:p>
      <w:pPr>
        <w:pStyle w:val="Heading2"/>
        <w:spacing w:before="160" w:line="276" w:lineRule="auto"/>
      </w:pPr>
      <w:r>
        <w:rPr/>
        <w:t>Secondary target groups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umbrella organisations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regional support structures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training networks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federations in culture, youth, education, or social inclusion</w:t>
      </w:r>
    </w:p>
    <w:p>
      <w:pPr>
        <w:pStyle w:val="Heading1"/>
      </w:pPr>
      <w:r>
        <w:rPr/>
        <w:t>8. Offer Design</w:t>
      </w:r>
    </w:p>
    <w:p>
      <w:pPr>
        <w:spacing w:after="90" w:line="276" w:lineRule="auto"/>
      </w:pPr>
      <w:r>
        <w:rPr>
          <w:color w:val="101828"/>
          <w:sz w:val="19"/>
        </w:rPr>
        <w:t>Recommended offer ladder</w:t>
      </w:r>
    </w:p>
    <w:p>
      <w:pPr>
        <w:pStyle w:val="Heading2"/>
        <w:spacing w:before="160" w:line="276" w:lineRule="auto"/>
      </w:pPr>
      <w:r>
        <w:rPr/>
        <w:t>Offer 1: Starter</w:t>
      </w:r>
    </w:p>
    <w:p>
      <w:pPr>
        <w:spacing w:after="90" w:line="276" w:lineRule="auto"/>
      </w:pPr>
      <w:r>
        <w:rPr>
          <w:color w:val="101828"/>
          <w:sz w:val="19"/>
        </w:rPr>
        <w:t>For one small organisation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1 user or small team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app access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standard examples and guide search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limited support</w:t>
      </w:r>
    </w:p>
    <w:p>
      <w:pPr>
        <w:pStyle w:val="Heading2"/>
        <w:spacing w:before="160" w:line="276" w:lineRule="auto"/>
      </w:pPr>
      <w:r>
        <w:rPr/>
        <w:t>Offer 2: Team</w:t>
      </w:r>
    </w:p>
    <w:p>
      <w:pPr>
        <w:spacing w:after="90" w:line="276" w:lineRule="auto"/>
      </w:pPr>
      <w:r>
        <w:rPr>
          <w:color w:val="101828"/>
          <w:sz w:val="19"/>
        </w:rPr>
        <w:t>For organisations writing several applications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3 to 8 users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app access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onboarding session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one review sprint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team workflow support</w:t>
      </w:r>
    </w:p>
    <w:p>
      <w:pPr>
        <w:pStyle w:val="Heading2"/>
        <w:spacing w:before="160" w:line="276" w:lineRule="auto"/>
      </w:pPr>
      <w:r>
        <w:rPr/>
        <w:t>Offer 3: Partner Network</w:t>
      </w:r>
    </w:p>
    <w:p>
      <w:pPr>
        <w:spacing w:after="90" w:line="276" w:lineRule="auto"/>
      </w:pPr>
      <w:r>
        <w:rPr>
          <w:color w:val="101828"/>
          <w:sz w:val="19"/>
        </w:rPr>
        <w:t>For umbrella or multi-organisation structures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shared setup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several organisations or departments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onboarding workshop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recurring review moments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reporting on usage and progress</w:t>
      </w:r>
    </w:p>
    <w:p>
      <w:pPr>
        <w:pStyle w:val="Heading2"/>
        <w:spacing w:before="160" w:line="276" w:lineRule="auto"/>
      </w:pPr>
      <w:r>
        <w:rPr/>
        <w:t>Offer 4: Deadline Sprint</w:t>
      </w:r>
    </w:p>
    <w:p>
      <w:pPr>
        <w:spacing w:after="90" w:line="276" w:lineRule="auto"/>
      </w:pPr>
      <w:r>
        <w:rPr>
          <w:color w:val="101828"/>
          <w:sz w:val="19"/>
        </w:rPr>
        <w:t>A campaign product around an Erasmus call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short access period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onboarding webinar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deadline checklist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one expert review round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positioned as "from idea to draft in 4-6 weeks"</w:t>
      </w:r>
    </w:p>
    <w:p>
      <w:pPr>
        <w:pStyle w:val="Heading1"/>
      </w:pPr>
      <w:r>
        <w:rPr/>
        <w:t>9. Best Way To Promote The Business</w:t>
      </w:r>
    </w:p>
    <w:p>
      <w:pPr>
        <w:pStyle w:val="Heading2"/>
        <w:spacing w:before="160" w:line="276" w:lineRule="auto"/>
      </w:pPr>
      <w:r>
        <w:rPr/>
        <w:t>Best overall strategy</w:t>
      </w:r>
    </w:p>
    <w:p>
      <w:pPr>
        <w:spacing w:after="90" w:line="276" w:lineRule="auto"/>
      </w:pPr>
      <w:r>
        <w:rPr>
          <w:color w:val="101828"/>
          <w:sz w:val="19"/>
        </w:rPr>
        <w:t>Deadline-led authority marketing.</w:t>
      </w:r>
    </w:p>
    <w:p>
      <w:pPr>
        <w:spacing w:after="90" w:line="276" w:lineRule="auto"/>
      </w:pPr>
      <w:r>
        <w:rPr>
          <w:color w:val="101828"/>
          <w:sz w:val="19"/>
        </w:rPr>
        <w:t>This is the best promotion model because Erasmus+ demand is seasonal and deadline-driven. Organisations do not look for support every day. They look when: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 new call opens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they decide to apply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deadlines approach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they realise they need structure</w:t>
      </w:r>
    </w:p>
    <w:p>
      <w:pPr>
        <w:spacing w:after="90" w:line="276" w:lineRule="auto"/>
      </w:pPr>
      <w:r>
        <w:rPr>
          <w:color w:val="101828"/>
          <w:sz w:val="19"/>
        </w:rPr>
        <w:t>So the best way to promote the business is not broad generic branding first.</w:t>
      </w:r>
    </w:p>
    <w:p>
      <w:pPr>
        <w:pStyle w:val="Heading2"/>
        <w:spacing w:before="160" w:line="276" w:lineRule="auto"/>
      </w:pPr>
      <w:r>
        <w:rPr/>
        <w:t>The best route is</w:t>
      </w:r>
    </w:p>
    <w:p>
      <w:pPr>
        <w:pStyle w:val="Heading1"/>
      </w:pPr>
      <w:r>
        <w:rPr/>
        <w:t>1. publish practical authority content tied to specific Erasmus actions</w:t>
      </w:r>
    </w:p>
    <w:p>
      <w:pPr>
        <w:pStyle w:val="Heading1"/>
      </w:pPr>
      <w:r>
        <w:rPr/>
        <w:t>2. run short public webinars before application deadlines</w:t>
      </w:r>
    </w:p>
    <w:p>
      <w:pPr>
        <w:pStyle w:val="Heading1"/>
      </w:pPr>
      <w:r>
        <w:rPr/>
        <w:t>3. offer a low-friction trial or demo of the app</w:t>
      </w:r>
    </w:p>
    <w:p>
      <w:pPr>
        <w:pStyle w:val="Heading1"/>
      </w:pPr>
      <w:r>
        <w:rPr/>
        <w:t>4. convert institutions into paid app users</w:t>
      </w:r>
    </w:p>
    <w:p>
      <w:pPr>
        <w:pStyle w:val="Heading1"/>
      </w:pPr>
      <w:r>
        <w:rPr/>
        <w:t>5. upsell onboarding and review sprints</w:t>
      </w:r>
    </w:p>
    <w:p>
      <w:pPr>
        <w:spacing w:after="90" w:line="276" w:lineRule="auto"/>
      </w:pPr>
      <w:r>
        <w:rPr>
          <w:color w:val="101828"/>
          <w:sz w:val="19"/>
        </w:rPr>
        <w:t>This is much stronger than trying to sell consultancy directly.</w:t>
      </w:r>
    </w:p>
    <w:p>
      <w:pPr>
        <w:pStyle w:val="Heading1"/>
      </w:pPr>
      <w:r>
        <w:rPr/>
        <w:t>10. Promotion Plan</w:t>
      </w:r>
    </w:p>
    <w:p>
      <w:pPr>
        <w:spacing w:after="90" w:line="276" w:lineRule="auto"/>
      </w:pPr>
      <w:r>
        <w:rPr>
          <w:color w:val="101828"/>
          <w:sz w:val="19"/>
        </w:rPr>
        <w:t>Channel 1: Webinars before deadlines</w:t>
      </w:r>
    </w:p>
    <w:p>
      <w:pPr>
        <w:spacing w:after="90" w:line="276" w:lineRule="auto"/>
      </w:pPr>
      <w:r>
        <w:rPr>
          <w:color w:val="101828"/>
          <w:sz w:val="19"/>
        </w:rPr>
        <w:t>This should be the main lead engine.</w:t>
      </w:r>
    </w:p>
    <w:p>
      <w:pPr>
        <w:pStyle w:val="Heading2"/>
        <w:spacing w:before="160" w:line="276" w:lineRule="auto"/>
      </w:pPr>
      <w:r>
        <w:rPr/>
        <w:t>Suggested webinar topics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How to choose between KA 152, KA 153, KA 210, and KA 220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How to write a stronger Erasmus+ needs analysis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How to structure a youth exchange budget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How to turn one project idea into a full Erasmus+ draft in one hour</w:t>
      </w:r>
    </w:p>
    <w:p>
      <w:pPr>
        <w:pStyle w:val="Heading2"/>
        <w:spacing w:before="160" w:line="276" w:lineRule="auto"/>
      </w:pPr>
      <w:r>
        <w:rPr/>
        <w:t>Why this works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it shows expertise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it gives immediate value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it demonstrates the app live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it creates urgency around deadlines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it attracts exactly the right audience</w:t>
      </w:r>
    </w:p>
    <w:p>
      <w:pPr>
        <w:pStyle w:val="Heading2"/>
        <w:spacing w:before="160" w:line="276" w:lineRule="auto"/>
      </w:pPr>
      <w:r>
        <w:rPr/>
        <w:t>Recommended calendar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first campaign: 10 to 12 weeks before a major deadline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second campaign: 6 to 8 weeks before the deadline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final campaign: 3 to 4 weeks before the deadline</w:t>
      </w:r>
    </w:p>
    <w:p>
      <w:pPr>
        <w:pStyle w:val="Heading2"/>
        <w:spacing w:before="160" w:line="276" w:lineRule="auto"/>
      </w:pPr>
      <w:r>
        <w:rPr/>
        <w:t>Verified 2026 youth deadlines from official call documents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KA 152-YOU: 12 February 2026, 12:00 Brussels time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KA 153-YOU: 12 February 2026, 12:00 Brussels time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KA 210-YOU: 5 March 2026, 12:00 Brussels time</w:t>
      </w:r>
    </w:p>
    <w:p>
      <w:pPr>
        <w:pStyle w:val="Heading2"/>
        <w:spacing w:before="160" w:line="276" w:lineRule="auto"/>
      </w:pPr>
      <w:r>
        <w:rPr/>
        <w:t>This means your strongest campaign months are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November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December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January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February</w:t>
      </w:r>
    </w:p>
    <w:p>
      <w:pPr>
        <w:spacing w:after="90" w:line="276" w:lineRule="auto"/>
      </w:pPr>
      <w:r>
        <w:rPr>
          <w:color w:val="101828"/>
          <w:sz w:val="19"/>
        </w:rPr>
        <w:t>Channel 2: Action-specific landing pages</w:t>
      </w:r>
    </w:p>
    <w:p>
      <w:pPr>
        <w:pStyle w:val="Heading2"/>
        <w:spacing w:before="160" w:line="276" w:lineRule="auto"/>
      </w:pPr>
      <w:r>
        <w:rPr/>
        <w:t>Create separate landing pages for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KA 152 Youth Exchange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KA 153 Mobility of Youth Workers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KA 210 Small-scale Partnership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KA 220 Cooperation Partnership</w:t>
      </w:r>
    </w:p>
    <w:p>
      <w:pPr>
        <w:pStyle w:val="Heading2"/>
        <w:spacing w:before="160" w:line="276" w:lineRule="auto"/>
      </w:pPr>
      <w:r>
        <w:rPr/>
        <w:t>Each landing page should include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who this action is for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common mistakes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how the app helps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 short demo or screenshots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webinar sign-up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book-a-demo or start-trial button</w:t>
      </w:r>
    </w:p>
    <w:p>
      <w:pPr>
        <w:pStyle w:val="Heading2"/>
        <w:spacing w:before="160" w:line="276" w:lineRule="auto"/>
      </w:pPr>
      <w:r>
        <w:rPr/>
        <w:t>Why this works</w:t>
      </w:r>
    </w:p>
    <w:p>
      <w:pPr>
        <w:spacing w:after="90" w:line="276" w:lineRule="auto"/>
      </w:pPr>
      <w:r>
        <w:rPr>
          <w:color w:val="101828"/>
          <w:sz w:val="19"/>
        </w:rPr>
        <w:t>People search by action, not by abstract software category.</w:t>
      </w:r>
    </w:p>
    <w:p>
      <w:pPr>
        <w:spacing w:after="90" w:line="276" w:lineRule="auto"/>
      </w:pPr>
      <w:r>
        <w:rPr>
          <w:color w:val="101828"/>
          <w:sz w:val="19"/>
        </w:rPr>
        <w:t>Channel 3: Partner and network outreach</w:t>
      </w:r>
    </w:p>
    <w:p>
      <w:pPr>
        <w:spacing w:after="90" w:line="276" w:lineRule="auto"/>
      </w:pPr>
      <w:r>
        <w:rPr>
          <w:color w:val="101828"/>
          <w:sz w:val="19"/>
        </w:rPr>
        <w:t>The best institutional distribution route is through trusted intermediaries.</w:t>
      </w:r>
    </w:p>
    <w:p>
      <w:pPr>
        <w:pStyle w:val="Heading2"/>
        <w:spacing w:before="160" w:line="276" w:lineRule="auto"/>
      </w:pPr>
      <w:r>
        <w:rPr/>
        <w:t>Priority partners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umbrella organisations in culture and education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Erasmus coordinators' networks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municipal culture and youth departments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training bodies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regional support agencies</w:t>
      </w:r>
    </w:p>
    <w:p>
      <w:pPr>
        <w:pStyle w:val="Heading2"/>
        <w:spacing w:before="160" w:line="276" w:lineRule="auto"/>
      </w:pPr>
      <w:r>
        <w:rPr/>
        <w:t>Offer them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 partner webinar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 demo for their member organisations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 network licence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 pilot package</w:t>
      </w:r>
    </w:p>
    <w:p>
      <w:pPr>
        <w:spacing w:after="90" w:line="276" w:lineRule="auto"/>
      </w:pPr>
      <w:r>
        <w:rPr>
          <w:color w:val="101828"/>
          <w:sz w:val="19"/>
        </w:rPr>
        <w:t>Channel 4: Case-based content</w:t>
      </w:r>
    </w:p>
    <w:p>
      <w:pPr>
        <w:pStyle w:val="Heading2"/>
        <w:spacing w:before="160" w:line="276" w:lineRule="auto"/>
      </w:pPr>
      <w:r>
        <w:rPr/>
        <w:t>Publish short practical articles or LinkedIn posts such as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5 reasons your Erasmus idea fits KA 210 instead of KA 152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Why many institutions wait too long to think about budget logic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What evaluators look for in objectives and impact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How to prepare your Erasmus application before opening the portal</w:t>
      </w:r>
    </w:p>
    <w:p>
      <w:pPr>
        <w:pStyle w:val="Heading2"/>
        <w:spacing w:before="160" w:line="276" w:lineRule="auto"/>
      </w:pPr>
      <w:r>
        <w:rPr/>
        <w:t>This content should always end with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join webinar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request demo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try the app</w:t>
      </w:r>
    </w:p>
    <w:p>
      <w:pPr>
        <w:spacing w:after="90" w:line="276" w:lineRule="auto"/>
      </w:pPr>
      <w:r>
        <w:rPr>
          <w:color w:val="101828"/>
          <w:sz w:val="19"/>
        </w:rPr>
        <w:t>Channel 5: Demonstration workshops</w:t>
      </w:r>
    </w:p>
    <w:p>
      <w:pPr>
        <w:pStyle w:val="Heading2"/>
        <w:spacing w:before="160" w:line="276" w:lineRule="auto"/>
      </w:pPr>
      <w:r>
        <w:rPr/>
        <w:t>Use live demonstrations in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conferences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municipal meetings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school leadership networks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youth work networks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arts education gatherings</w:t>
      </w:r>
    </w:p>
    <w:p>
      <w:pPr>
        <w:spacing w:after="90" w:line="276" w:lineRule="auto"/>
      </w:pPr>
      <w:r>
        <w:rPr>
          <w:color w:val="101828"/>
          <w:sz w:val="19"/>
        </w:rPr>
        <w:t>Demonstration works especially well because the app is concrete and visual.</w:t>
      </w:r>
    </w:p>
    <w:p>
      <w:pPr>
        <w:pStyle w:val="Heading1"/>
      </w:pPr>
      <w:r>
        <w:rPr/>
        <w:t>11. Sales Funnel</w:t>
      </w:r>
    </w:p>
    <w:p>
      <w:pPr>
        <w:pStyle w:val="Heading2"/>
        <w:spacing w:before="160" w:line="276" w:lineRule="auto"/>
      </w:pPr>
      <w:r>
        <w:rPr/>
        <w:t>Recommended funnel</w:t>
      </w:r>
    </w:p>
    <w:p>
      <w:pPr>
        <w:spacing w:after="90" w:line="276" w:lineRule="auto"/>
      </w:pPr>
      <w:r>
        <w:rPr>
          <w:color w:val="101828"/>
          <w:sz w:val="19"/>
        </w:rPr>
        <w:t>Top of funnel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webinar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LinkedIn posts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partner newsletters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presentations in networks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downloadable checklist</w:t>
      </w:r>
    </w:p>
    <w:p>
      <w:pPr>
        <w:spacing w:after="90" w:line="276" w:lineRule="auto"/>
      </w:pPr>
      <w:r>
        <w:rPr>
          <w:color w:val="101828"/>
          <w:sz w:val="19"/>
        </w:rPr>
        <w:t>Middle of funnel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app demo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free readiness scan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short trial or guided walkthrough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action-fit conversation</w:t>
      </w:r>
    </w:p>
    <w:p>
      <w:pPr>
        <w:spacing w:after="90" w:line="276" w:lineRule="auto"/>
      </w:pPr>
      <w:r>
        <w:rPr>
          <w:color w:val="101828"/>
          <w:sz w:val="19"/>
        </w:rPr>
        <w:t>Bottom of funnel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annual licence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team onboarding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deadline sprint add-on</w:t>
      </w:r>
    </w:p>
    <w:p>
      <w:pPr>
        <w:pStyle w:val="Heading1"/>
      </w:pPr>
      <w:r>
        <w:rPr/>
        <w:t>12. Pricing Logic</w:t>
      </w:r>
    </w:p>
    <w:p>
      <w:pPr>
        <w:spacing w:after="90" w:line="276" w:lineRule="auto"/>
      </w:pPr>
      <w:r>
        <w:rPr>
          <w:color w:val="101828"/>
          <w:sz w:val="19"/>
        </w:rPr>
        <w:t>Do not price the app too cheaply.</w:t>
      </w:r>
    </w:p>
    <w:p>
      <w:pPr>
        <w:spacing w:after="90" w:line="276" w:lineRule="auto"/>
      </w:pPr>
      <w:r>
        <w:rPr>
          <w:color w:val="101828"/>
          <w:sz w:val="19"/>
        </w:rPr>
        <w:t>If the app replaces many hours of stressful coordination and writing, the buyer should experience it as: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cheaper than consultancy</w:t>
      </w:r>
    </w:p>
    <w:p>
      <w:pPr>
        <w:spacing w:after="90" w:line="276" w:lineRule="auto"/>
      </w:pPr>
      <w:r>
        <w:rPr>
          <w:color w:val="101828"/>
          <w:sz w:val="19"/>
        </w:rPr>
        <w:t>but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serious enough to be trusted</w:t>
      </w:r>
    </w:p>
    <w:p>
      <w:pPr>
        <w:pStyle w:val="Heading2"/>
        <w:spacing w:before="160" w:line="276" w:lineRule="auto"/>
      </w:pPr>
      <w:r>
        <w:rPr/>
        <w:t>Recommended principle</w:t>
      </w:r>
    </w:p>
    <w:p>
      <w:pPr>
        <w:spacing w:after="90" w:line="276" w:lineRule="auto"/>
      </w:pPr>
      <w:r>
        <w:rPr>
          <w:color w:val="101828"/>
          <w:sz w:val="19"/>
        </w:rPr>
        <w:t>price for institutional value, not for software novelty.</w:t>
      </w:r>
    </w:p>
    <w:p>
      <w:pPr>
        <w:pStyle w:val="Heading2"/>
        <w:spacing w:before="160" w:line="276" w:lineRule="auto"/>
      </w:pPr>
      <w:r>
        <w:rPr/>
        <w:t>Good pricing message</w:t>
      </w:r>
    </w:p>
    <w:p>
      <w:pPr>
        <w:spacing w:after="90" w:line="276" w:lineRule="auto"/>
      </w:pPr>
      <w:r>
        <w:rPr>
          <w:color w:val="101828"/>
          <w:sz w:val="19"/>
        </w:rPr>
        <w:t>"One licence costs less than one failed round of chaotic internal drafting."</w:t>
      </w:r>
    </w:p>
    <w:p>
      <w:pPr>
        <w:pStyle w:val="Heading1"/>
      </w:pPr>
      <w:r>
        <w:rPr/>
        <w:t>13. 12-Month Action Plan</w:t>
      </w:r>
    </w:p>
    <w:p>
      <w:pPr>
        <w:pStyle w:val="Heading2"/>
        <w:spacing w:before="160" w:line="276" w:lineRule="auto"/>
      </w:pPr>
      <w:r>
        <w:rPr/>
        <w:t>Month 1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finalise offer ladder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define pricing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prepare website copy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create three core landing pages</w:t>
      </w:r>
    </w:p>
    <w:p>
      <w:pPr>
        <w:pStyle w:val="Heading2"/>
        <w:spacing w:before="160" w:line="276" w:lineRule="auto"/>
      </w:pPr>
      <w:r>
        <w:rPr/>
        <w:t>Month 2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create demo deck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create one public webinar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prepare a trial flow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create contact list of 50 target institutions and 20 partner networks</w:t>
      </w:r>
    </w:p>
    <w:p>
      <w:pPr>
        <w:pStyle w:val="Heading2"/>
        <w:spacing w:before="160" w:line="276" w:lineRule="auto"/>
      </w:pPr>
      <w:r>
        <w:rPr/>
        <w:t>Month 3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run first webinar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start outreach to pilot users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sell first institutional licences</w:t>
      </w:r>
    </w:p>
    <w:p>
      <w:pPr>
        <w:pStyle w:val="Heading2"/>
        <w:spacing w:before="160" w:line="276" w:lineRule="auto"/>
      </w:pPr>
      <w:r>
        <w:rPr/>
        <w:t>Months 4-6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collect feedback and testimonials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publish case-based content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improve onboarding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launch second campaign around deadlines</w:t>
      </w:r>
    </w:p>
    <w:p>
      <w:pPr>
        <w:pStyle w:val="Heading2"/>
        <w:spacing w:before="160" w:line="276" w:lineRule="auto"/>
      </w:pPr>
      <w:r>
        <w:rPr/>
        <w:t>Months 7-12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build partner network deals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introduce network licences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refine templates and examples by action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publish annual results and user cases</w:t>
      </w:r>
    </w:p>
    <w:p>
      <w:pPr>
        <w:pStyle w:val="Heading1"/>
      </w:pPr>
      <w:r>
        <w:rPr/>
        <w:t>14. KPI Dashboard</w:t>
      </w:r>
    </w:p>
    <w:p>
      <w:pPr>
        <w:pStyle w:val="Heading2"/>
        <w:spacing w:before="160" w:line="276" w:lineRule="auto"/>
      </w:pPr>
      <w:r>
        <w:rPr/>
        <w:t>Track these metrics monthly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webinar registrations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demo calls booked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trial-to-paid conversion rate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paid institutions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annual recurring revenue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churn rate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review add-ons sold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average revenue per institution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renewal rate</w:t>
      </w:r>
    </w:p>
    <w:p>
      <w:pPr>
        <w:pStyle w:val="Heading1"/>
      </w:pPr>
      <w:r>
        <w:rPr/>
        <w:t>15. Risk Analysis</w:t>
      </w:r>
    </w:p>
    <w:p>
      <w:pPr>
        <w:spacing w:after="90" w:line="276" w:lineRule="auto"/>
      </w:pPr>
      <w:r>
        <w:rPr>
          <w:color w:val="101828"/>
          <w:sz w:val="19"/>
        </w:rPr>
        <w:t>Risk 1: Too much unpaid support</w:t>
      </w:r>
    </w:p>
    <w:p>
      <w:pPr>
        <w:pStyle w:val="Heading2"/>
        <w:spacing w:before="160" w:line="276" w:lineRule="auto"/>
      </w:pPr>
      <w:r>
        <w:rPr/>
        <w:t>Response</w:t>
      </w:r>
    </w:p>
    <w:p>
      <w:pPr>
        <w:spacing w:after="90" w:line="276" w:lineRule="auto"/>
      </w:pPr>
      <w:r>
        <w:rPr>
          <w:color w:val="101828"/>
          <w:sz w:val="19"/>
        </w:rPr>
        <w:t>Use strict support boundaries and fixed advisory formats.</w:t>
      </w:r>
    </w:p>
    <w:p>
      <w:pPr>
        <w:spacing w:after="90" w:line="276" w:lineRule="auto"/>
      </w:pPr>
      <w:r>
        <w:rPr>
          <w:color w:val="101828"/>
          <w:sz w:val="19"/>
        </w:rPr>
        <w:t>Risk 2: Clients expect ghostwriting</w:t>
      </w:r>
    </w:p>
    <w:p>
      <w:pPr>
        <w:pStyle w:val="Heading2"/>
        <w:spacing w:before="160" w:line="276" w:lineRule="auto"/>
      </w:pPr>
      <w:r>
        <w:rPr/>
        <w:t>Response</w:t>
      </w:r>
    </w:p>
    <w:p>
      <w:pPr>
        <w:spacing w:after="90" w:line="276" w:lineRule="auto"/>
      </w:pPr>
      <w:r>
        <w:rPr>
          <w:color w:val="101828"/>
          <w:sz w:val="19"/>
        </w:rPr>
        <w:t>Position the app as guided drafting, not done-for-you writing.</w:t>
      </w:r>
    </w:p>
    <w:p>
      <w:pPr>
        <w:spacing w:after="90" w:line="276" w:lineRule="auto"/>
      </w:pPr>
      <w:r>
        <w:rPr>
          <w:color w:val="101828"/>
          <w:sz w:val="19"/>
        </w:rPr>
        <w:t>Risk 3: Seasonal sales pattern</w:t>
      </w:r>
    </w:p>
    <w:p>
      <w:pPr>
        <w:pStyle w:val="Heading2"/>
        <w:spacing w:before="160" w:line="276" w:lineRule="auto"/>
      </w:pPr>
      <w:r>
        <w:rPr/>
        <w:t>Response</w:t>
      </w:r>
    </w:p>
    <w:p>
      <w:pPr>
        <w:spacing w:after="90" w:line="276" w:lineRule="auto"/>
      </w:pPr>
      <w:r>
        <w:rPr>
          <w:color w:val="101828"/>
          <w:sz w:val="19"/>
        </w:rPr>
        <w:t>Use deadline campaigns and build annual licences, not one-off rush sales only.</w:t>
      </w:r>
    </w:p>
    <w:p>
      <w:pPr>
        <w:spacing w:after="90" w:line="276" w:lineRule="auto"/>
      </w:pPr>
      <w:r>
        <w:rPr>
          <w:color w:val="101828"/>
          <w:sz w:val="19"/>
        </w:rPr>
        <w:t>Risk 4: Too broad a customer base</w:t>
      </w:r>
    </w:p>
    <w:p>
      <w:pPr>
        <w:pStyle w:val="Heading2"/>
        <w:spacing w:before="160" w:line="276" w:lineRule="auto"/>
      </w:pPr>
      <w:r>
        <w:rPr/>
        <w:t>Response</w:t>
      </w:r>
    </w:p>
    <w:p>
      <w:pPr>
        <w:spacing w:after="90" w:line="276" w:lineRule="auto"/>
      </w:pPr>
      <w:r>
        <w:rPr>
          <w:color w:val="101828"/>
          <w:sz w:val="19"/>
        </w:rPr>
        <w:t>Start with culture, youth, and education organisations where your credibility is strongest.</w:t>
      </w:r>
    </w:p>
    <w:p>
      <w:pPr>
        <w:spacing w:after="90" w:line="276" w:lineRule="auto"/>
      </w:pPr>
      <w:r>
        <w:rPr>
          <w:color w:val="101828"/>
          <w:sz w:val="19"/>
        </w:rPr>
        <w:t>Risk 5: Tool seen as "just another form helper"</w:t>
      </w:r>
    </w:p>
    <w:p>
      <w:pPr>
        <w:pStyle w:val="Heading2"/>
        <w:spacing w:before="160" w:line="276" w:lineRule="auto"/>
      </w:pPr>
      <w:r>
        <w:rPr/>
        <w:t>Response</w:t>
      </w:r>
    </w:p>
    <w:p>
      <w:pPr>
        <w:spacing w:after="90" w:line="276" w:lineRule="auto"/>
      </w:pPr>
      <w:r>
        <w:rPr>
          <w:color w:val="101828"/>
          <w:sz w:val="19"/>
        </w:rPr>
        <w:t>Lead with expertise, examples, reviews, workflow, and official guide intelligence, not only software features.</w:t>
      </w:r>
    </w:p>
    <w:p>
      <w:pPr>
        <w:pStyle w:val="Heading1"/>
      </w:pPr>
      <w:r>
        <w:rPr/>
        <w:t>16. What Is Allowed Within The Erasmus+ Regulatory Framework</w:t>
      </w:r>
    </w:p>
    <w:p>
      <w:pPr>
        <w:spacing w:after="90" w:line="276" w:lineRule="auto"/>
      </w:pPr>
      <w:r>
        <w:rPr>
          <w:color w:val="101828"/>
          <w:sz w:val="19"/>
        </w:rPr>
        <w:t>This section is important because your business model sits close to proposal preparation and project implementation support.</w:t>
      </w:r>
    </w:p>
    <w:tbl>
      <w:tblPr>
        <w:tblW w:type="dxa" w:w="10166"/>
        <w:jc w:val="center"/>
      </w:tblPr>
      <w:tblGrid>
        <w:gridCol w:w="10166"/>
      </w:tblGrid>
      <w:tr>
        <w:tc>
          <w:tcPr>
            <w:tcW w:type="dxa" w:w="10166"/>
            <w:shd w:fill="EEF8F5"/>
            <w:tcBorders>
              <w:top w:val="single" w:sz="10" w:space="0" w:color="006B5F"/>
              <w:left w:val="single" w:sz="10" w:space="0" w:color="006B5F"/>
              <w:bottom w:val="single" w:sz="10" w:space="0" w:color="006B5F"/>
              <w:right w:val="single" w:sz="10" w:space="0" w:color="006B5F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6B5F"/>
                <w:sz w:val="20"/>
              </w:rPr>
              <w:t>Important principle:</w:t>
            </w:r>
          </w:p>
          <w:p>
            <w:pPr>
              <w:spacing w:after="0" w:line="276" w:lineRule="auto"/>
            </w:pPr>
            <w:r>
              <w:rPr>
                <w:color w:val="101828"/>
                <w:sz w:val="19"/>
              </w:rPr>
              <w:t>Erasmus+ projects are submitted and implemented by participating organisations. The organisation remains the applicant and, if selected, the beneficiary.</w:t>
            </w:r>
          </w:p>
        </w:tc>
      </w:tr>
    </w:tbl>
    <w:p>
      <w:pPr>
        <w:spacing w:after="40" w:line="276" w:lineRule="auto"/>
      </w:pPr>
    </w:p>
    <w:p>
      <w:pPr>
        <w:spacing w:after="90" w:line="276" w:lineRule="auto"/>
      </w:pPr>
      <w:r>
        <w:rPr>
          <w:color w:val="101828"/>
          <w:sz w:val="19"/>
        </w:rPr>
        <w:t>What is generally allowed</w:t>
      </w:r>
    </w:p>
    <w:p>
      <w:pPr>
        <w:spacing w:after="90" w:line="276" w:lineRule="auto"/>
      </w:pPr>
      <w:r>
        <w:rPr>
          <w:color w:val="101828"/>
          <w:sz w:val="19"/>
        </w:rPr>
        <w:t>Based on the Programme Guide and related financial provisions, the following is generally compatible with Erasmus+ rules: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selling access to an app that helps organisations prepare applications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providing training, onboarding, IT support, budgeting support, and structured drafting support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providing limited technical or specialised services, if a beneficiary later uses your service during project implementation and the service is non-core, necessary, documented, and procured correctly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supporting institutions before submission with proposal structure, workflow, and review tools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providing expert review or editing support, as long as the applicant organisation remains the real author, owner, and responsible party for the proposal</w:t>
      </w:r>
    </w:p>
    <w:p>
      <w:pPr>
        <w:spacing w:after="90" w:line="276" w:lineRule="auto"/>
      </w:pPr>
      <w:r>
        <w:rPr>
          <w:color w:val="101828"/>
          <w:sz w:val="19"/>
        </w:rPr>
        <w:t>What the official rules clearly allow</w:t>
      </w:r>
    </w:p>
    <w:p>
      <w:pPr>
        <w:spacing w:after="90" w:line="276" w:lineRule="auto"/>
      </w:pPr>
      <w:r>
        <w:rPr>
          <w:color w:val="101828"/>
          <w:sz w:val="19"/>
        </w:rPr>
        <w:t>The official Erasmus+ guidance explicitly says that limited subcontracting of services is allowed, provided it does not cover core activities on which the achievement of the objectives of the action directly depends.</w:t>
      </w:r>
    </w:p>
    <w:p>
      <w:pPr>
        <w:spacing w:after="90" w:line="276" w:lineRule="auto"/>
      </w:pPr>
      <w:r>
        <w:rPr>
          <w:color w:val="101828"/>
          <w:sz w:val="19"/>
        </w:rPr>
        <w:t>The guidance also says that tasks performed by the coordinator under the grant agreement cannot, as a rule, be subcontracted.</w:t>
      </w:r>
    </w:p>
    <w:p>
      <w:pPr>
        <w:spacing w:after="90" w:line="276" w:lineRule="auto"/>
      </w:pPr>
      <w:r>
        <w:rPr>
          <w:color w:val="101828"/>
          <w:sz w:val="19"/>
        </w:rPr>
        <w:t>For procurement of goods, works, or services, beneficiaries must ensure best value for money, avoid conflicts of interest, and keep documentation for audit.</w:t>
      </w:r>
    </w:p>
    <w:p>
      <w:pPr>
        <w:spacing w:after="90" w:line="276" w:lineRule="auto"/>
      </w:pPr>
      <w:r>
        <w:rPr>
          <w:color w:val="101828"/>
          <w:sz w:val="19"/>
        </w:rPr>
        <w:t>What this means for your business</w:t>
      </w:r>
    </w:p>
    <w:p>
      <w:pPr>
        <w:spacing w:after="90" w:line="276" w:lineRule="auto"/>
      </w:pPr>
      <w:r>
        <w:rPr>
          <w:color w:val="101828"/>
          <w:sz w:val="19"/>
        </w:rPr>
        <w:t>This means your app business is strongest and safest when it is positioned as: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 preparation and drafting support tool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 technical and methodological support service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 non-core support layer around the application process</w:t>
      </w:r>
    </w:p>
    <w:p>
      <w:pPr>
        <w:spacing w:after="90" w:line="276" w:lineRule="auto"/>
      </w:pPr>
      <w:r>
        <w:rPr>
          <w:color w:val="101828"/>
          <w:sz w:val="19"/>
        </w:rPr>
        <w:t>What is risky or should be avoided</w:t>
      </w:r>
    </w:p>
    <w:p>
      <w:pPr>
        <w:spacing w:after="90" w:line="276" w:lineRule="auto"/>
      </w:pPr>
      <w:r>
        <w:rPr>
          <w:color w:val="101828"/>
          <w:sz w:val="19"/>
        </w:rPr>
        <w:t>You should avoid designing the business in ways that make it look as if: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you are the real applicant instead of the institution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you are taking over the institution's core project coordination role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the funded project can only function if your external company runs its core content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your costs are hidden, not documented, or not transparently described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the same cost is funded twice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procurement or conflict-of-interest rules are bypassed</w:t>
      </w:r>
    </w:p>
    <w:p>
      <w:pPr>
        <w:spacing w:after="90" w:line="276" w:lineRule="auto"/>
      </w:pPr>
      <w:r>
        <w:rPr>
          <w:color w:val="101828"/>
          <w:sz w:val="19"/>
        </w:rPr>
        <w:t>Practical "not allowed or high-risk" situations</w:t>
      </w:r>
    </w:p>
    <w:p>
      <w:pPr>
        <w:pStyle w:val="Heading2"/>
        <w:spacing w:before="160" w:line="276" w:lineRule="auto"/>
      </w:pPr>
      <w:r>
        <w:rPr/>
        <w:t>These models are not advisable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selling a hidden ghostwriting service that replaces the organisation's own project responsibility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asking funded beneficiaries to present your app cost as a vague internal management cost without clear procurement logic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structuring your role so that core Erasmus+ project design, delivery, or coordinator tasks are effectively outsourced to your company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making success-fee arrangements that are not transparent or do not fit beneficiary procurement and cost rules</w:t>
      </w:r>
    </w:p>
    <w:tbl>
      <w:tblPr>
        <w:tblW w:type="dxa" w:w="10166"/>
        <w:jc w:val="center"/>
      </w:tblPr>
      <w:tblGrid>
        <w:gridCol w:w="10166"/>
      </w:tblGrid>
      <w:tr>
        <w:tc>
          <w:tcPr>
            <w:tcW w:type="dxa" w:w="10166"/>
            <w:shd w:fill="EEF8F5"/>
            <w:tcBorders>
              <w:top w:val="single" w:sz="10" w:space="0" w:color="006B5F"/>
              <w:left w:val="single" w:sz="10" w:space="0" w:color="006B5F"/>
              <w:bottom w:val="single" w:sz="10" w:space="0" w:color="006B5F"/>
              <w:right w:val="single" w:sz="10" w:space="0" w:color="006B5F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6B5F"/>
                <w:sz w:val="20"/>
              </w:rPr>
              <w:t>Safest business model under Erasmus+</w:t>
            </w:r>
          </w:p>
        </w:tc>
      </w:tr>
    </w:tbl>
    <w:p>
      <w:pPr>
        <w:spacing w:after="40" w:line="276" w:lineRule="auto"/>
      </w:pPr>
    </w:p>
    <w:p>
      <w:pPr>
        <w:pStyle w:val="Heading2"/>
        <w:spacing w:before="160" w:line="276" w:lineRule="auto"/>
      </w:pPr>
      <w:r>
        <w:rPr/>
        <w:t>The safest model is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pre-award: institutions buy access to the app and use it to prepare applications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pre-award or post-award: institutions may buy clearly defined non-core services such as onboarding, training, technical setup, or one review sprint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post-award: if your app or support is used during implementation, it must be framed as a non-core technical or support service, not as outsourced coordinator responsibility</w:t>
      </w:r>
    </w:p>
    <w:tbl>
      <w:tblPr>
        <w:tblW w:type="dxa" w:w="10166"/>
        <w:jc w:val="center"/>
      </w:tblPr>
      <w:tblGrid>
        <w:gridCol w:w="10166"/>
      </w:tblGrid>
      <w:tr>
        <w:tc>
          <w:tcPr>
            <w:tcW w:type="dxa" w:w="10166"/>
            <w:shd w:fill="EEF8F5"/>
            <w:tcBorders>
              <w:top w:val="single" w:sz="10" w:space="0" w:color="006B5F"/>
              <w:left w:val="single" w:sz="10" w:space="0" w:color="006B5F"/>
              <w:bottom w:val="single" w:sz="10" w:space="0" w:color="006B5F"/>
              <w:right w:val="single" w:sz="10" w:space="0" w:color="006B5F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6B5F"/>
                <w:sz w:val="20"/>
              </w:rPr>
              <w:t>Recommended wording for your offer</w:t>
            </w:r>
          </w:p>
          <w:p>
            <w:pPr>
              <w:spacing w:after="0" w:line="276" w:lineRule="auto"/>
            </w:pPr>
            <w:r>
              <w:rPr>
                <w:color w:val="101828"/>
                <w:sz w:val="19"/>
              </w:rPr>
              <w:t>"The Erasmus+ Proposal Coach is a drafting, workflow, and technical support platform. Institutions remain fully responsible for the content, submission, implementation, and compliance of their Erasmus+ projects."</w:t>
            </w:r>
          </w:p>
        </w:tc>
      </w:tr>
    </w:tbl>
    <w:p>
      <w:pPr>
        <w:spacing w:after="40" w:line="276" w:lineRule="auto"/>
      </w:pPr>
    </w:p>
    <w:p>
      <w:pPr>
        <w:spacing w:after="90" w:line="276" w:lineRule="auto"/>
      </w:pPr>
      <w:r>
        <w:rPr>
          <w:color w:val="101828"/>
          <w:sz w:val="19"/>
        </w:rPr>
        <w:t>Recommended compliance rules for Rob and Kata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never present yourselves as the applicant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never guarantee funding success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do not position the app as a replacement for the beneficiary's core responsibilities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if an institution wants to pay from project funds after award, require them to check internal procurement and eligibility rules first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keep invoices and service descriptions specific: app licence, onboarding, training, review session, technical support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separate pre-award support from post-award implementation support in your commercial offer</w:t>
      </w:r>
    </w:p>
    <w:p>
      <w:pPr>
        <w:pStyle w:val="Heading1"/>
      </w:pPr>
      <w:r>
        <w:rPr/>
        <w:t>17. Final Recommendation</w:t>
      </w:r>
    </w:p>
    <w:p>
      <w:pPr>
        <w:pStyle w:val="Heading2"/>
        <w:spacing w:before="160" w:line="276" w:lineRule="auto"/>
      </w:pPr>
      <w:r>
        <w:rPr/>
        <w:t>The strongest business model for Rob Bangert and Kata Kadek is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 paid institutional app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with a limited expert success layer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sold through deadline-led authority marketing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and promoted through webinars, action-specific landing pages, and trusted partner networks</w:t>
      </w:r>
    </w:p>
    <w:tbl>
      <w:tblPr>
        <w:tblW w:type="dxa" w:w="10166"/>
        <w:jc w:val="center"/>
      </w:tblPr>
      <w:tblGrid>
        <w:gridCol w:w="10166"/>
      </w:tblGrid>
      <w:tr>
        <w:tc>
          <w:tcPr>
            <w:tcW w:type="dxa" w:w="10166"/>
            <w:shd w:fill="EEF8F5"/>
            <w:tcBorders>
              <w:top w:val="single" w:sz="10" w:space="0" w:color="006B5F"/>
              <w:left w:val="single" w:sz="10" w:space="0" w:color="006B5F"/>
              <w:bottom w:val="single" w:sz="10" w:space="0" w:color="006B5F"/>
              <w:right w:val="single" w:sz="10" w:space="0" w:color="006B5F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06B5F"/>
                <w:sz w:val="20"/>
              </w:rPr>
              <w:t>Best promotion choice in one sentence:</w:t>
            </w:r>
          </w:p>
          <w:p>
            <w:pPr>
              <w:spacing w:after="0" w:line="276" w:lineRule="auto"/>
            </w:pPr>
            <w:r>
              <w:rPr>
                <w:color w:val="101828"/>
                <w:sz w:val="19"/>
              </w:rPr>
              <w:t>Use free, practical Erasmus+ webinars tied to real application deadlines as the main lead generator, and convert those attendees into paid institutional app users.</w:t>
            </w:r>
          </w:p>
        </w:tc>
      </w:tr>
    </w:tbl>
    <w:p>
      <w:pPr>
        <w:spacing w:after="40" w:line="276" w:lineRule="auto"/>
      </w:pPr>
    </w:p>
    <w:p>
      <w:pPr>
        <w:pStyle w:val="Heading1"/>
      </w:pPr>
      <w:r>
        <w:rPr/>
        <w:t>18. Source Notes</w:t>
      </w:r>
    </w:p>
    <w:p>
      <w:pPr>
        <w:pStyle w:val="Heading2"/>
        <w:spacing w:before="160" w:line="276" w:lineRule="auto"/>
      </w:pPr>
      <w:r>
        <w:rPr/>
        <w:t>Official Erasmus+ sources checked on 30 April 2026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Programme priorities: https://erasmus-plus.ec.europa.eu/about-erasmus/programme-priorities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Priorities of the Erasmus+ Programme: https://erasmus-plus.ec.europa.eu/programme-guide/part-a/priorities-of-the-erasmus-programme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General objectives and features: https://erasmus-plus.ec.europa.eu/programme-guide/part-a/priorities-of-the-erasmus-programme/objectives-features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2026 Programme Guide context: https://erasmus-plus.ec.europa.eu/programme-guide/part-a/part-a-general-information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Who can participate in the Erasmus+ Programme?: https://erasmus-plus.ec.europa.eu/programme-guide/part-a/participation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Other important provisions, including subcontracting and procurement: https://erasmus-plus.ec.europa.eu/programme-guide/part-c/other-provisions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Financial conditions, including sound financial management and no double funding: https://erasmus-plus.ec.europa.eu/programme-guide/part-c/financial-conditions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Small-scale partnerships rules on subcontracting: https://erasmus-plus.ec.europa.eu/programme-guide/part-b/key-action-2/small-scale-partnerships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Cooperation partnerships rules on subcontracting: https://erasmus-plus.ec.europa.eu/programme-guide/part-b/key-action-2/cooperation-partnerships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2024 annual-report news summary with project and organisation figures: https://erasmus-plus.ec.europa.eu/node/5745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2026 call form for KA 152-YOU with deadline: https://erasmus-plus.ec.europa.eu/sites/default/files/2025-11/Call%202026%20Mobility%20of%20young%20people%20%28KA152-YOU%29_watermark.pdf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2026 call form for KA 153-YOU with deadline: https://erasmus-plus.ec.europa.eu/sites/default/files/2025-11/Call%202026%20Mobility%20of%20youth%20workers%20%28KA153-YOU%29_watermark.pdf</w:t>
      </w:r>
    </w:p>
    <w:p>
      <w:pPr>
        <w:spacing w:after="70" w:line="259" w:lineRule="auto"/>
        <w:ind w:left="420" w:hanging="220"/>
      </w:pPr>
      <w:r>
        <w:rPr>
          <w:color w:val="006B5F"/>
          <w:sz w:val="20"/>
        </w:rPr>
        <w:t>• </w:t>
      </w:r>
      <w:r>
        <w:rPr>
          <w:color w:val="101828"/>
          <w:sz w:val="19"/>
        </w:rPr>
        <w:t>2026 call form for KA 210-YOU with deadline: https://erasmus-plus.ec.europa.eu/sites/default/files/2025-11/Call%202026%20Small-scale%20partnerships%20in%20youth%20%28KA210-YOU%29_watermark.pdf</w:t>
      </w:r>
    </w:p>
    <w:sectPr w:rsidR="00FC693F" w:rsidRPr="0006063C" w:rsidSect="00034616">
      <w:pgSz w:w="12240" w:h="15840"/>
      <w:pgMar w:top="1037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6"/>
      </w:rPr>
      <w:t>Global Fluent Business English Missions | Teacher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