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OpenStudyCommand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Opens a new study and stored it in director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Director, Study, StudyBuilder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GUI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