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its-2005-all-over-again"/>
      <w:r>
        <w:t xml:space="preserve">It’s 2005 All Over Again</w:t>
      </w:r>
      <w:bookmarkEnd w:id="20"/>
    </w:p>
    <w:p>
      <w:pPr>
        <w:pStyle w:val="FirstParagraph"/>
      </w:pPr>
      <w:r>
        <w:t xml:space="preserve">Nobody under forty remembers what we were trying to escape.</w:t>
      </w:r>
    </w:p>
    <w:p>
      <w:pPr>
        <w:pStyle w:val="BodyText"/>
      </w:pPr>
      <w:r>
        <w:t xml:space="preserve">The chart was a manila folder in a wall of manila folders, and if it was not in the wall it was in a stack on somebody’s desk, and if it was not there it was gone. You saw a patient without her chart because her chart was at the specialist’s office, or in medical records, or in a box in a storage unit off the highway. You wrote your note by hand and the consultant could not read it. You called the hospital at two in the morning for a potassium and waited on hold while somebody walked to a different floor. A woman came in on four medications and could name two of them, and there was no way on earth to find the other two before Monday. Somebody’s allergy was written on a card that fell out of the folder in 1997.</w:t>
      </w:r>
    </w:p>
    <w:p>
      <w:pPr>
        <w:pStyle w:val="BodyText"/>
      </w:pPr>
      <w:r>
        <w:t xml:space="preserve">People died in those gaps. Not dramatically. They died of the second dose nobody knew about, of the lab that was drawn and never seen, of the sixty-year-old who told three doctors the same story because none of the three could read what the other two had written.</w:t>
      </w:r>
    </w:p>
    <w:p>
      <w:pPr>
        <w:pStyle w:val="BodyText"/>
      </w:pPr>
      <w:r>
        <w:t xml:space="preserve">We wanted out. Anyone who tells you the paper era was better is remembering a chart rack they never had to search at four in the morning.</w:t>
      </w:r>
    </w:p>
    <w:p>
      <w:pPr>
        <w:pStyle w:val="BodyText"/>
      </w:pPr>
      <w:r>
        <w:t xml:space="preserve">So when someone said the record could be everywhere at once, legible, searchable, safe, nobody had to sell us. We were already begging.</w:t>
      </w:r>
    </w:p>
    <w:p>
      <w:pPr>
        <w:pStyle w:val="Heading2"/>
      </w:pPr>
      <w:bookmarkStart w:id="21" w:name="the-promise"/>
      <w:r>
        <w:t xml:space="preserve">The promise</w:t>
      </w:r>
      <w:bookmarkEnd w:id="21"/>
    </w:p>
    <w:p>
      <w:pPr>
        <w:pStyle w:val="FirstParagraph"/>
      </w:pPr>
      <w:r>
        <w:t xml:space="preserve">September 2005. RAND published the number: effective implementation and networking of electronic medical records could eventually save more than $81 billion a year, with health and safety benefits on top.</w:t>
      </w:r>
      <w:hyperlink w:anchor="fn1">
        <w:r>
          <w:rPr>
            <w:rStyle w:val="Hyperlink"/>
          </w:rPr>
          <w:t xml:space="preserve">1</w:t>
        </w:r>
      </w:hyperlink>
    </w:p>
    <w:p>
      <w:pPr>
        <w:pStyle w:val="BodyText"/>
      </w:pPr>
      <w:r>
        <w:t xml:space="preserve">The second paragraph of the press release is the one almost nobody read. RAND said there was not yet enough published evidence to reach conclusions about the relative costs and benefits of health IT, and that this was why the team built computer simulation models to fill the gap.</w:t>
      </w:r>
      <w:hyperlink w:anchor="fn2">
        <w:r>
          <w:rPr>
            <w:rStyle w:val="Hyperlink"/>
          </w:rPr>
          <w:t xml:space="preserve">2</w:t>
        </w:r>
      </w:hyperlink>
    </w:p>
    <w:p>
      <w:pPr>
        <w:pStyle w:val="BodyText"/>
      </w:pPr>
      <w:r>
        <w:t xml:space="preserve">They said the evidence did not exist. Then they modeled what it might have said. Then the model became policy.</w:t>
      </w:r>
    </w:p>
    <w:p>
      <w:pPr>
        <w:pStyle w:val="BodyText"/>
      </w:pPr>
      <w:r>
        <w:t xml:space="preserve">The objection wasn’t missing, either. It ran in the same issue of the same journal. Himmelstein and Woolhandler called it hope and hype.</w:t>
      </w:r>
      <w:hyperlink w:anchor="fn3">
        <w:r>
          <w:rPr>
            <w:rStyle w:val="Hyperlink"/>
          </w:rPr>
          <w:t xml:space="preserve">3</w:t>
        </w:r>
      </w:hyperlink>
      <w:r>
        <w:t xml:space="preserve"> </w:t>
      </w:r>
      <w:r>
        <w:t xml:space="preserve">Goodman’s title was the whole argument in eight words: savings in electronic medical record systems, do it for the quality.</w:t>
      </w:r>
      <w:hyperlink w:anchor="fn4">
        <w:r>
          <w:rPr>
            <w:rStyle w:val="Hyperlink"/>
          </w:rPr>
          <w:t xml:space="preserve">4</w:t>
        </w:r>
      </w:hyperlink>
      <w:r>
        <w:t xml:space="preserve"> </w:t>
      </w:r>
      <w:r>
        <w:t xml:space="preserve">Both were sitting on the desk of every policymaker in America, and neither one mattered.</w:t>
      </w:r>
    </w:p>
    <w:p>
      <w:pPr>
        <w:pStyle w:val="Heading2"/>
      </w:pPr>
      <w:bookmarkStart w:id="22" w:name="the-staircase"/>
      <w:r>
        <w:t xml:space="preserve">The staircase</w:t>
      </w:r>
      <w:bookmarkEnd w:id="22"/>
    </w:p>
    <w:p>
      <w:pPr>
        <w:pStyle w:val="FirstParagraph"/>
      </w:pPr>
      <w:r>
        <w:rPr>
          <w:b/>
        </w:rPr>
        <w:t xml:space="preserve">One: they paid us.</w:t>
      </w:r>
      <w:r>
        <w:t xml:space="preserve"> </w:t>
      </w:r>
      <w:r>
        <w:t xml:space="preserve">HITECH passed inside the 2009 stimulus.</w:t>
      </w:r>
      <w:hyperlink w:anchor="fn5">
        <w:r>
          <w:rPr>
            <w:rStyle w:val="Hyperlink"/>
          </w:rPr>
          <w:t xml:space="preserve">5</w:t>
        </w:r>
      </w:hyperlink>
      <w:r>
        <w:t xml:space="preserve"> </w:t>
      </w:r>
      <w:r>
        <w:t xml:space="preserve">Not a mandate. A check. Medicare eligible professionals could receive up to $44,000; the Medicaid track went to $63,750.</w:t>
      </w:r>
      <w:hyperlink w:anchor="fn6">
        <w:r>
          <w:rPr>
            <w:rStyle w:val="Hyperlink"/>
          </w:rPr>
          <w:t xml:space="preserve">6</w:t>
        </w:r>
      </w:hyperlink>
      <w:r>
        <w:t xml:space="preserve"> </w:t>
      </w:r>
      <w:r>
        <w:t xml:space="preserve">Nobody was forced onto a computer. We were paid to want one.</w:t>
      </w:r>
    </w:p>
    <w:p>
      <w:pPr>
        <w:pStyle w:val="BodyText"/>
      </w:pPr>
      <w:r>
        <w:rPr>
          <w:b/>
        </w:rPr>
        <w:t xml:space="preserve">Two: the money shrank if you waited.</w:t>
      </w:r>
      <w:r>
        <w:t xml:space="preserve"> </w:t>
      </w:r>
      <w:r>
        <w:t xml:space="preserve">Under Medicare, the maximum fell with the start year — $44,000 for anyone starting in 2011 or 2012, down to $24,000 for a 2014 start.</w:t>
      </w:r>
      <w:hyperlink w:anchor="fn6">
        <w:r>
          <w:rPr>
            <w:rStyle w:val="Hyperlink"/>
          </w:rPr>
          <w:t xml:space="preserve">6</w:t>
        </w:r>
      </w:hyperlink>
      <w:r>
        <w:t xml:space="preserve"> </w:t>
      </w:r>
      <w:r>
        <w:t xml:space="preserve">Medicaid kept the full $63,750 to its 2016 deadline.</w:t>
      </w:r>
    </w:p>
    <w:p>
      <w:pPr>
        <w:pStyle w:val="BodyText"/>
      </w:pPr>
      <w:r>
        <w:rPr>
          <w:b/>
        </w:rPr>
        <w:t xml:space="preserve">Three: the same law, sign reversed.</w:t>
      </w:r>
      <w:r>
        <w:t xml:space="preserve"> </w:t>
      </w:r>
      <w:r>
        <w:t xml:space="preserve">Section 1848(a)(7) of the Social Security Act sets the fee schedule for a physician who is not a meaningful EHR user at 99 percent for 2015, 98 percent for 2016, and 97 percent for 2017 and 2018, with authority to cut another point a year if fewer than three quarters of us complied.</w:t>
      </w:r>
      <w:hyperlink w:anchor="fn7">
        <w:r>
          <w:rPr>
            <w:rStyle w:val="Hyperlink"/>
          </w:rPr>
          <w:t xml:space="preserve">7</w:t>
        </w:r>
      </w:hyperlink>
      <w:r>
        <w:t xml:space="preserve"> </w:t>
      </w:r>
      <w:r>
        <w:t xml:space="preserve">Six years from</w:t>
      </w:r>
      <w:r>
        <w:t xml:space="preserve"> </w:t>
      </w:r>
      <w:r>
        <w:t xml:space="preserve">“</w:t>
      </w:r>
      <w:r>
        <w:t xml:space="preserve">here is $44,000</w:t>
      </w:r>
      <w:r>
        <w:t xml:space="preserve">”</w:t>
      </w:r>
      <w:r>
        <w:t xml:space="preserve"> </w:t>
      </w:r>
      <w:r>
        <w:t xml:space="preserve">to</w:t>
      </w:r>
      <w:r>
        <w:t xml:space="preserve"> </w:t>
      </w:r>
      <w:r>
        <w:t xml:space="preserve">“</w:t>
      </w:r>
      <w:r>
        <w:t xml:space="preserve">we are keeping three percent.</w:t>
      </w:r>
      <w:r>
        <w:t xml:space="preserve">”</w:t>
      </w:r>
    </w:p>
    <w:p>
      <w:pPr>
        <w:pStyle w:val="BodyText"/>
      </w:pPr>
      <w:r>
        <w:t xml:space="preserve">Nobody had to pass anything new. The penalty and the incentive were written into the same 2009 statute. We read the first half.</w:t>
      </w:r>
    </w:p>
    <w:p>
      <w:pPr>
        <w:pStyle w:val="BodyText"/>
      </w:pPr>
      <w:r>
        <w:t xml:space="preserve">There’s a hardship exception in that section, and I find it the saddest thing in the whole law. The example Congress gives is a physician in a rural area without sufficient internet access. They anticipated the doctor who could not comply. It never occurred to them that a doctor might not want to.</w:t>
      </w:r>
      <w:hyperlink w:anchor="fn7">
        <w:r>
          <w:rPr>
            <w:rStyle w:val="Hyperlink"/>
          </w:rPr>
          <w:t xml:space="preserve">7</w:t>
        </w:r>
      </w:hyperlink>
    </w:p>
    <w:p>
      <w:pPr>
        <w:pStyle w:val="BodyText"/>
      </w:pPr>
      <w:r>
        <w:rPr>
          <w:b/>
        </w:rPr>
        <w:t xml:space="preserve">Four: the record becomes the score.</w:t>
      </w:r>
      <w:r>
        <w:t xml:space="preserve"> </w:t>
      </w:r>
      <w:r>
        <w:t xml:space="preserve">MACRA, 2015.</w:t>
      </w:r>
      <w:hyperlink w:anchor="fn8">
        <w:r>
          <w:rPr>
            <w:rStyle w:val="Hyperlink"/>
          </w:rPr>
          <w:t xml:space="preserve">8</w:t>
        </w:r>
      </w:hyperlink>
      <w:r>
        <w:t xml:space="preserve"> </w:t>
      </w:r>
      <w:r>
        <w:t xml:space="preserve">Meaningful Use wasn’t repealed, it was absorbed and renamed Promoting Interoperability, and by the AMA’s own accounting it is now 25 percent of your MIPS score, requiring certified technology, seven measures across five objectives, with vendors charging you every time the product gets upgraded to meet the next set of measures.</w:t>
      </w:r>
      <w:hyperlink w:anchor="fn9">
        <w:r>
          <w:rPr>
            <w:rStyle w:val="Hyperlink"/>
          </w:rPr>
          <w:t xml:space="preserve">9</w:t>
        </w:r>
      </w:hyperlink>
    </w:p>
    <w:p>
      <w:pPr>
        <w:pStyle w:val="BodyText"/>
      </w:pPr>
      <w:r>
        <w:rPr>
          <w:b/>
        </w:rPr>
        <w:t xml:space="preserve">Five: the stakes.</w:t>
      </w:r>
      <w:r>
        <w:t xml:space="preserve"> </w:t>
      </w:r>
      <w:r>
        <w:t xml:space="preserve">By the 2022 performance year the adjustment was plus or minus 9 percent, and a required reporter who simply declined took the full minus nine.</w:t>
      </w:r>
      <w:hyperlink w:anchor="fn10">
        <w:r>
          <w:rPr>
            <w:rStyle w:val="Hyperlink"/>
          </w:rPr>
          <w:t xml:space="preserve">10</w:t>
        </w:r>
      </w:hyperlink>
      <w:r>
        <w:t xml:space="preserve"> </w:t>
      </w:r>
      <w:r>
        <w:t xml:space="preserve">Budget neutrality makes it lopsided. The penalty is certain and the bonus is a residual funded out of other people’s penalties.</w:t>
      </w:r>
    </w:p>
    <w:p>
      <w:pPr>
        <w:pStyle w:val="BodyText"/>
      </w:pPr>
      <w:r>
        <w:rPr>
          <w:b/>
        </w:rPr>
        <w:t xml:space="preserve">Six, which nobody voted for.</w:t>
      </w:r>
      <w:r>
        <w:t xml:space="preserve"> </w:t>
      </w:r>
      <w:r>
        <w:t xml:space="preserve">In 2017 Anna Konopka, 84 years old, gave up her New Hampshire license after 46 years in solo practice. Around 300 patients, $50 a visit, no computer, out of the insurance system entirely. Part of the state’s case was that her lack of computer skills prevented her from using the mandatory electronic drug monitoring program, and a judge threw out her suit to get the license back that November.</w:t>
      </w:r>
      <w:hyperlink w:anchor="fn11">
        <w:r>
          <w:rPr>
            <w:rStyle w:val="Hyperlink"/>
          </w:rPr>
          <w:t xml:space="preserve">11</w:t>
        </w:r>
      </w:hyperlink>
    </w:p>
    <w:p>
      <w:pPr>
        <w:pStyle w:val="BodyText"/>
      </w:pPr>
      <w:r>
        <w:t xml:space="preserve">Her case was not clean, and anyone who looks her up will find that out in about ninety seconds. The complaints started with a seven-year-old asthma patient and dosing left to the parents, four more followed, and she was prescribing opioids for chronic pain with her prescribing among the allegations.</w:t>
      </w:r>
      <w:hyperlink w:anchor="fn11">
        <w:r>
          <w:rPr>
            <w:rStyle w:val="Hyperlink"/>
          </w:rPr>
          <w:t xml:space="preserve">11</w:t>
        </w:r>
      </w:hyperlink>
      <w:r>
        <w:t xml:space="preserve"> </w:t>
      </w:r>
      <w:r>
        <w:t xml:space="preserve">She’s a bad martyr and I’m not going to make her one.</w:t>
      </w:r>
    </w:p>
    <w:p>
      <w:pPr>
        <w:pStyle w:val="BodyText"/>
      </w:pPr>
      <w:r>
        <w:t xml:space="preserve">What survives all of that is narrower. By 2017 an electronic system had become load-bearing for licensure, and part of the state’s position was that a physician who cannot use the database cannot lawfully practice, because at that point the database is the practice. Twelve years from a voluntary check to that.</w:t>
      </w:r>
    </w:p>
    <w:p>
      <w:pPr>
        <w:pStyle w:val="Heading2"/>
      </w:pPr>
      <w:bookmarkStart w:id="23" w:name="the-bill"/>
      <w:r>
        <w:t xml:space="preserve">The bill</w:t>
      </w:r>
      <w:bookmarkEnd w:id="23"/>
    </w:p>
    <w:p>
      <w:pPr>
        <w:pStyle w:val="FirstParagraph"/>
      </w:pPr>
      <w:r>
        <w:t xml:space="preserve">You know this part. Fifty-seven physicians, 430 observed hours: 27 percent of the office day in direct clinical face time, 49.2 percent on the EHR and desk work, one to two more hours of data entry at night.</w:t>
      </w:r>
      <w:hyperlink w:anchor="fn12">
        <w:r>
          <w:rPr>
            <w:rStyle w:val="Hyperlink"/>
          </w:rPr>
          <w:t xml:space="preserve">12</w:t>
        </w:r>
      </w:hyperlink>
      <w:r>
        <w:t xml:space="preserve"> </w:t>
      </w:r>
      <w:r>
        <w:t xml:space="preserve">Even inside the exam room, 37 percent of the time went to the screen.</w:t>
      </w:r>
      <w:hyperlink w:anchor="fn12">
        <w:r>
          <w:rPr>
            <w:rStyle w:val="Hyperlink"/>
          </w:rPr>
          <w:t xml:space="preserve">12</w:t>
        </w:r>
      </w:hyperlink>
      <w:r>
        <w:t xml:space="preserve"> </w:t>
      </w:r>
      <w:r>
        <w:t xml:space="preserve">The follow-on study was called</w:t>
      </w:r>
      <w:r>
        <w:t xml:space="preserve"> </w:t>
      </w:r>
      <w:r>
        <w:t xml:space="preserve">“</w:t>
      </w:r>
      <w:r>
        <w:t xml:space="preserve">Tethered to the EHR.</w:t>
      </w:r>
      <w:r>
        <w:t xml:space="preserve">”</w:t>
      </w:r>
      <w:hyperlink w:anchor="fn13">
        <w:r>
          <w:rPr>
            <w:rStyle w:val="Hyperlink"/>
          </w:rPr>
          <w:t xml:space="preserve">13</w:t>
        </w:r>
      </w:hyperlink>
    </w:p>
    <w:p>
      <w:pPr>
        <w:pStyle w:val="BodyText"/>
      </w:pPr>
      <w:r>
        <w:t xml:space="preserve">RAND’s own people published the reversal in 2013: mixed evidence on efficiency and safety, and $800 billion in additional annual national health expenditure since the projection.</w:t>
      </w:r>
      <w:hyperlink w:anchor="fn14">
        <w:r>
          <w:rPr>
            <w:rStyle w:val="Hyperlink"/>
          </w:rPr>
          <w:t xml:space="preserve">14</w:t>
        </w:r>
      </w:hyperlink>
    </w:p>
    <w:p>
      <w:pPr>
        <w:pStyle w:val="BodyText"/>
      </w:pPr>
      <w:r>
        <w:t xml:space="preserve">By 2019 a three-month joint investigation put it plainly. Ten years, $36 billion, adoption from 9 percent of hospitals to 96 percent, an industry making $13 billion a year, physicians handcuffed to software they mostly cannot stand.</w:t>
      </w:r>
      <w:hyperlink w:anchor="fn15">
        <w:r>
          <w:rPr>
            <w:rStyle w:val="Hyperlink"/>
          </w:rPr>
          <w:t xml:space="preserve">15</w:t>
        </w:r>
      </w:hyperlink>
    </w:p>
    <w:p>
      <w:pPr>
        <w:pStyle w:val="BodyText"/>
      </w:pPr>
      <w:r>
        <w:t xml:space="preserve">And it never shrank, because it was never going to. Epic’s revenue went from $1.2 billion in 2012 to $5.7 billion in 2024 to $6.7 billion in 2025, with acute care hospital market share climbing from 31 percent in 2021 to 43.7 percent in 2025 and 56.9 percent of all beds. Oracle paid $28.3 billion for Cerner. Epic now holds records on more than 325 million patients, and its Cosmos platform contains deidentified data from 1.7 trillion medical events.</w:t>
      </w:r>
      <w:hyperlink w:anchor="fn16">
        <w:r>
          <w:rPr>
            <w:rStyle w:val="Hyperlink"/>
          </w:rPr>
          <w:t xml:space="preserve">16</w:t>
        </w:r>
      </w:hyperlink>
    </w:p>
    <w:p>
      <w:pPr>
        <w:pStyle w:val="BodyText"/>
      </w:pPr>
      <w:r>
        <w:t xml:space="preserve">When we say the EMR failed, we mean it failed us.</w:t>
      </w:r>
    </w:p>
    <w:p>
      <w:pPr>
        <w:pStyle w:val="Heading2"/>
      </w:pPr>
      <w:bookmarkStart w:id="24" w:name="section"/>
      <w:r>
        <w:t xml:space="preserve">5:40</w:t>
      </w:r>
      <w:bookmarkEnd w:id="24"/>
    </w:p>
    <w:p>
      <w:pPr>
        <w:pStyle w:val="FirstParagraph"/>
      </w:pPr>
      <w:r>
        <w:t xml:space="preserve">I still want out.</w:t>
      </w:r>
    </w:p>
    <w:p>
      <w:pPr>
        <w:pStyle w:val="BodyText"/>
      </w:pPr>
      <w:r>
        <w:t xml:space="preserve">Not out of the record. Out of the nights. Out of the hour after my kid goes to bed. Out of typing while a woman tells me the thing she drove forty minutes to say. I didn’t train for eleven years to be the fastest data entry clerk in the county, and every one of us knows the visit where the note ate the medicine.</w:t>
      </w:r>
    </w:p>
    <w:p>
      <w:pPr>
        <w:pStyle w:val="BodyText"/>
      </w:pPr>
      <w:r>
        <w:t xml:space="preserve">Then somebody put a phone on the desk and the note wrote itself in ninety seconds, and it was a good note, and I went home at 5:40.</w:t>
      </w:r>
    </w:p>
    <w:p>
      <w:pPr>
        <w:pStyle w:val="BodyText"/>
      </w:pPr>
      <w:r>
        <w:t xml:space="preserve">The independent evaluations back the part that matters most: ambient scribes do reduce cognitive load and burnout.</w:t>
      </w:r>
      <w:hyperlink w:anchor="fn17">
        <w:r>
          <w:rPr>
            <w:rStyle w:val="Hyperlink"/>
          </w:rPr>
          <w:t xml:space="preserve">17</w:t>
        </w:r>
      </w:hyperlink>
      <w:r>
        <w:t xml:space="preserve"> </w:t>
      </w:r>
      <w:r>
        <w:t xml:space="preserve">This is the first tool in twenty years that gives time back to the patient instead of taking it. You look at her face. You catch the thing she almost said. The screen goes dark and the room is a room again. If the EHR pulled us out of the encounter, this pushes us back into it, and it does that without asking the patient to accept a worse doctor. I don’t know of a better argument any health technology has made in my working life.</w:t>
      </w:r>
    </w:p>
    <w:p>
      <w:pPr>
        <w:pStyle w:val="BodyText"/>
      </w:pPr>
      <w:r>
        <w:t xml:space="preserve">Two caveats belong here rather than in a footnote where nobody will find them. The burnout studies are mostly of clinicians who volunteered for the thing, which is the weakest population you can study. And these systems sometimes write down things that were never said.</w:t>
      </w:r>
      <w:hyperlink w:anchor="fn29">
        <w:r>
          <w:rPr>
            <w:rStyle w:val="Hyperlink"/>
          </w:rPr>
          <w:t xml:space="preserve">29</w:t>
        </w:r>
      </w:hyperlink>
      <w:r>
        <w:t xml:space="preserve"> </w:t>
      </w:r>
      <w:r>
        <w:t xml:space="preserve">Even the one randomized trial so far was modest — of two scribes, one cut note time by 9.5 percent and the other didn’t reach significance, and the physicians still caught errors. When I say the note was good, I mean it read well.</w:t>
      </w:r>
    </w:p>
    <w:p>
      <w:pPr>
        <w:pStyle w:val="BodyText"/>
      </w:pPr>
      <w:r>
        <w:t xml:space="preserve">It’s 2005 all over again.</w:t>
      </w:r>
    </w:p>
    <w:p>
      <w:pPr>
        <w:pStyle w:val="Heading2"/>
      </w:pPr>
      <w:bookmarkStart w:id="25" w:name="the-check-that-has-to-clear"/>
      <w:r>
        <w:t xml:space="preserve">The check that has to clear</w:t>
      </w:r>
      <w:bookmarkEnd w:id="25"/>
    </w:p>
    <w:p>
      <w:pPr>
        <w:pStyle w:val="FirstParagraph"/>
      </w:pPr>
      <w:r>
        <w:t xml:space="preserve">By July 2025, ambient scribe companies had announced close to a billion dollars in funding in that year alone.</w:t>
      </w:r>
      <w:hyperlink w:anchor="fn18">
        <w:r>
          <w:rPr>
            <w:rStyle w:val="Hyperlink"/>
          </w:rPr>
          <w:t xml:space="preserve">18</w:t>
        </w:r>
      </w:hyperlink>
      <w:r>
        <w:t xml:space="preserve"> </w:t>
      </w:r>
      <w:r>
        <w:t xml:space="preserve">Abridge raised $250 million in February at a reported $2.75 billion valuation; Ambience closed a mega-round that July.</w:t>
      </w:r>
      <w:hyperlink w:anchor="fn18">
        <w:r>
          <w:rPr>
            <w:rStyle w:val="Hyperlink"/>
          </w:rPr>
          <w:t xml:space="preserve">18</w:t>
        </w:r>
      </w:hyperlink>
      <w:r>
        <w:t xml:space="preserve">,</w:t>
      </w:r>
      <w:hyperlink w:anchor="fn19">
        <w:r>
          <w:rPr>
            <w:rStyle w:val="Hyperlink"/>
          </w:rPr>
          <w:t xml:space="preserve">19</w:t>
        </w:r>
      </w:hyperlink>
    </w:p>
    <w:p>
      <w:pPr>
        <w:pStyle w:val="BodyText"/>
      </w:pPr>
      <w:r>
        <w:t xml:space="preserve">Nobody raises a billion dollars to save me an hour a night. That money comes back out somewhere, and you don’t have to guess where, because they wrote it down.</w:t>
      </w:r>
    </w:p>
    <w:p>
      <w:pPr>
        <w:pStyle w:val="BodyText"/>
      </w:pPr>
      <w:r>
        <w:t xml:space="preserve">A policy brief in</w:t>
      </w:r>
      <w:r>
        <w:t xml:space="preserve"> </w:t>
      </w:r>
      <w:r>
        <w:rPr>
          <w:i/>
        </w:rPr>
        <w:t xml:space="preserve">npj Digital Medicine</w:t>
      </w:r>
      <w:r>
        <w:t xml:space="preserve">, December 2025, documents the pivot. Ambience’s July funding announcement described the platform as the leading ambient AI system for documentation, coding, and clinical documentation integrity, highlighting how it drives revenue-cycle performance. The authors call this a clear pivot from earlier messaging about saving doctors time, and note that the product is now positioned as both a burnout remedy and a revenue engine, which raises the question of who ultimately benefits.</w:t>
      </w:r>
      <w:hyperlink w:anchor="fn19">
        <w:r>
          <w:rPr>
            <w:rStyle w:val="Hyperlink"/>
          </w:rPr>
          <w:t xml:space="preserve">19</w:t>
        </w:r>
      </w:hyperlink>
    </w:p>
    <w:p>
      <w:pPr>
        <w:pStyle w:val="BodyText"/>
      </w:pPr>
      <w:r>
        <w:t xml:space="preserve">They also explain why the pivot was forced. Doximity released a free scribe. Basic transcription is commoditizing, so every vendor now has to differentiate after the transcript.</w:t>
      </w:r>
      <w:hyperlink w:anchor="fn19">
        <w:r>
          <w:rPr>
            <w:rStyle w:val="Hyperlink"/>
          </w:rPr>
          <w:t xml:space="preserve">19</w:t>
        </w:r>
      </w:hyperlink>
      <w:r>
        <w:t xml:space="preserve"> </w:t>
      </w:r>
      <w:r>
        <w:t xml:space="preserve">Nobody can charge for the note anymore. They have to charge for whatever else can be pulled out of the conversation once it’s written down.</w:t>
      </w:r>
    </w:p>
    <w:p>
      <w:pPr>
        <w:pStyle w:val="BodyText"/>
      </w:pPr>
      <w:r>
        <w:t xml:space="preserve">The first thing that can be pulled out is billing, and it’s been measured. Riverside Health saw an 11 percent rise in physician wRVUs and a 14 percent increase in documented HCC diagnoses per encounter. Northwestern Medicine clinicians using DAX billed more high-level E/M visits on average. A 2024 Texas Oncology study found documented diagnoses rose from 3.0 to 4.1 per encounter.</w:t>
      </w:r>
      <w:hyperlink w:anchor="fn19">
        <w:r>
          <w:rPr>
            <w:rStyle w:val="Hyperlink"/>
          </w:rPr>
          <w:t xml:space="preserve">19</w:t>
        </w:r>
      </w:hyperlink>
      <w:r>
        <w:t xml:space="preserve"> </w:t>
      </w:r>
      <w:r>
        <w:t xml:space="preserve">An independent claims analysis of six large systems that had publicly announced adoption found consistent upward redistribution toward the highest E/M codes, with high-intensity new patient coding rising 12 to 20 points and hitting 80 percent at one system.</w:t>
      </w:r>
      <w:hyperlink w:anchor="fn20">
        <w:r>
          <w:rPr>
            <w:rStyle w:val="Hyperlink"/>
          </w:rPr>
          <w:t xml:space="preserve">20</w:t>
        </w:r>
      </w:hyperlink>
    </w:p>
    <w:p>
      <w:pPr>
        <w:pStyle w:val="BodyText"/>
      </w:pPr>
      <w:r>
        <w:t xml:space="preserve">Then in January 2026, UCSF published the arithmetic.</w:t>
      </w:r>
    </w:p>
    <w:p>
      <w:pPr>
        <w:pStyle w:val="BodyText"/>
      </w:pPr>
      <w:r>
        <w:t xml:space="preserve">Holmgren and colleagues looked at nearly 1.2 million ambulatory encounters across 1,565 physicians, 698 of whom adopted a scribe. Adopters generated 1.81 more RVUs per week than non-adopters, a 5.8 percent increase, worth roughly $3,044 in additional annual revenue per physician at 2025 Medicare rates, along with 0.80 more encounters per week. Denials did not rise.</w:t>
      </w:r>
      <w:hyperlink w:anchor="fn21">
        <w:r>
          <w:rPr>
            <w:rStyle w:val="Hyperlink"/>
          </w:rPr>
          <w:t xml:space="preserve">21</w:t>
        </w:r>
      </w:hyperlink>
      <w:r>
        <w:t xml:space="preserve"> </w:t>
      </w:r>
      <w:r>
        <w:t xml:space="preserve">The lead author’s own framing is that these are initial findings that AI scribes change how physicians code and bill, and that the open question is whether the gain comes from additional services delivered or from changes in coding practice.</w:t>
      </w:r>
      <w:hyperlink w:anchor="fn21">
        <w:r>
          <w:rPr>
            <w:rStyle w:val="Hyperlink"/>
          </w:rPr>
          <w:t xml:space="preserve">21</w:t>
        </w:r>
      </w:hyperlink>
    </w:p>
    <w:p>
      <w:pPr>
        <w:pStyle w:val="BodyText"/>
      </w:pPr>
      <w:r>
        <w:t xml:space="preserve">That’s the generous number, incidentally. A five-system difference-in-differences study in</w:t>
      </w:r>
      <w:r>
        <w:t xml:space="preserve"> </w:t>
      </w:r>
      <w:r>
        <w:rPr>
          <w:i/>
        </w:rPr>
        <w:t xml:space="preserve">JAMA</w:t>
      </w:r>
      <w:r>
        <w:t xml:space="preserve"> </w:t>
      </w:r>
      <w:r>
        <w:t xml:space="preserve">found adoption associated with about $167 a month in marginal E/M revenue, roughly $2,004 a year, which the authors themselves call a conservative lower bound.</w:t>
      </w:r>
      <w:hyperlink w:anchor="fn28">
        <w:r>
          <w:rPr>
            <w:rStyle w:val="Hyperlink"/>
          </w:rPr>
          <w:t xml:space="preserve">28</w:t>
        </w:r>
      </w:hyperlink>
    </w:p>
    <w:p>
      <w:pPr>
        <w:pStyle w:val="BodyText"/>
      </w:pPr>
      <w:r>
        <w:t xml:space="preserve">Against that, the price. The accompanying JAMA Network Open commentary puts subscription fees at $200 to $600 per clinician per month.</w:t>
      </w:r>
      <w:hyperlink w:anchor="fn22">
        <w:r>
          <w:rPr>
            <w:rStyle w:val="Hyperlink"/>
          </w:rPr>
          <w:t xml:space="preserve">22</w:t>
        </w:r>
      </w:hyperlink>
      <w:r>
        <w:t xml:space="preserve"> </w:t>
      </w:r>
      <w:r>
        <w:t xml:space="preserve">Six hundred a month is $7,200 a year. Four hundred is $4,800. Three hundred is $3,600. The measured gain is $3,044 at one site and about $2,004 across five.</w:t>
      </w:r>
    </w:p>
    <w:p>
      <w:pPr>
        <w:pStyle w:val="BodyText"/>
      </w:pPr>
      <w:r>
        <w:t xml:space="preserve">The commentary says these incremental gains could collectively offset subscription fees.</w:t>
      </w:r>
      <w:hyperlink w:anchor="fn22">
        <w:r>
          <w:rPr>
            <w:rStyle w:val="Hyperlink"/>
          </w:rPr>
          <w:t xml:space="preserve">22</w:t>
        </w:r>
      </w:hyperlink>
      <w:r>
        <w:t xml:space="preserve"> </w:t>
      </w:r>
      <w:r>
        <w:t xml:space="preserve">Could. At the bottom of the price range, using the friendliest study, maybe. Anywhere else it doesn’t clear.</w:t>
      </w:r>
    </w:p>
    <w:p>
      <w:pPr>
        <w:pStyle w:val="BodyText"/>
      </w:pPr>
      <w:r>
        <w:t xml:space="preserve">The other evaluations agree from the opposite direction. The financial impact is unclear, ambient scribes are not productivity tools yet, and several studies found no significant gain in documentation time, productivity, or revenue per visit at all.</w:t>
      </w:r>
      <w:hyperlink w:anchor="fn17">
        <w:r>
          <w:rPr>
            <w:rStyle w:val="Hyperlink"/>
          </w:rPr>
          <w:t xml:space="preserve">17</w:t>
        </w:r>
      </w:hyperlink>
      <w:r>
        <w:t xml:space="preserve">,</w:t>
      </w:r>
      <w:hyperlink w:anchor="fn29">
        <w:r>
          <w:rPr>
            <w:rStyle w:val="Hyperlink"/>
          </w:rPr>
          <w:t xml:space="preserve">29</w:t>
        </w:r>
      </w:hyperlink>
    </w:p>
    <w:p>
      <w:pPr>
        <w:pStyle w:val="BodyText"/>
      </w:pPr>
      <w:r>
        <w:t xml:space="preserve">And the counterparty has already moved. Starting 01OCT2025, Cigna began automatically reducing many level 4 and 5 E/M claims by one level unless the documentation clearly supports the higher complexity, and Aetna Better Health has applied similar reviews.</w:t>
      </w:r>
      <w:hyperlink w:anchor="fn19">
        <w:r>
          <w:rPr>
            <w:rStyle w:val="Hyperlink"/>
          </w:rPr>
          <w:t xml:space="preserve">19</w:t>
        </w:r>
      </w:hyperlink>
      <w:r>
        <w:t xml:space="preserve"> </w:t>
      </w:r>
      <w:r>
        <w:t xml:space="preserve">The JAMA commentary reaches for the same phrase the npj authors did, independently, calling it a possible coding arms race.</w:t>
      </w:r>
      <w:hyperlink w:anchor="fn22">
        <w:r>
          <w:rPr>
            <w:rStyle w:val="Hyperlink"/>
          </w:rPr>
          <w:t xml:space="preserve">22</w:t>
        </w:r>
      </w:hyperlink>
      <w:r>
        <w:t xml:space="preserve"> </w:t>
      </w:r>
      <w:r>
        <w:t xml:space="preserve">Medicare Advantage already has coding intensity adjustments for exactly this reason, built after in-home assessments and chart reviews were shown to raise risk scores.</w:t>
      </w:r>
      <w:hyperlink w:anchor="fn19">
        <w:r>
          <w:rPr>
            <w:rStyle w:val="Hyperlink"/>
          </w:rPr>
          <w:t xml:space="preserve">19</w:t>
        </w:r>
      </w:hyperlink>
    </w:p>
    <w:p>
      <w:pPr>
        <w:pStyle w:val="BodyText"/>
      </w:pPr>
      <w:r>
        <w:t xml:space="preserve">So the coding money is a step change, not a growth curve, and it gets competed away and audited away. The npj authors say as much: commoditization and payer countermeasures will erode those advantages in time, and late adopters may miss the temporary upside while practicing under a lower baseline set after everyone else’s gains have been priced in.</w:t>
      </w:r>
      <w:hyperlink w:anchor="fn19">
        <w:r>
          <w:rPr>
            <w:rStyle w:val="Hyperlink"/>
          </w:rPr>
          <w:t xml:space="preserve">19</w:t>
        </w:r>
      </w:hyperlink>
    </w:p>
    <w:p>
      <w:pPr>
        <w:pStyle w:val="BodyText"/>
      </w:pPr>
      <w:r>
        <w:t xml:space="preserve">A billion dollars in one year is not underwritten by an effect worth two or three thousand dollars a physician that gets clawed back by 2028. Read what the same brief says the winners will profit from: subscription revenue and accumulated data assets.</w:t>
      </w:r>
      <w:hyperlink w:anchor="fn19">
        <w:r>
          <w:rPr>
            <w:rStyle w:val="Hyperlink"/>
          </w:rPr>
          <w:t xml:space="preserve">19</w:t>
        </w:r>
      </w:hyperlink>
    </w:p>
    <w:p>
      <w:pPr>
        <w:pStyle w:val="Heading2"/>
      </w:pPr>
      <w:bookmarkStart w:id="26" w:name="who-pays-the-difference"/>
      <w:r>
        <w:t xml:space="preserve">Who pays the difference</w:t>
      </w:r>
      <w:bookmarkEnd w:id="26"/>
    </w:p>
    <w:p>
      <w:pPr>
        <w:pStyle w:val="FirstParagraph"/>
      </w:pPr>
      <w:r>
        <w:t xml:space="preserve">The day Holmgren appeared,</w:t>
      </w:r>
      <w:r>
        <w:t xml:space="preserve"> </w:t>
      </w:r>
      <w:r>
        <w:rPr>
          <w:i/>
        </w:rPr>
        <w:t xml:space="preserve">JAMA Health Forum</w:t>
      </w:r>
      <w:r>
        <w:t xml:space="preserve"> </w:t>
      </w:r>
      <w:r>
        <w:t xml:space="preserve">ran a companion piece on what happens when the money doesn’t add up. Nong and Neprash note that the ubiquity of billing tools inside today’s scribe offerings suggests these products may actually increase health care spending, that many vendors purport to enable higher-intensity billing through more complete documentation, and that some advertise the ability to maximize the number and severity of diagnoses recorded, yielding higher risk-adjusted payments.</w:t>
      </w:r>
      <w:hyperlink w:anchor="fn27">
        <w:r>
          <w:rPr>
            <w:rStyle w:val="Hyperlink"/>
          </w:rPr>
          <w:t xml:space="preserve">27</w:t>
        </w:r>
      </w:hyperlink>
    </w:p>
    <w:p>
      <w:pPr>
        <w:pStyle w:val="BodyText"/>
      </w:pPr>
      <w:r>
        <w:t xml:space="preserve">Then Neprash says the part I’d want every resident to read twice:</w:t>
      </w:r>
    </w:p>
    <w:p>
      <w:pPr>
        <w:pStyle w:val="BlockText"/>
      </w:pPr>
      <w:r>
        <w:t xml:space="preserve">Given the cost of ambient scribes ($300-500 per user per month), organizations may pressure clinicians to increase visits in order to recoup costs.</w:t>
      </w:r>
      <w:hyperlink w:anchor="fn27">
        <w:r>
          <w:rPr>
            <w:rStyle w:val="Hyperlink"/>
          </w:rPr>
          <w:t xml:space="preserve">27</w:t>
        </w:r>
      </w:hyperlink>
    </w:p>
    <w:p>
      <w:pPr>
        <w:pStyle w:val="FirstParagraph"/>
      </w:pPr>
      <w:r>
        <w:t xml:space="preserve">That’s what the check coming due looks like on the ground. Not a robot. A director of operations with a spreadsheet showing what your license costs the department, and a conversation about your template.</w:t>
      </w:r>
    </w:p>
    <w:p>
      <w:pPr>
        <w:pStyle w:val="BodyText"/>
      </w:pPr>
      <w:r>
        <w:t xml:space="preserve">You gave up the recording to get your evening back, and the subscription that bought the evening is the reason your schedule gets tighter.</w:t>
      </w:r>
    </w:p>
    <w:p>
      <w:pPr>
        <w:pStyle w:val="BodyText"/>
      </w:pPr>
      <w:r>
        <w:t xml:space="preserve">She names the other party who pays, too. Erosion of patient trust, as surprise bills make care less affordable, for instance if scribes convert preventive visits into problem-based visits, which the patient may not learn about until the bill arrives.</w:t>
      </w:r>
      <w:hyperlink w:anchor="fn27">
        <w:r>
          <w:rPr>
            <w:rStyle w:val="Hyperlink"/>
          </w:rPr>
          <w:t xml:space="preserve">27</w:t>
        </w:r>
      </w:hyperlink>
      <w:r>
        <w:t xml:space="preserve"> </w:t>
      </w:r>
      <w:r>
        <w:t xml:space="preserve">The tool hears the part of the wellness visit where she mentions her knee. The visit reclassifies. She gets charged for a conversation she thought was free. Nobody committed fraud; the documentation just got more complete.</w:t>
      </w:r>
    </w:p>
    <w:p>
      <w:pPr>
        <w:pStyle w:val="BodyText"/>
      </w:pPr>
      <w:r>
        <w:t xml:space="preserve">Her own summary is that the horse is already out of the barn, that what policymakers need is evidence about what happens to spending after adoption and whether the increases represent high-value care or upcoding or something in between, and that payers have tools to fight upcoding but those tools are politically unpopular among clinicians, and the alternative is passing the increases through to consumers and taxpayers.</w:t>
      </w:r>
      <w:hyperlink w:anchor="fn27">
        <w:r>
          <w:rPr>
            <w:rStyle w:val="Hyperlink"/>
          </w:rPr>
          <w:t xml:space="preserve">27</w:t>
        </w:r>
      </w:hyperlink>
    </w:p>
    <w:p>
      <w:pPr>
        <w:pStyle w:val="Heading2"/>
      </w:pPr>
      <w:bookmarkStart w:id="27" w:name="its-2005-all-over-again-1"/>
      <w:r>
        <w:t xml:space="preserve">It’s 2005 all over again</w:t>
      </w:r>
      <w:bookmarkEnd w:id="27"/>
    </w:p>
    <w:p>
      <w:pPr>
        <w:pStyle w:val="FirstParagraph"/>
      </w:pPr>
      <w:r>
        <w:t xml:space="preserve">Not robots. Nobody loses a job. No black-box uprising, no algorithm firing anyone. The mechanism is duller than that, and it’s already in the receipts above.</w:t>
      </w:r>
    </w:p>
    <w:p>
      <w:pPr>
        <w:pStyle w:val="BodyText"/>
      </w:pPr>
      <w:r>
        <w:t xml:space="preserve">The tool creates an artifact that did not exist before.</w:t>
      </w:r>
    </w:p>
    <w:p>
      <w:pPr>
        <w:pStyle w:val="BodyText"/>
      </w:pPr>
      <w:r>
        <w:t xml:space="preserve">A human scribe hears and forgets. A recording is a durable object, and its deletion is a promise, and a promise is a configuration value somebody can change on a Tuesday without a breach and without anyone behaving badly. Retention windows are contract terms. Contract terms get renegotiated at renewal.</w:t>
      </w:r>
    </w:p>
    <w:p>
      <w:pPr>
        <w:pStyle w:val="BodyText"/>
      </w:pPr>
      <w:r>
        <w:t xml:space="preserve">That isn’t my inference. A legal analysis in</w:t>
      </w:r>
      <w:r>
        <w:t xml:space="preserve"> </w:t>
      </w:r>
      <w:r>
        <w:rPr>
          <w:i/>
        </w:rPr>
        <w:t xml:space="preserve">NEJM AI</w:t>
      </w:r>
      <w:r>
        <w:t xml:space="preserve"> </w:t>
      </w:r>
      <w:r>
        <w:t xml:space="preserve">lays out the same structure: ambient recordings fall under state wiretapping and eavesdropping statutes independent of HIPAA, deidentified recordings still carry identifiable voice biomarkers, and retention and deletion are governed by vendor contract terms.</w:t>
      </w:r>
      <w:hyperlink w:anchor="fn30">
        <w:r>
          <w:rPr>
            <w:rStyle w:val="Hyperlink"/>
          </w:rPr>
          <w:t xml:space="preserve">30</w:t>
        </w:r>
      </w:hyperlink>
      <w:r>
        <w:t xml:space="preserve"> </w:t>
      </w:r>
      <w:r>
        <w:t xml:space="preserve">Not by law — HIPAA sets no retention period, and state law only a floor. By the contract your employer signed, which you have not read, and which renews.</w:t>
      </w:r>
    </w:p>
    <w:p>
      <w:pPr>
        <w:pStyle w:val="BodyText"/>
      </w:pPr>
      <w:r>
        <w:t xml:space="preserve">It isn’t the same object as your note, either. Your note is curated. You chose every word, you left things out on purpose, and she knows a note is being written. The audio is uncurated. It has what she said before she thought better of it, the tremor, the husband in the room, the thing you deliberately kept out of the chart because you judged it didn’t belong there. That was the one part of the visit that could never be reconstructed from the record.</w:t>
      </w:r>
    </w:p>
    <w:p>
      <w:pPr>
        <w:pStyle w:val="BodyText"/>
      </w:pPr>
      <w:r>
        <w:t xml:space="preserve">Which brings me to the thing I actually wanted to say, and I’ve taken eight hundred words to get here.</w:t>
      </w:r>
    </w:p>
    <w:p>
      <w:pPr>
        <w:pStyle w:val="BodyText"/>
      </w:pPr>
      <w:r>
        <w:t xml:space="preserve">The conversation was never protected by principle. It was protected by the fact that nobody had a copy.</w:t>
      </w:r>
    </w:p>
    <w:p>
      <w:pPr>
        <w:pStyle w:val="BodyText"/>
      </w:pPr>
      <w:r>
        <w:t xml:space="preserve">That’s the entire history of medical measurement. We measure what leaves a trace. Promoting Interoperability is a quarter of your MIPS score today, not because anyone decided that interoperability is the essence of doctoring, but because the EHR produced a countable trace, and the appetite for scoring physicians is older than any of us. Measurement stopped at the note because the note was where the trace stopped.</w:t>
      </w:r>
    </w:p>
    <w:p>
      <w:pPr>
        <w:pStyle w:val="Heading2"/>
      </w:pPr>
      <w:bookmarkStart w:id="28" w:name="where-this-goes"/>
      <w:r>
        <w:t xml:space="preserve">Where this goes</w:t>
      </w:r>
      <w:bookmarkEnd w:id="28"/>
    </w:p>
    <w:p>
      <w:pPr>
        <w:pStyle w:val="FirstParagraph"/>
      </w:pPr>
      <w:r>
        <w:t xml:space="preserve">The machinery for nudging is old. Health systems have used EHR best practice advisories for years to prompt clinicians to add diagnoses for risk adjustment.</w:t>
      </w:r>
      <w:hyperlink w:anchor="fn19">
        <w:r>
          <w:rPr>
            <w:rStyle w:val="Hyperlink"/>
          </w:rPr>
          <w:t xml:space="preserve">19</w:t>
        </w:r>
      </w:hyperlink>
      <w:r>
        <w:t xml:space="preserve"> </w:t>
      </w:r>
      <w:r>
        <w:t xml:space="preserve">The only new thing is that the prompt can be based on what you said out loud instead of what you typed.</w:t>
      </w:r>
    </w:p>
    <w:p>
      <w:pPr>
        <w:pStyle w:val="BodyText"/>
      </w:pPr>
      <w:r>
        <w:t xml:space="preserve">The payment plumbing is being laid now. The AMA’s Digital Medicine Payment Advisory Group is advising on coding and payment pathways for AI, including ambient scribes, and how their cost should be classified within the practice expense component of the RVU.</w:t>
      </w:r>
      <w:hyperlink w:anchor="fn19">
        <w:r>
          <w:rPr>
            <w:rStyle w:val="Hyperlink"/>
          </w:rPr>
          <w:t xml:space="preserve">19</w:t>
        </w:r>
      </w:hyperlink>
    </w:p>
    <w:p>
      <w:pPr>
        <w:pStyle w:val="BodyText"/>
      </w:pPr>
      <w:r>
        <w:t xml:space="preserve">And the federal rung is forming in public. CMS’s Health Tech Ecosystem pledge is voluntary and has drawn more than 600 organizations.</w:t>
      </w:r>
      <w:hyperlink w:anchor="fn23">
        <w:r>
          <w:rPr>
            <w:rStyle w:val="Hyperlink"/>
          </w:rPr>
          <w:t xml:space="preserve">23</w:t>
        </w:r>
      </w:hyperlink>
      <w:r>
        <w:t xml:space="preserve"> </w:t>
      </w:r>
      <w:r>
        <w:t xml:space="preserve">Industry has told CMS what it needs next, which is that CMS will need to invest in and include in their upcoming fee schedules incentives that motivate provider behavior, provider utilization being the critical last mile.</w:t>
      </w:r>
      <w:hyperlink w:anchor="fn24">
        <w:r>
          <w:rPr>
            <w:rStyle w:val="Hyperlink"/>
          </w:rPr>
          <w:t xml:space="preserve">24</w:t>
        </w:r>
      </w:hyperlink>
    </w:p>
    <w:p>
      <w:pPr>
        <w:pStyle w:val="BodyText"/>
      </w:pPr>
      <w:r>
        <w:t xml:space="preserve">Then the government’s own words. From the CY2027 Physician Fee Schedule proposed rule, published in the Federal Register on 16JUL2026, in the request for information titled</w:t>
      </w:r>
      <w:r>
        <w:t xml:space="preserve"> </w:t>
      </w:r>
      <w:r>
        <w:t xml:space="preserve">“</w:t>
      </w:r>
      <w:r>
        <w:t xml:space="preserve">Redesigning Primary Care To Make America Healthy Again</w:t>
      </w:r>
      <w:r>
        <w:t xml:space="preserve">”</w:t>
      </w:r>
      <w:r>
        <w:t xml:space="preserve">:</w:t>
      </w:r>
    </w:p>
    <w:p>
      <w:pPr>
        <w:pStyle w:val="BlockText"/>
      </w:pPr>
      <w:r>
        <w:t xml:space="preserve">…clinician-facing AI tools that are currently in widespread use are more focused on administrative burden reduction and clinical decision-support. For example, tools focused on reducing clinician documentation burden (e.g. AI scribes), have perhaps been the most widely taken up by clinicians, with an estimated 25% penetration among all US physicians. Early system-level evaluations demonstrate generally increased productivity among adopters along with decreases in perceived documentation burden.</w:t>
      </w:r>
      <w:hyperlink w:anchor="fn25">
        <w:r>
          <w:rPr>
            <w:rStyle w:val="Hyperlink"/>
          </w:rPr>
          <w:t xml:space="preserve">25</w:t>
        </w:r>
      </w:hyperlink>
    </w:p>
    <w:p>
      <w:pPr>
        <w:pStyle w:val="FirstParagraph"/>
      </w:pPr>
      <w:r>
        <w:t xml:space="preserve">CMS goes on to ask how these tools have affected the resource costs of primary care practice, and how to develop a comprehensive and consistent approach to payment for technology-enabled care.</w:t>
      </w:r>
      <w:hyperlink w:anchor="fn25">
        <w:r>
          <w:rPr>
            <w:rStyle w:val="Hyperlink"/>
          </w:rPr>
          <w:t xml:space="preserve">25</w:t>
        </w:r>
      </w:hyperlink>
    </w:p>
    <w:p>
      <w:pPr>
        <w:pStyle w:val="BodyText"/>
      </w:pPr>
      <w:r>
        <w:t xml:space="preserve">Twenty-five percent penetration, an agency citing productivity data, a question about how to pay for it. And the citation CMS uses for the productivity claim is Holmgren, whose lead author says the open question is whether the gain is services or coding.</w:t>
      </w:r>
      <w:hyperlink w:anchor="fn21">
        <w:r>
          <w:rPr>
            <w:rStyle w:val="Hyperlink"/>
          </w:rPr>
          <w:t xml:space="preserve">21</w:t>
        </w:r>
      </w:hyperlink>
      <w:r>
        <w:t xml:space="preserve"> </w:t>
      </w:r>
      <w:r>
        <w:t xml:space="preserve">An agency building payment policy on a number the number’s own authors declined to stand behind. We have seen that before, in September 2005.</w:t>
      </w:r>
    </w:p>
    <w:p>
      <w:pPr>
        <w:pStyle w:val="BodyText"/>
      </w:pPr>
      <w:r>
        <w:t xml:space="preserve">Comments close 14SEP2026.</w:t>
      </w:r>
    </w:p>
    <w:p>
      <w:pPr>
        <w:pStyle w:val="BodyText"/>
      </w:pPr>
      <w:r>
        <w:t xml:space="preserve">The scoring vehicle is in the same rule:</w:t>
      </w:r>
    </w:p>
    <w:p>
      <w:pPr>
        <w:pStyle w:val="BlockText"/>
      </w:pPr>
      <w:r>
        <w:t xml:space="preserve">…we are proposing the traditional MIPS reporting option would be sunset and that MVPs will be the only reporting option for MIPS beginning with the CY 2029 performance period/2031 MIPS payment year.</w:t>
      </w:r>
      <w:hyperlink w:anchor="fn26">
        <w:r>
          <w:rPr>
            <w:rStyle w:val="Hyperlink"/>
          </w:rPr>
          <w:t xml:space="preserve">26</w:t>
        </w:r>
      </w:hyperlink>
    </w:p>
    <w:p>
      <w:pPr>
        <w:pStyle w:val="FirstParagraph"/>
      </w:pPr>
      <w:r>
        <w:t xml:space="preserve">Alongside it, the continued push toward FHIR-based digital quality measures.</w:t>
      </w:r>
      <w:hyperlink w:anchor="fn26">
        <w:r>
          <w:rPr>
            <w:rStyle w:val="Hyperlink"/>
          </w:rPr>
          <w:t xml:space="preserve">26</w:t>
        </w:r>
      </w:hyperlink>
      <w:r>
        <w:t xml:space="preserve"> </w:t>
      </w:r>
      <w:r>
        <w:t xml:space="preserve">A digital quality measure is computed from a data stream rather than attested by a human. Right now the stream is the chart.</w:t>
      </w:r>
    </w:p>
    <w:p>
      <w:pPr>
        <w:pStyle w:val="BodyText"/>
      </w:pPr>
      <w:r>
        <w:t xml:space="preserve">So here’s the prediction, and it’s a modest one.</w:t>
      </w:r>
    </w:p>
    <w:p>
      <w:pPr>
        <w:pStyle w:val="BodyText"/>
      </w:pPr>
      <w:r>
        <w:t xml:space="preserve">It won’t start with anything cruel. It’ll start with something nobody can argue against, the way e-prescribing was in 2009, the way vaccine counseling would be if you were designing it today. Free, then default, then required for efficiency, then reported, then scored. Somewhere in there a vendor sells a conversational quality metric, because differentiation has to come from somewhere once the transcript itself is worthless. Somewhere after that a health system discovers it can compare you to the man in the next room, and it will not be able to stop itself, because it has never once been able to stop itself.</w:t>
      </w:r>
    </w:p>
    <w:p>
      <w:pPr>
        <w:pStyle w:val="BodyText"/>
      </w:pPr>
      <w:r>
        <w:t xml:space="preserve">None of that requires anyone to sell a recording, break HIPAA, or intend harm. It requires only that a copy exists, and that the people who already score us keep doing the thing they have done every time a copy has existed.</w:t>
      </w:r>
    </w:p>
    <w:p>
      <w:pPr>
        <w:pStyle w:val="BodyText"/>
      </w:pPr>
      <w:r>
        <w:t xml:space="preserve">The exam room was the last part of this job that left no trace. That wasn’t sentiment. It was the working condition that made people tell us the truth.</w:t>
      </w:r>
    </w:p>
    <w:p>
      <w:pPr>
        <w:pStyle w:val="BodyText"/>
      </w:pPr>
      <w:r>
        <w:t xml:space="preserve">We’re being offered our evenings back for it. It’s a good offer. In 2005 we took a better one.</w:t>
      </w:r>
    </w:p>
    <w:p>
      <w:pPr>
        <w:pStyle w:val="BodyText"/>
      </w:pPr>
      <w:r>
        <w:t xml:space="preserve">S.D.G.</w:t>
      </w:r>
    </w:p>
    <w:p>
      <w:r>
        <w:pict>
          <v:rect style="width:0;height:1.5pt" o:hralign="center" o:hrstd="t" o:hr="t"/>
        </w:pict>
      </w:r>
    </w:p>
    <w:p>
      <w:pPr>
        <w:pStyle w:val="Heading3"/>
      </w:pPr>
      <w:bookmarkStart w:id="29" w:name="notes"/>
      <w:r>
        <w:t xml:space="preserve">Notes</w:t>
      </w:r>
      <w:bookmarkEnd w:id="29"/>
    </w:p>
    <w:p>
      <w:pPr>
        <w:pStyle w:val="FirstParagraph"/>
      </w:pPr>
      <w:r>
        <w:t xml:space="preserve">1. Hillestad R, Bigelow J, Bower A, Girosi F, Meili R, Scoville R, Taylor R.</w:t>
      </w:r>
      <w:r>
        <w:t xml:space="preserve"> </w:t>
      </w:r>
      <w:r>
        <w:t xml:space="preserve">“</w:t>
      </w:r>
      <w:r>
        <w:t xml:space="preserve">Can Electronic Medical Record Systems Transform Health Care? Potential Health Benefits, Savings, and Costs.</w:t>
      </w:r>
      <w:r>
        <w:t xml:space="preserve">”</w:t>
      </w:r>
      <w:r>
        <w:t xml:space="preserve"> </w:t>
      </w:r>
      <w:r>
        <w:rPr>
          <w:i/>
        </w:rPr>
        <w:t xml:space="preserve">Health Affairs</w:t>
      </w:r>
      <w:r>
        <w:t xml:space="preserve"> </w:t>
      </w:r>
      <w:r>
        <w:t xml:space="preserve">2005;24(5):1103-17. doi:10.1377/hlthaff.24.5.1103. PMID 16162551.</w:t>
      </w:r>
    </w:p>
    <w:p>
      <w:pPr>
        <w:pStyle w:val="BodyText"/>
      </w:pPr>
      <w:r>
        <w:t xml:space="preserve">2. RAND Corporation press release, 14SEP2005. https://www.rand.org/news/press/2005/09/14.html</w:t>
      </w:r>
    </w:p>
    <w:p>
      <w:pPr>
        <w:pStyle w:val="BodyText"/>
      </w:pPr>
      <w:r>
        <w:t xml:space="preserve">3. Himmelstein DU, Woolhandler S.</w:t>
      </w:r>
      <w:r>
        <w:t xml:space="preserve"> </w:t>
      </w:r>
      <w:r>
        <w:t xml:space="preserve">“</w:t>
      </w:r>
      <w:r>
        <w:t xml:space="preserve">Hope and Hype: Predicting the Impact of Electronic Medical Records.</w:t>
      </w:r>
      <w:r>
        <w:t xml:space="preserve">”</w:t>
      </w:r>
      <w:r>
        <w:t xml:space="preserve"> </w:t>
      </w:r>
      <w:r>
        <w:rPr>
          <w:i/>
        </w:rPr>
        <w:t xml:space="preserve">Health Affairs</w:t>
      </w:r>
      <w:r>
        <w:t xml:space="preserve"> </w:t>
      </w:r>
      <w:r>
        <w:t xml:space="preserve">2005;24(5):1121-23.</w:t>
      </w:r>
    </w:p>
    <w:p>
      <w:pPr>
        <w:pStyle w:val="BodyText"/>
      </w:pPr>
      <w:r>
        <w:t xml:space="preserve">4. Goodman C.</w:t>
      </w:r>
      <w:r>
        <w:t xml:space="preserve"> </w:t>
      </w:r>
      <w:r>
        <w:t xml:space="preserve">“</w:t>
      </w:r>
      <w:r>
        <w:t xml:space="preserve">Savings in Electronic Medical Record Systems? Do It for the Quality.</w:t>
      </w:r>
      <w:r>
        <w:t xml:space="preserve">”</w:t>
      </w:r>
      <w:r>
        <w:t xml:space="preserve"> </w:t>
      </w:r>
      <w:r>
        <w:rPr>
          <w:i/>
        </w:rPr>
        <w:t xml:space="preserve">Health Affairs</w:t>
      </w:r>
      <w:r>
        <w:t xml:space="preserve"> </w:t>
      </w:r>
      <w:r>
        <w:t xml:space="preserve">2005;24(5):1124-26.</w:t>
      </w:r>
    </w:p>
    <w:p>
      <w:pPr>
        <w:pStyle w:val="BodyText"/>
      </w:pPr>
      <w:r>
        <w:t xml:space="preserve">5. HITECH Act, Division B, Title IV of the American Recovery and Reinvestment Act of 2009, Pub. L. 111-5, enacted 17FEB2009.</w:t>
      </w:r>
    </w:p>
    <w:p>
      <w:pPr>
        <w:pStyle w:val="BodyText"/>
      </w:pPr>
      <w:r>
        <w:t xml:space="preserve">6. CMS,</w:t>
      </w:r>
      <w:r>
        <w:t xml:space="preserve"> </w:t>
      </w:r>
      <w:r>
        <w:t xml:space="preserve">“</w:t>
      </w:r>
      <w:r>
        <w:t xml:space="preserve">Medicare and Medicaid EHR Incentive Program Basics</w:t>
      </w:r>
      <w:r>
        <w:t xml:space="preserve">”</w:t>
      </w:r>
      <w:r>
        <w:t xml:space="preserve"> </w:t>
      </w:r>
      <w:r>
        <w:t xml:space="preserve">(archived, National Archives web capture).</w:t>
      </w:r>
    </w:p>
    <w:p>
      <w:pPr>
        <w:pStyle w:val="BodyText"/>
      </w:pPr>
      <w:r>
        <w:t xml:space="preserve">7. Social Security Act §1848(a)(7), 42 U.S.C. §1395w-4(a)(7). https://www.ssa.gov/OP_Home/ssact/title18/1848.htm</w:t>
      </w:r>
    </w:p>
    <w:p>
      <w:pPr>
        <w:pStyle w:val="BodyText"/>
      </w:pPr>
      <w:r>
        <w:t xml:space="preserve">8. MACRA, Pub. L. 114-10, enacted 16APR2015.</w:t>
      </w:r>
    </w:p>
    <w:p>
      <w:pPr>
        <w:pStyle w:val="BodyText"/>
      </w:pPr>
      <w:r>
        <w:t xml:space="preserve">9. American Medical Association,</w:t>
      </w:r>
      <w:r>
        <w:t xml:space="preserve"> </w:t>
      </w:r>
      <w:r>
        <w:t xml:space="preserve">“</w:t>
      </w:r>
      <w:r>
        <w:t xml:space="preserve">Medicare Basics: Merit-based Incentive Payment System (MIPS).</w:t>
      </w:r>
      <w:r>
        <w:t xml:space="preserve">”</w:t>
      </w:r>
      <w:r>
        <w:t xml:space="preserve"> </w:t>
      </w:r>
      <w:r>
        <w:t xml:space="preserve">https://www.ama-assn.org/system/files/medicare-basics-mips.pdf</w:t>
      </w:r>
    </w:p>
    <w:p>
      <w:pPr>
        <w:pStyle w:val="BodyText"/>
      </w:pPr>
      <w:r>
        <w:t xml:space="preserve">10. American College of Surgeons, 2022 MIPS resource; realized 2024 adjustments −9% to +8.25% under budget neutrality.</w:t>
      </w:r>
    </w:p>
    <w:p>
      <w:pPr>
        <w:pStyle w:val="BodyText"/>
      </w:pPr>
      <w:r>
        <w:t xml:space="preserve">11. Reporting on Anna Konopka, MD: STAT (27NOV2017), CNN (28NOV2017), Fortune (29NOV2017), NHPR, Medscape, AP. Primary documents: NH Board of Medicine disciplinary file and voluntary surrender agreement; Merrimack County Superior Court order of 15NOV2017.</w:t>
      </w:r>
    </w:p>
    <w:p>
      <w:pPr>
        <w:pStyle w:val="BodyText"/>
      </w:pPr>
      <w:r>
        <w:t xml:space="preserve">12. Sinsky C, et al. </w:t>
      </w:r>
      <w:r>
        <w:t xml:space="preserve">“</w:t>
      </w:r>
      <w:r>
        <w:t xml:space="preserve">Allocation of Physician Time in Ambulatory Practice.</w:t>
      </w:r>
      <w:r>
        <w:t xml:space="preserve">”</w:t>
      </w:r>
      <w:r>
        <w:t xml:space="preserve"> </w:t>
      </w:r>
      <w:r>
        <w:rPr>
          <w:i/>
        </w:rPr>
        <w:t xml:space="preserve">Ann Intern Med</w:t>
      </w:r>
      <w:r>
        <w:t xml:space="preserve"> </w:t>
      </w:r>
      <w:r>
        <w:t xml:space="preserve">2016;165(11):753-60. doi:10.7326/M16-0961. PMID 27595430.</w:t>
      </w:r>
    </w:p>
    <w:p>
      <w:pPr>
        <w:pStyle w:val="BodyText"/>
      </w:pPr>
      <w:r>
        <w:t xml:space="preserve">13. Arndt BG, et al. </w:t>
      </w:r>
      <w:r>
        <w:t xml:space="preserve">“</w:t>
      </w:r>
      <w:r>
        <w:t xml:space="preserve">Tethered to the EHR.</w:t>
      </w:r>
      <w:r>
        <w:t xml:space="preserve">”</w:t>
      </w:r>
      <w:r>
        <w:t xml:space="preserve"> </w:t>
      </w:r>
      <w:r>
        <w:rPr>
          <w:i/>
        </w:rPr>
        <w:t xml:space="preserve">Ann Fam Med</w:t>
      </w:r>
      <w:r>
        <w:t xml:space="preserve"> </w:t>
      </w:r>
      <w:r>
        <w:t xml:space="preserve">2017;15(5):419-26.</w:t>
      </w:r>
    </w:p>
    <w:p>
      <w:pPr>
        <w:pStyle w:val="BodyText"/>
      </w:pPr>
      <w:r>
        <w:t xml:space="preserve">14. Kellermann AL, Jones SS.</w:t>
      </w:r>
      <w:r>
        <w:t xml:space="preserve"> </w:t>
      </w:r>
      <w:r>
        <w:t xml:space="preserve">“</w:t>
      </w:r>
      <w:r>
        <w:t xml:space="preserve">What It Will Take To Achieve The As-Yet-Unfulfilled Promises Of Health Information Technology.</w:t>
      </w:r>
      <w:r>
        <w:t xml:space="preserve">”</w:t>
      </w:r>
      <w:r>
        <w:t xml:space="preserve"> </w:t>
      </w:r>
      <w:r>
        <w:rPr>
          <w:i/>
        </w:rPr>
        <w:t xml:space="preserve">Health Affairs</w:t>
      </w:r>
      <w:r>
        <w:t xml:space="preserve"> </w:t>
      </w:r>
      <w:r>
        <w:t xml:space="preserve">2013;32(1):63-68. doi:10.1377/hlthaff.2012.0693.</w:t>
      </w:r>
    </w:p>
    <w:p>
      <w:pPr>
        <w:pStyle w:val="BodyText"/>
      </w:pPr>
      <w:r>
        <w:t xml:space="preserve">15. Schulte F, Fry E.</w:t>
      </w:r>
      <w:r>
        <w:t xml:space="preserve"> </w:t>
      </w:r>
      <w:r>
        <w:t xml:space="preserve">“</w:t>
      </w:r>
      <w:r>
        <w:t xml:space="preserve">Death By 1,000 Clicks.</w:t>
      </w:r>
      <w:r>
        <w:t xml:space="preserve">”</w:t>
      </w:r>
      <w:r>
        <w:t xml:space="preserve"> </w:t>
      </w:r>
      <w:r>
        <w:t xml:space="preserve">KHN /</w:t>
      </w:r>
      <w:r>
        <w:t xml:space="preserve"> </w:t>
      </w:r>
      <w:r>
        <w:rPr>
          <w:i/>
        </w:rPr>
        <w:t xml:space="preserve">Fortune</w:t>
      </w:r>
      <w:r>
        <w:t xml:space="preserve">, 18MAR2019. https://kffhealthnews.org/health-industry/death-by-a-thousand-clicks/</w:t>
      </w:r>
    </w:p>
    <w:p>
      <w:pPr>
        <w:pStyle w:val="BodyText"/>
      </w:pPr>
      <w:r>
        <w:t xml:space="preserve">16. KLAS Research US Acute Care EHR Market Share reports (2025, 2026) as reported by Becker’s Hospital Review; Epic revenue figures per Epic spokesperson to Becker’s; Oracle-Cerner acquisition, June 2022.</w:t>
      </w:r>
    </w:p>
    <w:p>
      <w:pPr>
        <w:pStyle w:val="BodyText"/>
      </w:pPr>
      <w:r>
        <w:t xml:space="preserve">17. Peterson Health Technology Institute,</w:t>
      </w:r>
      <w:r>
        <w:t xml:space="preserve"> </w:t>
      </w:r>
      <w:r>
        <w:t xml:space="preserve">“</w:t>
      </w:r>
      <w:r>
        <w:t xml:space="preserve">Leading Health Systems: AI-Powered Scribes Alleviate Clinician Burnout; Financial Impact Unclear</w:t>
      </w:r>
      <w:r>
        <w:t xml:space="preserve">”</w:t>
      </w:r>
      <w:r>
        <w:t xml:space="preserve"> </w:t>
      </w:r>
      <w:r>
        <w:t xml:space="preserve">(2025); Kim E, Liu VX, Singh K.</w:t>
      </w:r>
      <w:r>
        <w:t xml:space="preserve"> </w:t>
      </w:r>
      <w:r>
        <w:t xml:space="preserve">“</w:t>
      </w:r>
      <w:r>
        <w:t xml:space="preserve">AI scribes are not productivity tools (Yet).</w:t>
      </w:r>
      <w:r>
        <w:t xml:space="preserve">”</w:t>
      </w:r>
      <w:r>
        <w:t xml:space="preserve"> </w:t>
      </w:r>
      <w:r>
        <w:rPr>
          <w:i/>
        </w:rPr>
        <w:t xml:space="preserve">NEJM AI</w:t>
      </w:r>
      <w:r>
        <w:t xml:space="preserve"> </w:t>
      </w:r>
      <w:r>
        <w:t xml:space="preserve">2025;2:AIe2501175.</w:t>
      </w:r>
    </w:p>
    <w:p>
      <w:pPr>
        <w:pStyle w:val="BodyText"/>
      </w:pPr>
      <w:r>
        <w:t xml:space="preserve">18. Aguilar M.</w:t>
      </w:r>
      <w:r>
        <w:t xml:space="preserve"> </w:t>
      </w:r>
      <w:r>
        <w:t xml:space="preserve">“</w:t>
      </w:r>
      <w:r>
        <w:t xml:space="preserve">With Ambience’s new mega-round, AI scribes have announced nearly $1 billion in funding this year.</w:t>
      </w:r>
      <w:r>
        <w:t xml:space="preserve">”</w:t>
      </w:r>
      <w:r>
        <w:t xml:space="preserve"> </w:t>
      </w:r>
      <w:r>
        <w:rPr>
          <w:i/>
        </w:rPr>
        <w:t xml:space="preserve">STAT News</w:t>
      </w:r>
      <w:r>
        <w:t xml:space="preserve">, 29JUL2025. https://www.statnews.com/2025/07/29/ambience-healthcare-ai-scribe-new-fundraise/</w:t>
      </w:r>
    </w:p>
    <w:p>
      <w:pPr>
        <w:pStyle w:val="BodyText"/>
      </w:pPr>
      <w:r>
        <w:t xml:space="preserve">19. Dai T, Kvedar JC, Polsky D.</w:t>
      </w:r>
      <w:r>
        <w:t xml:space="preserve"> </w:t>
      </w:r>
      <w:r>
        <w:t xml:space="preserve">“</w:t>
      </w:r>
      <w:r>
        <w:t xml:space="preserve">Policy brief: ambient AI scribes and the coding arms race.</w:t>
      </w:r>
      <w:r>
        <w:t xml:space="preserve">”</w:t>
      </w:r>
      <w:r>
        <w:t xml:space="preserve"> </w:t>
      </w:r>
      <w:r>
        <w:rPr>
          <w:i/>
        </w:rPr>
        <w:t xml:space="preserve">npj Digital Medicine</w:t>
      </w:r>
      <w:r>
        <w:t xml:space="preserve"> </w:t>
      </w:r>
      <w:r>
        <w:t xml:space="preserve">2025;8:780. doi:10.1038/s41746-025-02272-z. Open access. Underlying sources cited therein: Abridge,</w:t>
      </w:r>
      <w:r>
        <w:t xml:space="preserve"> </w:t>
      </w:r>
      <w:r>
        <w:t xml:space="preserve">“</w:t>
      </w:r>
      <w:r>
        <w:t xml:space="preserve">Riverside Health… 11% wRVU Increase</w:t>
      </w:r>
      <w:r>
        <w:t xml:space="preserve">”</w:t>
      </w:r>
      <w:r>
        <w:t xml:space="preserve">; Microsoft &amp; Northwestern Medicine, DAX Copilot for Epic effectiveness study; Doshi GK, et al.,</w:t>
      </w:r>
      <w:r>
        <w:t xml:space="preserve"> </w:t>
      </w:r>
      <w:r>
        <w:rPr>
          <w:i/>
        </w:rPr>
        <w:t xml:space="preserve">JCO Oncol Pract</w:t>
      </w:r>
      <w:r>
        <w:t xml:space="preserve"> </w:t>
      </w:r>
      <w:r>
        <w:t xml:space="preserve">2024;20:418; Cigna Healthcare reimbursement policy effective 01OCT2025; Jacobs PD,</w:t>
      </w:r>
      <w:r>
        <w:t xml:space="preserve"> </w:t>
      </w:r>
      <w:r>
        <w:rPr>
          <w:i/>
        </w:rPr>
        <w:t xml:space="preserve">Health Aff</w:t>
      </w:r>
      <w:r>
        <w:t xml:space="preserve"> </w:t>
      </w:r>
      <w:r>
        <w:t xml:space="preserve">2024;43:942-49.</w:t>
      </w:r>
    </w:p>
    <w:p>
      <w:pPr>
        <w:pStyle w:val="BodyText"/>
      </w:pPr>
      <w:r>
        <w:t xml:space="preserve">20. Trilliant Health / Blue Health Intelligence analysis of national all-payer claims, E/M billing patterns at six large health systems, 2018-2024.</w:t>
      </w:r>
    </w:p>
    <w:p>
      <w:pPr>
        <w:pStyle w:val="BodyText"/>
      </w:pPr>
      <w:r>
        <w:t xml:space="preserve">21. Holmgren AJ, Fenton CL, Thombley R, Soleimani H, Croci R, DeMasi O, Byron ME, Murray SG, Adler-Milstein JR, Yazdany J.</w:t>
      </w:r>
      <w:r>
        <w:t xml:space="preserve"> </w:t>
      </w:r>
      <w:r>
        <w:t xml:space="preserve">“</w:t>
      </w:r>
      <w:r>
        <w:t xml:space="preserve">Ambient Artificial Intelligence Scribes and Physician Financial Productivity.</w:t>
      </w:r>
      <w:r>
        <w:t xml:space="preserve">”</w:t>
      </w:r>
      <w:r>
        <w:t xml:space="preserve"> </w:t>
      </w:r>
      <w:r>
        <w:rPr>
          <w:i/>
        </w:rPr>
        <w:t xml:space="preserve">JAMA Netw Open</w:t>
      </w:r>
      <w:r>
        <w:t xml:space="preserve"> </w:t>
      </w:r>
      <w:r>
        <w:t xml:space="preserve">2026;9(1):e2553233. doi:10.1001/jamanetworkopen.2025.53233. PMID 41511775. Cohort study, UCSF, ~1.2 million ambulatory encounters, 1,565 physicians, January 2023 to April 2025; 698 adopters (44.6%). Adopters: +1.81 RVUs/week (5.8%), approximately $3,044 additional annual revenue per physician at 2025 Medicare rates; +0.80 encounters/week (2.8%); no difference in claim denial proportion. Author and institutional statements per UCSF DoC-IT release: the findings are initial evidence that AI scribes change how physicians code and bill, with the open question being whether gains reflect additional services or changed coding practice. Single health system; voluntary early adopters. Cited by CMS in the CY2027 PFS RFI (see ref. 25).</w:t>
      </w:r>
    </w:p>
    <w:p>
      <w:pPr>
        <w:pStyle w:val="BodyText"/>
      </w:pPr>
      <w:r>
        <w:t xml:space="preserve">22. Invited commentary,</w:t>
      </w:r>
      <w:r>
        <w:t xml:space="preserve"> </w:t>
      </w:r>
      <w:r>
        <w:t xml:space="preserve">“</w:t>
      </w:r>
      <w:r>
        <w:t xml:space="preserve">Ambient AI Scribes — What Is the Return on Investment?</w:t>
      </w:r>
      <w:r>
        <w:t xml:space="preserve">”</w:t>
      </w:r>
      <w:r>
        <w:t xml:space="preserve"> </w:t>
      </w:r>
      <w:r>
        <w:rPr>
          <w:i/>
        </w:rPr>
        <w:t xml:space="preserve">JAMA Netw Open</w:t>
      </w:r>
      <w:r>
        <w:t xml:space="preserve"> </w:t>
      </w:r>
      <w:r>
        <w:t xml:space="preserve">2026;9(1):e2553238. doi:10.1001/jamanetworkopen.2025.53238. Subscription fees of $200 to $600 per clinician per month at most health systems; notes incremental gains</w:t>
      </w:r>
      <w:r>
        <w:t xml:space="preserve"> </w:t>
      </w:r>
      <w:r>
        <w:t xml:space="preserve">“</w:t>
      </w:r>
      <w:r>
        <w:t xml:space="preserve">could collectively offset subscription fees,</w:t>
      </w:r>
      <w:r>
        <w:t xml:space="preserve">”</w:t>
      </w:r>
      <w:r>
        <w:t xml:space="preserve"> </w:t>
      </w:r>
      <w:r>
        <w:t xml:space="preserve">and cautions that increased visit volume may expand in-basket workload and erode initial well-being gains.</w:t>
      </w:r>
    </w:p>
    <w:p>
      <w:pPr>
        <w:pStyle w:val="BodyText"/>
      </w:pPr>
      <w:r>
        <w:t xml:space="preserve">23. CMS,</w:t>
      </w:r>
      <w:r>
        <w:t xml:space="preserve"> </w:t>
      </w:r>
      <w:r>
        <w:t xml:space="preserve">“</w:t>
      </w:r>
      <w:r>
        <w:t xml:space="preserve">White House, Tech Leaders Commit to Create Patient-Centric Healthcare Ecosystem</w:t>
      </w:r>
      <w:r>
        <w:t xml:space="preserve">”</w:t>
      </w:r>
      <w:r>
        <w:t xml:space="preserve">; CMS Health Tech Ecosystem pledge, voluntary, 600+ organizations as of January 2026.</w:t>
      </w:r>
    </w:p>
    <w:p>
      <w:pPr>
        <w:pStyle w:val="BodyText"/>
      </w:pPr>
      <w:r>
        <w:t xml:space="preserve">24.</w:t>
      </w:r>
      <w:r>
        <w:t xml:space="preserve"> </w:t>
      </w:r>
      <w:r>
        <w:rPr>
          <w:i/>
        </w:rPr>
        <w:t xml:space="preserve">Fierce Healthcare</w:t>
      </w:r>
      <w:r>
        <w:t xml:space="preserve">, April 2026, reporting industry comment that CMS will need to include incentives in upcoming fee schedules to drive provider utilization; Bipartisan Policy Center comment on clear, predictable reimbursement pathways.</w:t>
      </w:r>
    </w:p>
    <w:p>
      <w:pPr>
        <w:pStyle w:val="BodyText"/>
      </w:pPr>
      <w:r>
        <w:t xml:space="preserve">25. CY2027 Medicare Physician Fee Schedule proposed rule, CMS-1848-P, 91 FR 43842, Federal Register document 2026-14327, published 16JUL2026. Quoted passage from RFI section E,</w:t>
      </w:r>
      <w:r>
        <w:t xml:space="preserve"> </w:t>
      </w:r>
      <w:r>
        <w:t xml:space="preserve">“</w:t>
      </w:r>
      <w:r>
        <w:t xml:space="preserve">Redesigning Primary Care To Make America Healthy Again,</w:t>
      </w:r>
      <w:r>
        <w:t xml:space="preserve">”</w:t>
      </w:r>
      <w:r>
        <w:t xml:space="preserve"> </w:t>
      </w:r>
      <w:r>
        <w:t xml:space="preserve">subsection 4.a,</w:t>
      </w:r>
      <w:r>
        <w:t xml:space="preserve"> </w:t>
      </w:r>
      <w:r>
        <w:t xml:space="preserve">“</w:t>
      </w:r>
      <w:r>
        <w:t xml:space="preserve">Changes to Primary Care and Care Management Due to Technology and Clinical AI</w:t>
      </w:r>
      <w:r>
        <w:t xml:space="preserve">”</w:t>
      </w:r>
      <w:r>
        <w:t xml:space="preserve"> </w:t>
      </w:r>
      <w:r>
        <w:t xml:space="preserve">(FR p. 43936). Comments due 14SEP2026. CMS fact sheet: https://www.cms.gov/newsroom/fact-sheets/calendar-year-cy-2027-medicare-physician-fee-schedule-proposed-rule</w:t>
      </w:r>
    </w:p>
    <w:p>
      <w:pPr>
        <w:pStyle w:val="BodyText"/>
      </w:pPr>
      <w:r>
        <w:t xml:space="preserve">26. Same rule, Quality Payment Program provisions (FR p. 44143) and digital quality measurement passages.</w:t>
      </w:r>
    </w:p>
    <w:p>
      <w:pPr>
        <w:pStyle w:val="BodyText"/>
      </w:pPr>
      <w:r>
        <w:t xml:space="preserve">27. Nong P, Neprash HT.</w:t>
      </w:r>
      <w:r>
        <w:t xml:space="preserve"> </w:t>
      </w:r>
      <w:r>
        <w:t xml:space="preserve">“</w:t>
      </w:r>
      <w:r>
        <w:t xml:space="preserve">Unintended Consequences of Using Ambient Artificial Intelligence Scribes for Billing.</w:t>
      </w:r>
      <w:r>
        <w:t xml:space="preserve">”</w:t>
      </w:r>
      <w:r>
        <w:t xml:space="preserve"> </w:t>
      </w:r>
      <w:r>
        <w:rPr>
          <w:i/>
        </w:rPr>
        <w:t xml:space="preserve">JAMA Health Forum</w:t>
      </w:r>
      <w:r>
        <w:t xml:space="preserve"> </w:t>
      </w:r>
      <w:r>
        <w:t xml:space="preserve">2026;7(1):e255771. doi:10.1001/jamahealthforum.2025.5771. PMID 41511793. Free article; published 02JAN2026, the same day as ref. 21. Quoted remarks from Hannah Neprash, PhD (University of Minnesota School of Public Health), in</w:t>
      </w:r>
      <w:r>
        <w:t xml:space="preserve"> </w:t>
      </w:r>
      <w:r>
        <w:t xml:space="preserve">“</w:t>
      </w:r>
      <w:r>
        <w:t xml:space="preserve">Exclusive Interview with the Researcher,</w:t>
      </w:r>
      <w:r>
        <w:t xml:space="preserve">”</w:t>
      </w:r>
      <w:r>
        <w:t xml:space="preserve"> </w:t>
      </w:r>
      <w:r>
        <w:t xml:space="preserve">NIHCM Foundation, https://nihcm.org/publications/exclusive-interview-with-the-researcher-hannah-neprash-on-ambient-ai-scribes. Analysis supported by the NIHCM Foundation Investigator-Initiated Research Grant Program; Neprash holds a 2026 NIHCM policy research grant titled</w:t>
      </w:r>
      <w:r>
        <w:t xml:space="preserve"> </w:t>
      </w:r>
      <w:r>
        <w:t xml:space="preserve">“</w:t>
      </w:r>
      <w:r>
        <w:t xml:space="preserve">The Effect of Ambient AI Scribes on Productivity, Coding Intensity, and Spending.</w:t>
      </w:r>
      <w:r>
        <w:t xml:space="preserve">”</w:t>
      </w:r>
      <w:r>
        <w:t xml:space="preserve"> </w:t>
      </w:r>
      <w:r>
        <w:t xml:space="preserve">Note the price range given here ($300-500 per user per month) is narrower than the $200-600 range in ref. 22; both are cited as reported.</w:t>
      </w:r>
    </w:p>
    <w:p>
      <w:pPr>
        <w:pStyle w:val="BodyText"/>
      </w:pPr>
      <w:r>
        <w:t xml:space="preserve">28. Rotenstein LS, Holmgren AJ, Thombley R, et al. </w:t>
      </w:r>
      <w:r>
        <w:t xml:space="preserve">“</w:t>
      </w:r>
      <w:r>
        <w:t xml:space="preserve">Changes in Clinician Time Expenditure and Visit Quantity With Adoption of Artificial Intelligence-Powered Scribes.</w:t>
      </w:r>
      <w:r>
        <w:t xml:space="preserve">”</w:t>
      </w:r>
      <w:r>
        <w:t xml:space="preserve"> </w:t>
      </w:r>
      <w:r>
        <w:rPr>
          <w:i/>
        </w:rPr>
        <w:t xml:space="preserve">JAMA</w:t>
      </w:r>
      <w:r>
        <w:t xml:space="preserve"> </w:t>
      </w:r>
      <w:r>
        <w:t xml:space="preserve">2026. doi:10.1001/jama.2026.2253. PMID 41920565. Five-health-system difference-in-differences analysis; approximately $167 per month in marginal E/M revenue associated with adoption, characterized by the authors as a conservative lower bound.</w:t>
      </w:r>
    </w:p>
    <w:p>
      <w:pPr>
        <w:pStyle w:val="BodyText"/>
      </w:pPr>
      <w:r>
        <w:t xml:space="preserve">29. Lukac P, et al. </w:t>
      </w:r>
      <w:r>
        <w:t xml:space="preserve">“</w:t>
      </w:r>
      <w:r>
        <w:t xml:space="preserve">Ambient AI Scribes in Clinical Practice — A Randomized Trial.</w:t>
      </w:r>
      <w:r>
        <w:t xml:space="preserve">”</w:t>
      </w:r>
      <w:r>
        <w:t xml:space="preserve"> </w:t>
      </w:r>
      <w:r>
        <w:rPr>
          <w:i/>
        </w:rPr>
        <w:t xml:space="preserve">NEJM AI</w:t>
      </w:r>
      <w:r>
        <w:t xml:space="preserve"> </w:t>
      </w:r>
      <w:r>
        <w:t xml:space="preserve">2025. doi:10.1056/AIoa2501000 (238 physicians, three arms; Nabla −9.5% time-in-note, p=.02; DAX not significant; physicians reported occasional inaccuracies). Elias P, Black KC, Chandak P, et al. </w:t>
      </w:r>
      <w:r>
        <w:t xml:space="preserve">“</w:t>
      </w:r>
      <w:r>
        <w:t xml:space="preserve">The Moment AI Arrived in the Clinic: Insights from the SAIL 2025 Year in Review.</w:t>
      </w:r>
      <w:r>
        <w:t xml:space="preserve">”</w:t>
      </w:r>
      <w:r>
        <w:t xml:space="preserve"> </w:t>
      </w:r>
      <w:r>
        <w:rPr>
          <w:i/>
        </w:rPr>
        <w:t xml:space="preserve">NEJM AI</w:t>
      </w:r>
      <w:r>
        <w:t xml:space="preserve"> </w:t>
      </w:r>
      <w:r>
        <w:t xml:space="preserve">2025;2(11). doi:10.1056/aip2500788 (hallucination risk; mixed productivity findings). Yadav GS, Longhurst CA.</w:t>
      </w:r>
      <w:r>
        <w:t xml:space="preserve"> </w:t>
      </w:r>
      <w:r>
        <w:t xml:space="preserve">“</w:t>
      </w:r>
      <w:r>
        <w:t xml:space="preserve">Will AI Make the Electronic Health Record More Efficient for Clinicians?</w:t>
      </w:r>
      <w:r>
        <w:t xml:space="preserve">”</w:t>
      </w:r>
      <w:r>
        <w:t xml:space="preserve"> </w:t>
      </w:r>
      <w:r>
        <w:rPr>
          <w:i/>
        </w:rPr>
        <w:t xml:space="preserve">NEJM AI</w:t>
      </w:r>
      <w:r>
        <w:t xml:space="preserve"> </w:t>
      </w:r>
      <w:r>
        <w:t xml:space="preserve">2025;2(3). doi:10.1056/aie2500020. Atrium Health analysis (112 primary care physicians) found no significant gains in documentation time or productivity. Burnout evidence base is concentrated in voluntary early adopters: Olson KD, Meeker D, Troup M, et al.,</w:t>
      </w:r>
      <w:r>
        <w:t xml:space="preserve"> </w:t>
      </w:r>
      <w:r>
        <w:rPr>
          <w:i/>
        </w:rPr>
        <w:t xml:space="preserve">JAMA Netw Open</w:t>
      </w:r>
      <w:r>
        <w:t xml:space="preserve"> </w:t>
      </w:r>
      <w:r>
        <w:t xml:space="preserve">2025;8(10):e2534976; Shah SJ, Devon-Sand A, Ma SP, et al.,</w:t>
      </w:r>
      <w:r>
        <w:t xml:space="preserve"> </w:t>
      </w:r>
      <w:r>
        <w:rPr>
          <w:i/>
        </w:rPr>
        <w:t xml:space="preserve">JAMIA</w:t>
      </w:r>
      <w:r>
        <w:t xml:space="preserve"> </w:t>
      </w:r>
      <w:r>
        <w:t xml:space="preserve">2025;32(2):375-80.</w:t>
      </w:r>
    </w:p>
    <w:p>
      <w:pPr>
        <w:pStyle w:val="BodyText"/>
      </w:pPr>
      <w:r>
        <w:t xml:space="preserve">30. Anderson TN, Sinha MS, Cohen IG, Jones RL.</w:t>
      </w:r>
      <w:r>
        <w:t xml:space="preserve"> </w:t>
      </w:r>
      <w:r>
        <w:t xml:space="preserve">“</w:t>
      </w:r>
      <w:r>
        <w:t xml:space="preserve">Ambient AI in Clinical Practice — The Legal Landscape of Recording Consent Requirements.</w:t>
      </w:r>
      <w:r>
        <w:t xml:space="preserve">”</w:t>
      </w:r>
      <w:r>
        <w:t xml:space="preserve"> </w:t>
      </w:r>
      <w:r>
        <w:rPr>
          <w:i/>
        </w:rPr>
        <w:t xml:space="preserve">NEJM AI</w:t>
      </w:r>
      <w:r>
        <w:t xml:space="preserve"> </w:t>
      </w:r>
      <w:r>
        <w:t xml:space="preserve">2026;3(6). doi:10.1056/AIp2600203.</w:t>
      </w:r>
    </w:p>
    <w:p>
      <w:pPr>
        <w:pStyle w:val="BodyText"/>
      </w:pPr>
      <w:r>
        <w:rPr>
          <w:i/>
        </w:rPr>
        <w:t xml:space="preserve">Note on ref. 17: the NEJM AI article identifier for Kim, Liu &amp; Singh is printed inconsistently in the secondary source (AIe2501175 in the volume string, AIe2501051 in the DOI). Verify against the journal before print.</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2026-09-07T18:33:28Z</dcterms:created>
  <dcterms:modified xsi:type="dcterms:W3CDTF">2026-09-07T18:33:28Z</dcterms:modified>
</cp:coreProperties>
</file>

<file path=docProps/custom.xml><?xml version="1.0" encoding="utf-8"?>
<Properties xmlns="http://schemas.openxmlformats.org/officeDocument/2006/custom-properties" xmlns:vt="http://schemas.openxmlformats.org/officeDocument/2006/docPropsVTypes"/>
</file>