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>
          <w:rFonts w:ascii="Arial" w:cs="Arial" w:eastAsia="Arial" w:hAnsi="Arial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>
          <w:rFonts w:ascii="Arial" w:cs="Arial" w:eastAsia="Arial" w:hAnsi="Arial"/>
          <w:b w:val="1"/>
          <w:bCs w:val="1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8"/>
          <w:szCs w:val="38"/>
          <w:rtl w:val="0"/>
        </w:rPr>
        <w:t xml:space="preserve">Marketing + Development Salesforce Updates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report is intended to serve as a high-level starting point for a broader effort to strengthen both our Salesforce architecture and the processes that support it, particularly in the areas of Individual Donors and Event Management, as those are strategic priorites for M+D this upcoming year. Most importantly, we want this process to be unified across teams rather than treated as a side project, since one of our highest priorities is creating a Salesforce system that supports stronger cross-functional integration.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We are sharing it now to help move the conversation forward in a thoughtful, collaborative way and to create alignment so we can have a more integrated system that works across the whole organization. We expect to build from our current grant management structure, which offers a foundation, while also recognizing that it will need to keep evolving</w:t>
      </w: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. </w:t>
      </w:r>
      <w:hyperlink r:id="rId7">
        <w:r w:rsidDel="00000000" w:rsidR="00000000" w:rsidRPr="00000000">
          <w:rPr>
            <w:rFonts w:ascii="Arial" w:cs="Arial" w:eastAsia="Arial" w:hAnsi="Arial"/>
            <w:color w:val="0000ff"/>
            <w:sz w:val="22"/>
            <w:szCs w:val="22"/>
            <w:u w:val="single"/>
            <w:rtl w:val="0"/>
          </w:rPr>
          <w:t xml:space="preserve">A separate presentation</w:t>
        </w:r>
      </w:hyperlink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provides additional context on that current work.</w:t>
      </w:r>
    </w:p>
    <w:p w:rsidR="00000000" w:rsidDel="00000000" w:rsidP="00000000" w:rsidRDefault="00000000" w:rsidRPr="00000000" w14:paraId="00000005">
      <w:pPr>
        <w:spacing w:after="100" w:before="160" w:lineRule="auto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1. Individual Donors</w:t>
      </w:r>
    </w:p>
    <w:tbl>
      <w:tblPr>
        <w:tblStyle w:val="Table1"/>
        <w:tblW w:w="10080.0" w:type="dxa"/>
        <w:jc w:val="center"/>
        <w:tblBorders>
          <w:top w:color="c8d5e3" w:space="0" w:sz="4" w:val="single"/>
          <w:left w:color="c8d5e3" w:space="0" w:sz="4" w:val="single"/>
          <w:bottom w:color="c8d5e3" w:space="0" w:sz="4" w:val="single"/>
          <w:right w:color="c8d5e3" w:space="0" w:sz="4" w:val="single"/>
          <w:insideH w:color="c8d5e3" w:space="0" w:sz="4" w:val="single"/>
          <w:insideV w:color="c8d5e3" w:space="0" w:sz="4" w:val="single"/>
        </w:tblBorders>
        <w:tblLayout w:type="fixed"/>
        <w:tblLook w:val="0400"/>
      </w:tblPr>
      <w:tblGrid>
        <w:gridCol w:w="2055"/>
        <w:gridCol w:w="8025"/>
        <w:tblGridChange w:id="0">
          <w:tblGrid>
            <w:gridCol w:w="2055"/>
            <w:gridCol w:w="8025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Objectives / Goals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202" w:right="0" w:hanging="158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Create one common location for donor information rather than relying on separate systems or individual staff memory.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202" w:right="0" w:hanging="158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Build a shared history of donor engagement so the organization can understand and cultivate relationships more intentionally.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202" w:right="0" w:hanging="158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Standardize the most important donor fields and metrics so staff are working from a common language.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6.99999999999994" w:lineRule="auto"/>
              <w:ind w:left="202" w:right="0" w:hanging="158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Improve visibility into relationship context, cultivation strategy, and donor potential over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 we plan to include in the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202" w:right="0" w:hanging="158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Donation amount, date, source, and historical giving patterns.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202" w:right="0" w:hanging="158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ACT affiliation beyond gifts, including other ways a donor is connected to the organization.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I.e. AFT leaders, steering committee, BOD, etc.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202" w:right="0" w:hanging="158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Relationship notes, key context, and meaningful interaction history.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6.99999999999994" w:lineRule="auto"/>
              <w:ind w:left="202" w:right="0" w:hanging="158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Ownership and responsibility for donor management, including handoffs when multiple staff or departments are involved.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How we would like people to work together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202" w:right="0" w:hanging="158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Use shared data fields that transcend departments and create a common language for donor work.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202" w:right="0" w:hanging="158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Clarify who is responsible for managing the relationship and when handoffs should happen.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202" w:right="0" w:hanging="158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Improve collaboration across Resource Development, Finance, and other departments that touch donor data.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6.99999999999994" w:lineRule="auto"/>
              <w:ind w:left="202" w:right="0" w:hanging="158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Reduce reliance on staff memory by making donor history and context visible in one place.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Where data is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202" w:right="0" w:hanging="158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Finance systems currently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hold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much of the core donor history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QuickBooks)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202" w:right="0" w:hanging="158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Additional systems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GiveLively, through Stripe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;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and United Way records.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6.99999999999994" w:lineRule="auto"/>
              <w:ind w:left="202" w:right="0" w:hanging="158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Some relationship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knowledge may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need to be surfaced from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converaitons with staff (mainly Darnell)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, spreadsheets, or email history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before="160" w:lineRule="auto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0" w:before="160" w:lineRule="auto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0" w:before="160" w:lineRule="auto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before="160" w:lineRule="auto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2. Event Management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center"/>
        <w:tblBorders>
          <w:top w:color="c8d5e3" w:space="0" w:sz="4" w:val="single"/>
          <w:left w:color="c8d5e3" w:space="0" w:sz="4" w:val="single"/>
          <w:bottom w:color="c8d5e3" w:space="0" w:sz="4" w:val="single"/>
          <w:right w:color="c8d5e3" w:space="0" w:sz="4" w:val="single"/>
          <w:insideH w:color="c8d5e3" w:space="0" w:sz="4" w:val="single"/>
          <w:insideV w:color="c8d5e3" w:space="0" w:sz="4" w:val="single"/>
        </w:tblBorders>
        <w:tblLayout w:type="fixed"/>
        <w:tblLook w:val="0400"/>
      </w:tblPr>
      <w:tblGrid>
        <w:gridCol w:w="2235"/>
        <w:gridCol w:w="7845"/>
        <w:tblGridChange w:id="0">
          <w:tblGrid>
            <w:gridCol w:w="2235"/>
            <w:gridCol w:w="7845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Objectives / Goals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202" w:right="0" w:hanging="158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Define and segment event audiences more clearly.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202" w:right="0" w:hanging="158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Set and track revenue goals, sponsorship performance, ticket sales, attendance, and marketing reach.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202" w:right="0" w:hanging="158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Create a stronger process for budget-to-actual tracking and event-related expense visibility.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202" w:right="0" w:hanging="158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Support follow-up after events, including future outreach and relationship-building.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6.99999999999994" w:lineRule="auto"/>
              <w:ind w:left="202" w:right="0" w:hanging="158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Improve day-of-event coordination and shared visibility across the ACT team.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 we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plan to include in the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202" w:right="0" w:hanging="158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Audience segments, invitees, registrants, attendees, and follow-up lists.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202" w:right="0" w:hanging="158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Revenue targets, sponsorship details, ticket sales, expenses, and budget-to-actual information.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202" w:right="0" w:hanging="158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Vendor information needed for events, including key documents where relevant, such as W-9s.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202" w:right="0" w:hanging="158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Relationship notes, day-of preferences, prior event history, and status indicators that can feed a shared dashboard.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6.99999999999994" w:lineRule="auto"/>
              <w:ind w:left="202" w:right="0" w:hanging="158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Data from event-related technology that the team would ideally want feeding into Salesforce.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How we would like people to work together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202" w:right="0" w:hanging="158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Give ACT team members a shared view of who is attending, what the relationship history is, and what follow-up is needed.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202" w:right="0" w:hanging="158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Create a working model that supports collaboration across Resource Development, Finance, and Operations.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202" w:right="0" w:hanging="158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Use a common dashboard or status view so team members can quickly see where an event stands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, and how their work intersects with it.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6.99999999999994" w:lineRule="auto"/>
              <w:ind w:left="202" w:right="0" w:hanging="158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Connect event work to broader relationship management rather than treating each event as a stand-alone activity.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Where data is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202" w:right="0" w:hanging="158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Current event information may be split across planning documents, finance records, email tools, ticketing or registration tools, and staff-managed trackers.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Downoalded spreadsheets from One Cause and also Quickbooks.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202" w:right="0" w:hanging="158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Relationship notes and attendee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s, sponsorships live in M + D files (“Execution Doc”) as well as in staff memory and some emails.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360" w:right="0" w:firstLine="0"/>
              <w:jc w:val="left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6.99999999999994" w:lineRule="auto"/>
              <w:ind w:left="36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6.99999999999994" w:lineRule="auto"/>
        <w:ind w:left="36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648" w:top="648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presentation/d/1X57bBr5Z6Zh06O3EWtVi3MAkh-NVWwLN/edit?usp=sharing&amp;ouid=104733018328150913945&amp;rtpof=true&amp;sd=tru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5Lad31OfO3WsWf4ViOM7XTXkkg==">CgMxLjA4AHIhMVpQOWJoZi1kMmZDWktGN2ZZWVVSTU80RmNsZXY3cndp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