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7"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7A4CC9B8" w14:textId="77777777" w:rsidR="0065196B" w:rsidRDefault="0065196B" w:rsidP="0065196B">
      <w:pPr>
        <w:spacing w:line="480" w:lineRule="auto"/>
        <w:jc w:val="both"/>
        <w:rPr>
          <w:b/>
          <w:color w:val="000000" w:themeColor="text1"/>
        </w:rPr>
      </w:pPr>
      <w:r>
        <w:rPr>
          <w:b/>
          <w:color w:val="000000" w:themeColor="text1"/>
        </w:rPr>
        <w:lastRenderedPageBreak/>
        <w:t>[[[Opening paragraph goes here]]]</w:t>
      </w:r>
    </w:p>
    <w:p w14:paraId="6EE3811E" w14:textId="77777777" w:rsidR="0065196B" w:rsidRDefault="0065196B" w:rsidP="0065196B">
      <w:pPr>
        <w:spacing w:line="480" w:lineRule="auto"/>
        <w:jc w:val="both"/>
        <w:rPr>
          <w:color w:val="000000" w:themeColor="text1"/>
        </w:rPr>
      </w:pPr>
    </w:p>
    <w:p w14:paraId="28DD3DAE" w14:textId="77777777"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1–6</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7–9</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10,11</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77777777"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w:t>
      </w:r>
      <w:proofErr w:type="gramStart"/>
      <w:r>
        <w:rPr>
          <w:color w:val="000000" w:themeColor="text1"/>
        </w:rPr>
        <w:t>between,  having</w:t>
      </w:r>
      <w:proofErr w:type="gramEnd"/>
      <w:r>
        <w:rPr>
          <w:color w:val="000000" w:themeColor="text1"/>
        </w:rPr>
        <w:t xml:space="preserve">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w:t>
      </w:r>
      <w:r>
        <w:lastRenderedPageBreak/>
        <w:t xml:space="preserve">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 xml:space="preserve">have clear seasonal </w:t>
      </w:r>
      <w:commentRangeStart w:id="0"/>
      <w:commentRangeStart w:id="1"/>
      <w:r>
        <w:t>patterns</w:t>
      </w:r>
      <w:commentRangeEnd w:id="0"/>
      <w:r>
        <w:rPr>
          <w:rStyle w:val="CommentReference"/>
          <w:rFonts w:asciiTheme="minorHAnsi" w:hAnsiTheme="minorHAnsi" w:cstheme="minorBidi"/>
          <w:lang w:eastAsia="en-US"/>
        </w:rPr>
        <w:commentReference w:id="0"/>
      </w:r>
      <w:commentRangeEnd w:id="1"/>
      <w:r>
        <w:rPr>
          <w:rStyle w:val="CommentReference"/>
          <w:rFonts w:asciiTheme="minorHAnsi" w:hAnsiTheme="minorHAnsi" w:cstheme="minorBidi"/>
          <w:lang w:eastAsia="en-US"/>
        </w:rPr>
        <w:commentReference w:id="1"/>
      </w:r>
      <w:r w:rsidRPr="003017A9">
        <w:t>.</w:t>
      </w:r>
    </w:p>
    <w:p w14:paraId="2ABD42EA" w14:textId="77777777" w:rsidR="0065196B" w:rsidRPr="003017A9" w:rsidRDefault="0065196B" w:rsidP="0065196B">
      <w:pPr>
        <w:spacing w:line="480" w:lineRule="auto"/>
        <w:jc w:val="both"/>
      </w:pPr>
    </w:p>
    <w:p w14:paraId="39BCDBC8" w14:textId="77777777"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 xml:space="preserve">C across all </w:t>
      </w:r>
      <w:r>
        <w:rPr>
          <w:bCs/>
          <w:color w:val="000000" w:themeColor="text1"/>
        </w:rPr>
        <w:lastRenderedPageBreak/>
        <w:t>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7777777"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xml:space="preserve">; the </w:t>
      </w:r>
      <w:r>
        <w:lastRenderedPageBreak/>
        <w:t>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7777777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Pr>
          <w:bCs/>
          <w:color w:val="000000" w:themeColor="text1"/>
        </w:rPr>
        <w:fldChar w:fldCharType="separate"/>
      </w:r>
      <w:r w:rsidRPr="00C450F3">
        <w:rPr>
          <w:bCs/>
          <w:noProof/>
          <w:color w:val="000000" w:themeColor="text1"/>
          <w:vertAlign w:val="superscript"/>
        </w:rPr>
        <w:t>7</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fldChar w:fldCharType="separate"/>
      </w:r>
      <w:r w:rsidRPr="00C450F3">
        <w:rPr>
          <w:noProof/>
          <w:vertAlign w:val="superscript"/>
        </w:rPr>
        <w:t>8</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fldChar w:fldCharType="separate"/>
      </w:r>
      <w:r w:rsidRPr="00C450F3">
        <w:rPr>
          <w:noProof/>
          <w:vertAlign w:val="superscript"/>
        </w:rPr>
        <w:t>9</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77777777"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Pr="00C450F3">
        <w:rPr>
          <w:noProof/>
          <w:vertAlign w:val="superscript"/>
        </w:rPr>
        <w:t>17</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fldChar w:fldCharType="separate"/>
      </w:r>
      <w:r w:rsidRPr="00C450F3">
        <w:rPr>
          <w:noProof/>
          <w:vertAlign w:val="superscript"/>
        </w:rPr>
        <w:t>18–20</w:t>
      </w:r>
      <w:r>
        <w:fldChar w:fldCharType="end"/>
      </w:r>
    </w:p>
    <w:p w14:paraId="7F35C909" w14:textId="77777777" w:rsidR="0065196B" w:rsidRDefault="0065196B" w:rsidP="0065196B">
      <w:pPr>
        <w:spacing w:line="480" w:lineRule="auto"/>
        <w:jc w:val="both"/>
      </w:pPr>
    </w:p>
    <w:p w14:paraId="4D6E52EF" w14:textId="77777777" w:rsidR="0065196B" w:rsidRPr="00214145" w:rsidRDefault="0065196B" w:rsidP="0065196B">
      <w:pPr>
        <w:spacing w:line="480" w:lineRule="auto"/>
        <w:jc w:val="both"/>
      </w:pPr>
      <w:r>
        <w:lastRenderedPageBreak/>
        <w:t>The pathways from anomalous temperature to transport injury are more varied.  Firstly, driving performance deteriorates at higher temperatures.</w:t>
      </w:r>
      <w:r>
        <w:fldChar w:fldCharType="begin" w:fldLock="1"/>
      </w:r>
      <w: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fldChar w:fldCharType="separate"/>
      </w:r>
      <w:r w:rsidRPr="00C450F3">
        <w:rPr>
          <w:noProof/>
          <w:vertAlign w:val="superscript"/>
        </w:rPr>
        <w:t>21–24</w:t>
      </w:r>
      <w:r>
        <w:fldChar w:fldCharType="end"/>
      </w:r>
      <w:r>
        <w:t xml:space="preserve"> Further, alcohol consumption increases during warm temperature anomalies,</w:t>
      </w:r>
      <w:r>
        <w:fldChar w:fldCharType="begin" w:fldLock="1"/>
      </w:r>
      <w: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fldChar w:fldCharType="separate"/>
      </w:r>
      <w:r w:rsidRPr="00C450F3">
        <w:rPr>
          <w:noProof/>
          <w:vertAlign w:val="superscript"/>
        </w:rPr>
        <w:t>25</w:t>
      </w:r>
      <w:r>
        <w:fldChar w:fldCharType="end"/>
      </w:r>
      <w:r>
        <w:t xml:space="preserve"> potentially also explaining why </w:t>
      </w:r>
      <w:r w:rsidRPr="00362889">
        <w:t>teenagers</w:t>
      </w:r>
      <w:r>
        <w:t>, who are more likely than other age groups to crash while intoxicated,</w:t>
      </w:r>
      <w:r>
        <w:fldChar w:fldCharType="begin" w:fldLock="1"/>
      </w:r>
      <w: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fldChar w:fldCharType="separate"/>
      </w:r>
      <w:r w:rsidRPr="00C450F3">
        <w:rPr>
          <w:noProof/>
          <w:vertAlign w:val="superscript"/>
        </w:rPr>
        <w:t>26</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fldChar w:fldCharType="separate"/>
      </w:r>
      <w:r w:rsidRPr="00C450F3">
        <w:rPr>
          <w:noProof/>
          <w:vertAlign w:val="superscript"/>
        </w:rPr>
        <w:t>27–30</w:t>
      </w:r>
      <w:r>
        <w:fldChar w:fldCharType="end"/>
      </w:r>
      <w:r>
        <w:t xml:space="preserve"> With more people generally outdoors in warmer weather,</w:t>
      </w:r>
      <w:r>
        <w:fldChar w:fldCharType="begin" w:fldLock="1"/>
      </w:r>
      <w: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fldChar w:fldCharType="separate"/>
      </w:r>
      <w:r w:rsidRPr="00C450F3">
        <w:rPr>
          <w:noProof/>
          <w:vertAlign w:val="superscript"/>
        </w:rPr>
        <w:t>31</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77777777"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fldChar w:fldCharType="separate"/>
      </w:r>
      <w:r w:rsidRPr="00C450F3">
        <w:rPr>
          <w:noProof/>
          <w:vertAlign w:val="superscript"/>
        </w:rPr>
        <w:t>32,33</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Pr="00A27E88">
        <w:fldChar w:fldCharType="separate"/>
      </w:r>
      <w:r w:rsidRPr="00C450F3">
        <w:rPr>
          <w:noProof/>
          <w:vertAlign w:val="superscript"/>
        </w:rPr>
        <w:t>34,35</w:t>
      </w:r>
      <w:r w:rsidRPr="00A27E88">
        <w:fldChar w:fldCharType="end"/>
      </w:r>
      <w:r>
        <w:t>Regarding intentional self-harm, higher temperature has been hypothesised as associated with higher levels of distress in younger people.</w:t>
      </w:r>
      <w:r>
        <w:fldChar w:fldCharType="begin" w:fldLock="1"/>
      </w:r>
      <w: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fldChar w:fldCharType="separate"/>
      </w:r>
      <w:r w:rsidRPr="00C450F3">
        <w:rPr>
          <w:noProof/>
          <w:vertAlign w:val="superscript"/>
        </w:rPr>
        <w:t>36</w:t>
      </w:r>
      <w:r>
        <w:fldChar w:fldCharType="end"/>
      </w:r>
      <w:r>
        <w:t xml:space="preserve"> Nonetheless, links between temperature and mental health requires further investigation,</w:t>
      </w:r>
      <w:r w:rsidRPr="004633E5">
        <w:fldChar w:fldCharType="begin" w:fldLock="1"/>
      </w:r>
      <w: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Pr="004633E5">
        <w:fldChar w:fldCharType="separate"/>
      </w:r>
      <w:r w:rsidRPr="00C450F3">
        <w:rPr>
          <w:noProof/>
          <w:vertAlign w:val="superscript"/>
        </w:rPr>
        <w:t>37</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77777777"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Pr="00636C9B">
        <w:fldChar w:fldCharType="separate"/>
      </w:r>
      <w:r w:rsidRPr="00C450F3">
        <w:rPr>
          <w:noProof/>
          <w:vertAlign w:val="superscript"/>
        </w:rPr>
        <w:t>38</w:t>
      </w:r>
      <w:r w:rsidRPr="00636C9B">
        <w:fldChar w:fldCharType="end"/>
      </w:r>
      <w:r>
        <w:t xml:space="preserve">), and developed a bespoke Bayesian spatio-temporal model. A limitation of our study is that, like all observation studies, we cannot rule out confounding of results due to other factors, </w:t>
      </w:r>
      <w:r>
        <w:lastRenderedPageBreak/>
        <w:t xml:space="preserve">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77777777"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proofErr w:type="gramStart"/>
      <w:r>
        <w:t>Therefore</w:t>
      </w:r>
      <w:proofErr w:type="gramEnd"/>
      <w:r>
        <w:t xml:space="preserve"> a combination of public health interventions that broadly target injuries in these groups – for example targeted messaging for younger males on the risks of transport injury in high temperature conditions – and those that trigger in relation to forecasted high temperature periods – for example varying speed limits based on temperature and more alcohol blood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1"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2"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3"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 xml:space="preserve">intentional </w:t>
      </w:r>
      <w:r w:rsidRPr="00636C9B">
        <w:rPr>
          <w:rStyle w:val="apple-style-span"/>
          <w:color w:val="000000" w:themeColor="text1"/>
        </w:rPr>
        <w:lastRenderedPageBreak/>
        <w:t>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777777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Pr="00636C9B">
        <w:fldChar w:fldCharType="separate"/>
      </w:r>
      <w:r w:rsidRPr="00C450F3">
        <w:rPr>
          <w:noProof/>
          <w:vertAlign w:val="superscript"/>
        </w:rPr>
        <w:t>38</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7777777"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Pr="00636C9B">
        <w:fldChar w:fldCharType="separate"/>
      </w:r>
      <w:r w:rsidRPr="00C450F3">
        <w:rPr>
          <w:noProof/>
          <w:vertAlign w:val="superscript"/>
        </w:rPr>
        <w:t>39</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7777777"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temperature anomaly on injury deaths rates. The outcome was deaths from several types of injury. We carried out all analyses separately by sex and age group (0-4 years, 10-year age groups from 5 </w:t>
      </w:r>
      <w:r>
        <w:rPr>
          <w:color w:val="000000" w:themeColor="text1"/>
        </w:rPr>
        <w:lastRenderedPageBreak/>
        <w:t>to 84 years, and 85+ years) because injury deaths rates vary by age group and sex,</w:t>
      </w:r>
      <w:r>
        <w:rPr>
          <w:color w:val="000000" w:themeColor="text1"/>
        </w:rPr>
        <w:fldChar w:fldCharType="begin" w:fldLock="1"/>
      </w:r>
      <w:r>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10,11,40</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FB2929"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commentRangeStart w:id="2"/>
    <w:p w14:paraId="083E1FB0" w14:textId="77777777" w:rsidR="0065196B" w:rsidRPr="00F178EA" w:rsidRDefault="00FB2929" w:rsidP="0065196B">
      <w:pPr>
        <w:jc w:val="both"/>
        <w:outlineLvl w:val="0"/>
        <w:rPr>
          <w:color w:val="000000" w:themeColor="text1"/>
        </w:rPr>
      </w:pPr>
      <m:oMathPara>
        <m:oMathParaPr>
          <m:jc m:val="center"/>
        </m:oMathParaPr>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w:rPr>
              <w:rFonts w:ascii="Cambria Math" w:hAnsi="Cambria Math"/>
              <w:color w:val="000000" w:themeColor="text1"/>
            </w:rPr>
            <m:t>+</m:t>
          </m:r>
          <m:r>
            <m:rPr>
              <m:sty m:val="p"/>
            </m:rPr>
            <w:rPr>
              <w:rFonts w:ascii="Cambria Math" w:hAnsi="Cambria Math"/>
              <w:color w:val="000000" w:themeColor="text1"/>
            </w:rPr>
            <w:br/>
          </m:r>
        </m:oMath>
        <w:bookmarkStart w:id="3" w:name="OLE_LINK1"/>
        <w:bookmarkStart w:id="4" w:name="OLE_LINK2"/>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r>
            <m:rPr>
              <m:sty m:val="p"/>
            </m:rPr>
            <w:rPr>
              <w:rFonts w:ascii="Cambria Math" w:hAnsi="Cambria Math"/>
              <w:sz w:val="22"/>
              <w:szCs w:val="22"/>
              <w:vertAlign w:val="subscript"/>
            </w:rPr>
            <m:t xml:space="preserve"> </m:t>
          </m:r>
          <w:bookmarkEnd w:id="3"/>
          <w:bookmarkEnd w:id="4"/>
          <w:commentRangeEnd w:id="2"/>
          <m:r>
            <m:rPr>
              <m:sty m:val="p"/>
            </m:rPr>
            <w:rPr>
              <w:rStyle w:val="CommentReference"/>
              <w:rFonts w:ascii="Cambria Math" w:hAnsi="Cambria Math" w:cstheme="minorBidi"/>
              <w:lang w:eastAsia="en-US"/>
            </w:rPr>
            <w:commentReference w:id="2"/>
          </m:r>
        </m:oMath>
      </m:oMathPara>
    </w:p>
    <w:p w14:paraId="525250DE" w14:textId="77777777" w:rsidR="0065196B" w:rsidRDefault="0065196B" w:rsidP="0065196B">
      <w:pPr>
        <w:jc w:val="both"/>
        <w:outlineLvl w:val="0"/>
        <w:rPr>
          <w:color w:val="000000" w:themeColor="text1"/>
        </w:rPr>
      </w:pPr>
    </w:p>
    <w:p w14:paraId="3AF53BC0" w14:textId="77777777" w:rsidR="0065196B" w:rsidRDefault="0065196B" w:rsidP="0065196B">
      <w:pPr>
        <w:spacing w:line="480" w:lineRule="auto"/>
        <w:jc w:val="both"/>
        <w:outlineLvl w:val="0"/>
      </w:pPr>
    </w:p>
    <w:p w14:paraId="6D020C30" w14:textId="77777777"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7777777" w:rsidR="0065196B" w:rsidRPr="00D92F3C" w:rsidRDefault="0065196B" w:rsidP="0065196B">
      <w:pPr>
        <w:spacing w:line="480" w:lineRule="auto"/>
        <w:jc w:val="both"/>
        <w:outlineLvl w:val="0"/>
      </w:pPr>
      <w:r>
        <w:rPr>
          <w:color w:val="000000" w:themeColor="text1"/>
        </w:rPr>
        <w:lastRenderedPageBreak/>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620D06">
        <w:rPr>
          <w:highlight w:val="yellow"/>
        </w:rPr>
        <w:t>We also included state-month interactions for intercepts and slopes (</w:t>
      </w:r>
      <m:oMath>
        <m:sSub>
          <m:sSubPr>
            <m:ctrlPr>
              <w:rPr>
                <w:rFonts w:ascii="Cambria Math" w:hAnsi="Cambria Math"/>
                <w:i/>
                <w:color w:val="000000" w:themeColor="text1"/>
                <w:highlight w:val="yellow"/>
              </w:rPr>
            </m:ctrlPr>
          </m:sSubPr>
          <m:e>
            <m:r>
              <w:rPr>
                <w:rFonts w:ascii="Cambria Math" w:hAnsi="Cambria Math"/>
                <w:color w:val="000000" w:themeColor="text1"/>
                <w:highlight w:val="yellow"/>
              </w:rPr>
              <m:t>ζ</m:t>
            </m:r>
          </m:e>
          <m:sub>
            <m:r>
              <w:rPr>
                <w:rFonts w:ascii="Cambria Math" w:hAnsi="Cambria Math"/>
                <w:color w:val="000000" w:themeColor="text1"/>
                <w:highlight w:val="yellow"/>
              </w:rPr>
              <m:t>state-month</m:t>
            </m:r>
          </m:sub>
        </m:sSub>
      </m:oMath>
      <w:r w:rsidRPr="00620D06">
        <w:rPr>
          <w:rFonts w:eastAsiaTheme="minorEastAsia"/>
          <w:color w:val="000000" w:themeColor="text1"/>
          <w:highlight w:val="yellow"/>
        </w:rPr>
        <w:t>)</w:t>
      </w:r>
      <w:r w:rsidRPr="00620D06">
        <w:rPr>
          <w:highlight w:val="yellow"/>
        </w:rPr>
        <w:t>, to allow variation 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Pr="00C450F3">
        <w:rPr>
          <w:noProof/>
          <w:vertAlign w:val="superscript"/>
        </w:rPr>
        <w:t>41</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7777777"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Pr="00284EE0">
        <w:rPr>
          <w:color w:val="000000" w:themeColor="text1"/>
        </w:rPr>
        <w:t xml:space="preserve">. </w:t>
      </w:r>
      <w:r>
        <w:rPr>
          <w:color w:val="000000" w:themeColor="text1"/>
        </w:rPr>
        <w:t>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Pr>
          <w:color w:val="000000" w:themeColor="text1"/>
          <w:lang w:val="en-US"/>
        </w:rPr>
        <w:fldChar w:fldCharType="separate"/>
      </w:r>
      <w:r w:rsidRPr="00C450F3">
        <w:rPr>
          <w:noProof/>
          <w:color w:val="000000" w:themeColor="text1"/>
          <w:vertAlign w:val="superscript"/>
          <w:lang w:val="en-US"/>
        </w:rPr>
        <w:t>43</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77777777" w:rsidR="0065196B" w:rsidRDefault="0065196B" w:rsidP="0065196B">
      <w:pPr>
        <w:spacing w:line="480" w:lineRule="auto"/>
        <w:jc w:val="both"/>
        <w:outlineLvl w:val="0"/>
        <w:rPr>
          <w:color w:val="000000" w:themeColor="text1"/>
        </w:rPr>
      </w:pPr>
      <w:r>
        <w:rPr>
          <w:color w:val="000000" w:themeColor="text1"/>
        </w:rPr>
        <w:lastRenderedPageBreak/>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16</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77777777" w:rsidR="0065196B" w:rsidRPr="00620D06" w:rsidRDefault="0065196B" w:rsidP="0065196B">
      <w:pPr>
        <w:spacing w:line="480" w:lineRule="auto"/>
        <w:jc w:val="both"/>
        <w:outlineLvl w:val="0"/>
        <w:rPr>
          <w:color w:val="000000" w:themeColor="text1"/>
          <w:highlight w:val="yellow"/>
        </w:rPr>
      </w:pPr>
      <w:r w:rsidRPr="00620D06">
        <w:rPr>
          <w:color w:val="000000" w:themeColor="text1"/>
          <w:highlight w:val="yellow"/>
        </w:rPr>
        <w:t>The uncertainty in our results were from 5000 draws from the posterior marginal of each month’s excess relative risk. The reported 95% Credible Intervals (</w:t>
      </w:r>
      <w:proofErr w:type="spellStart"/>
      <w:r w:rsidRPr="00620D06">
        <w:rPr>
          <w:color w:val="000000" w:themeColor="text1"/>
          <w:highlight w:val="yellow"/>
        </w:rPr>
        <w:t>CrIs</w:t>
      </w:r>
      <w:proofErr w:type="spellEnd"/>
      <w:r w:rsidRPr="00620D06">
        <w:rPr>
          <w:color w:val="000000" w:themeColor="text1"/>
          <w:highlight w:val="yellow"/>
        </w:rPr>
        <w:t>), quoted in brackets where appropriate, are the 2.5</w:t>
      </w:r>
      <w:r w:rsidRPr="00620D06">
        <w:rPr>
          <w:color w:val="000000" w:themeColor="text1"/>
          <w:highlight w:val="yellow"/>
          <w:vertAlign w:val="superscript"/>
        </w:rPr>
        <w:t>th</w:t>
      </w:r>
      <w:r w:rsidRPr="00620D06">
        <w:rPr>
          <w:color w:val="000000" w:themeColor="text1"/>
          <w:highlight w:val="yellow"/>
        </w:rPr>
        <w:t xml:space="preserve"> to 97.5</w:t>
      </w:r>
      <w:r w:rsidRPr="00620D06">
        <w:rPr>
          <w:color w:val="000000" w:themeColor="text1"/>
          <w:highlight w:val="yellow"/>
          <w:vertAlign w:val="superscript"/>
        </w:rPr>
        <w:t>th</w:t>
      </w:r>
      <w:r w:rsidRPr="00620D06">
        <w:rPr>
          <w:color w:val="000000" w:themeColor="text1"/>
          <w:highlight w:val="yellow"/>
        </w:rPr>
        <w:t xml:space="preserve"> percentiles of the posterior distribution of additional deaths.</w:t>
      </w:r>
      <w:commentRangeStart w:id="5"/>
      <w:commentRangeEnd w:id="5"/>
    </w:p>
    <w:p w14:paraId="0734663A" w14:textId="77777777" w:rsidR="0065196B" w:rsidRPr="00620D06" w:rsidRDefault="0065196B" w:rsidP="0065196B">
      <w:pPr>
        <w:spacing w:line="480" w:lineRule="auto"/>
        <w:jc w:val="both"/>
        <w:outlineLvl w:val="0"/>
        <w:rPr>
          <w:color w:val="000000" w:themeColor="text1"/>
          <w:highlight w:val="yellow"/>
        </w:rPr>
      </w:pPr>
    </w:p>
    <w:p w14:paraId="004276BF" w14:textId="77777777" w:rsidR="0065196B" w:rsidRPr="00620D06" w:rsidRDefault="0065196B" w:rsidP="0065196B">
      <w:pPr>
        <w:spacing w:line="480" w:lineRule="auto"/>
        <w:jc w:val="both"/>
        <w:outlineLvl w:val="0"/>
        <w:rPr>
          <w:i/>
          <w:color w:val="000000" w:themeColor="text1"/>
          <w:highlight w:val="yellow"/>
        </w:rPr>
      </w:pPr>
      <w:r w:rsidRPr="00620D06">
        <w:rPr>
          <w:i/>
          <w:color w:val="000000" w:themeColor="text1"/>
          <w:highlight w:val="yellow"/>
        </w:rPr>
        <w:t>Sensitivity analysis</w:t>
      </w:r>
    </w:p>
    <w:p w14:paraId="10D22F4B" w14:textId="77777777" w:rsidR="0065196B" w:rsidRPr="00620D06" w:rsidRDefault="0065196B" w:rsidP="0065196B">
      <w:pPr>
        <w:spacing w:line="480" w:lineRule="auto"/>
        <w:jc w:val="both"/>
        <w:rPr>
          <w:highlight w:val="yellow"/>
        </w:rPr>
      </w:pPr>
      <w:r w:rsidRPr="00620D06">
        <w:rPr>
          <w:highlight w:val="yellow"/>
        </w:rPr>
        <w:t xml:space="preserve">We also conducted sensitivity analyses to assess how much our results might depend on how we generate anomalous temperature. First, instead of building our monthly temperature anomalies based on daily mean temperatures, we used daily maxima and minima.  However, these measures were strongly correlated to those generated from daily means (Supplementary Table 2). Consequently, we did not run models using these alternatives. </w:t>
      </w:r>
    </w:p>
    <w:p w14:paraId="6A6D02AC" w14:textId="77777777" w:rsidR="0065196B" w:rsidRPr="00620D06" w:rsidRDefault="0065196B" w:rsidP="0065196B">
      <w:pPr>
        <w:spacing w:line="480" w:lineRule="auto"/>
        <w:jc w:val="both"/>
        <w:rPr>
          <w:highlight w:val="yellow"/>
        </w:rPr>
      </w:pPr>
    </w:p>
    <w:p w14:paraId="730C720E" w14:textId="77777777" w:rsidR="0065196B" w:rsidRPr="00620D06" w:rsidRDefault="0065196B" w:rsidP="0065196B">
      <w:pPr>
        <w:spacing w:line="480" w:lineRule="auto"/>
        <w:jc w:val="both"/>
        <w:rPr>
          <w:highlight w:val="yellow"/>
        </w:rPr>
      </w:pPr>
      <w:r w:rsidRPr="00620D06">
        <w:rPr>
          <w:highlight w:val="yellow"/>
        </w:rPr>
        <w:t xml:space="preserve">We also included more than one measure of temperature anomaly in the model. The additional measures we considered were: </w:t>
      </w:r>
    </w:p>
    <w:p w14:paraId="3F8072E1" w14:textId="77777777" w:rsidR="0065196B" w:rsidRPr="00620D06" w:rsidRDefault="0065196B" w:rsidP="0065196B">
      <w:pPr>
        <w:pStyle w:val="ListParagraph"/>
        <w:numPr>
          <w:ilvl w:val="0"/>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monthly standard deviation of daily mean temperatures, as a measure of variability within a given month</w:t>
      </w:r>
    </w:p>
    <w:p w14:paraId="3DC3FBE1" w14:textId="77777777" w:rsidR="0065196B" w:rsidRPr="00620D06" w:rsidRDefault="0065196B" w:rsidP="0065196B">
      <w:pPr>
        <w:pStyle w:val="ListParagraph"/>
        <w:numPr>
          <w:ilvl w:val="0"/>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 xml:space="preserve">four measures of extreme anomalous temperature (each adjusted for length of month): </w:t>
      </w:r>
    </w:p>
    <w:p w14:paraId="22A2ADEC" w14:textId="77777777" w:rsidR="0065196B" w:rsidRPr="00620D06" w:rsidRDefault="0065196B" w:rsidP="0065196B">
      <w:pPr>
        <w:pStyle w:val="ListParagraph"/>
        <w:numPr>
          <w:ilvl w:val="1"/>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number of days in a month above the long-term 90</w:t>
      </w:r>
      <w:r w:rsidRPr="00620D06">
        <w:rPr>
          <w:rFonts w:ascii="Times New Roman" w:hAnsi="Times New Roman"/>
          <w:sz w:val="24"/>
          <w:szCs w:val="24"/>
          <w:highlight w:val="yellow"/>
          <w:vertAlign w:val="superscript"/>
        </w:rPr>
        <w:t>th</w:t>
      </w:r>
      <w:r w:rsidRPr="00620D06">
        <w:rPr>
          <w:rFonts w:ascii="Times New Roman" w:hAnsi="Times New Roman"/>
          <w:sz w:val="24"/>
          <w:szCs w:val="24"/>
          <w:highlight w:val="yellow"/>
        </w:rPr>
        <w:t xml:space="preserve"> percentile </w:t>
      </w:r>
    </w:p>
    <w:p w14:paraId="55F6FFA3" w14:textId="77777777" w:rsidR="0065196B" w:rsidRPr="00620D06" w:rsidRDefault="0065196B" w:rsidP="0065196B">
      <w:pPr>
        <w:pStyle w:val="ListParagraph"/>
        <w:numPr>
          <w:ilvl w:val="1"/>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number of days above an absolute threshold of 30°C</w:t>
      </w:r>
    </w:p>
    <w:p w14:paraId="7FBA064C" w14:textId="77777777" w:rsidR="0065196B" w:rsidRPr="00620D06" w:rsidRDefault="0065196B" w:rsidP="0065196B">
      <w:pPr>
        <w:pStyle w:val="ListParagraph"/>
        <w:numPr>
          <w:ilvl w:val="1"/>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number of at minimum three-day episodes above the long-term 90</w:t>
      </w:r>
      <w:r w:rsidRPr="00620D06">
        <w:rPr>
          <w:rFonts w:ascii="Times New Roman" w:hAnsi="Times New Roman"/>
          <w:sz w:val="24"/>
          <w:szCs w:val="24"/>
          <w:highlight w:val="yellow"/>
          <w:vertAlign w:val="superscript"/>
        </w:rPr>
        <w:t>th</w:t>
      </w:r>
      <w:r w:rsidRPr="00620D06">
        <w:rPr>
          <w:rFonts w:ascii="Times New Roman" w:hAnsi="Times New Roman"/>
          <w:sz w:val="24"/>
          <w:szCs w:val="24"/>
          <w:highlight w:val="yellow"/>
        </w:rPr>
        <w:t xml:space="preserve"> percentile</w:t>
      </w:r>
    </w:p>
    <w:p w14:paraId="1E909C01" w14:textId="77777777" w:rsidR="0065196B" w:rsidRPr="00620D06" w:rsidRDefault="0065196B" w:rsidP="0065196B">
      <w:pPr>
        <w:pStyle w:val="ListParagraph"/>
        <w:numPr>
          <w:ilvl w:val="1"/>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lastRenderedPageBreak/>
        <w:t>number of at minimum three-day episodes above an absolute threshold of 30°C</w:t>
      </w:r>
    </w:p>
    <w:p w14:paraId="2CBD98B9" w14:textId="77777777" w:rsidR="0065196B" w:rsidRDefault="0065196B" w:rsidP="0065196B">
      <w:pPr>
        <w:spacing w:line="480" w:lineRule="auto"/>
        <w:jc w:val="both"/>
      </w:pPr>
      <w:r w:rsidRPr="00620D06">
        <w:rPr>
          <w:highlight w:val="yellow"/>
        </w:rPr>
        <w:t xml:space="preserve">The estimated excess relative risk values obtained in these sensitivity analyses were similar to the model with anomaly in mean temperature alone, possibly because the different measures of anomaly are correlated, and we did not use them in any further additional </w:t>
      </w:r>
      <w:proofErr w:type="gramStart"/>
      <w:r w:rsidRPr="00620D06">
        <w:rPr>
          <w:highlight w:val="yellow"/>
        </w:rPr>
        <w:t>deaths</w:t>
      </w:r>
      <w:proofErr w:type="gramEnd"/>
      <w:r w:rsidRPr="00620D06">
        <w:rPr>
          <w:highlight w:val="yellow"/>
        </w:rPr>
        <w:t xml:space="preserve"> calculation.</w:t>
      </w:r>
      <w:r w:rsidRPr="007B6B4E">
        <w:t xml:space="preserve"> </w:t>
      </w:r>
      <w:r>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66197A5B" w14:textId="77777777" w:rsidR="0065196B" w:rsidRPr="002F0788" w:rsidRDefault="0065196B" w:rsidP="0065196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Pr="002F0788">
        <w:rPr>
          <w:noProof/>
          <w:lang w:val="en-US"/>
        </w:rPr>
        <w:t>1.</w:t>
      </w:r>
      <w:r w:rsidRPr="002F0788">
        <w:rPr>
          <w:noProof/>
          <w:lang w:val="en-US"/>
        </w:rPr>
        <w:tab/>
        <w:t xml:space="preserve">Watts, N. </w:t>
      </w:r>
      <w:r w:rsidRPr="002F0788">
        <w:rPr>
          <w:i/>
          <w:iCs/>
          <w:noProof/>
          <w:lang w:val="en-US"/>
        </w:rPr>
        <w:t>et al.</w:t>
      </w:r>
      <w:r w:rsidRPr="002F0788">
        <w:rPr>
          <w:noProof/>
          <w:lang w:val="en-US"/>
        </w:rPr>
        <w:t xml:space="preserve"> The 2018 report of the Lancet Countdown on health and climate change: shaping health of nations for centuries to come. </w:t>
      </w:r>
      <w:r w:rsidRPr="002F0788">
        <w:rPr>
          <w:i/>
          <w:iCs/>
          <w:noProof/>
          <w:lang w:val="en-US"/>
        </w:rPr>
        <w:t>Lancet</w:t>
      </w:r>
      <w:r w:rsidRPr="002F0788">
        <w:rPr>
          <w:noProof/>
          <w:lang w:val="en-US"/>
        </w:rPr>
        <w:t xml:space="preserve"> </w:t>
      </w:r>
      <w:r w:rsidRPr="002F0788">
        <w:rPr>
          <w:b/>
          <w:bCs/>
          <w:noProof/>
          <w:lang w:val="en-US"/>
        </w:rPr>
        <w:t>6736,</w:t>
      </w:r>
      <w:r w:rsidRPr="002F0788">
        <w:rPr>
          <w:noProof/>
          <w:lang w:val="en-US"/>
        </w:rPr>
        <w:t xml:space="preserve"> 1–4 (2018).</w:t>
      </w:r>
    </w:p>
    <w:p w14:paraId="7A77D98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62E14CDC"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784E89E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780E72E2"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D5A3904"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694A4477"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6131664A"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F2E15A6"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6601694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5F31B3AB"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10C69B43"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2E3F21A6"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46FA9BA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1731E794"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708DDC0C"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0D3FBCE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613EF68F"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4785A377"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6CDCEC10"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725907DD"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5C8F9268"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0AF099F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4B506290"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65E21E7A"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2EB82B4D"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6A6201E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4CF038C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36BF5B80"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6626073A"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5BF0321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28BE2CB1"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22C54CB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061C7D6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0E0343AB"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2E479E8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0C99B614" w14:textId="77777777" w:rsidR="0065196B" w:rsidRDefault="0065196B" w:rsidP="0065196B">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7FEADB9A" w14:textId="77777777" w:rsidR="0065196B" w:rsidRDefault="0065196B" w:rsidP="0065196B">
      <w:pPr>
        <w:widowControl w:val="0"/>
        <w:autoSpaceDE w:val="0"/>
        <w:autoSpaceDN w:val="0"/>
        <w:adjustRightInd w:val="0"/>
        <w:ind w:left="640" w:hanging="640"/>
        <w:rPr>
          <w:noProof/>
          <w:lang w:val="en-US"/>
        </w:rPr>
      </w:pPr>
    </w:p>
    <w:p w14:paraId="6FF7A7F1" w14:textId="77777777" w:rsidR="0065196B" w:rsidRPr="00D92F3C" w:rsidRDefault="0065196B" w:rsidP="0065196B">
      <w:pPr>
        <w:widowControl w:val="0"/>
        <w:autoSpaceDE w:val="0"/>
        <w:autoSpaceDN w:val="0"/>
        <w:adjustRightInd w:val="0"/>
        <w:ind w:left="640" w:hanging="640"/>
        <w:rPr>
          <w:b/>
          <w:noProof/>
          <w:lang w:val="en-US"/>
        </w:rPr>
      </w:pPr>
      <w:r>
        <w:rPr>
          <w:b/>
          <w:noProof/>
          <w:lang w:val="en-US"/>
        </w:rPr>
        <w:t>Methods</w:t>
      </w:r>
    </w:p>
    <w:p w14:paraId="0AF2B247" w14:textId="77777777" w:rsidR="0065196B" w:rsidRPr="002F0788" w:rsidRDefault="0065196B" w:rsidP="0065196B">
      <w:pPr>
        <w:widowControl w:val="0"/>
        <w:autoSpaceDE w:val="0"/>
        <w:autoSpaceDN w:val="0"/>
        <w:adjustRightInd w:val="0"/>
        <w:ind w:left="640" w:hanging="640"/>
        <w:rPr>
          <w:noProof/>
          <w:lang w:val="en-US"/>
        </w:rPr>
      </w:pPr>
    </w:p>
    <w:p w14:paraId="1BAE0CA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7F287214"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4DAD5C6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EBFC8D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6E88DAFC"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1345F18E" w14:textId="77777777" w:rsidR="0065196B" w:rsidRPr="002F0788" w:rsidRDefault="0065196B" w:rsidP="0065196B">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7D509FBC" w14:textId="77777777" w:rsidR="0065196B" w:rsidRDefault="0065196B" w:rsidP="0065196B">
      <w:pPr>
        <w:widowControl w:val="0"/>
        <w:autoSpaceDE w:val="0"/>
        <w:autoSpaceDN w:val="0"/>
        <w:adjustRightInd w:val="0"/>
        <w:ind w:left="640" w:hanging="640"/>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(top right) can have less inter-annual variation in a particular month (here, July) compared with a cooler state like Washington (bottom right).</w:t>
      </w:r>
    </w:p>
    <w:p w14:paraId="426C315B" w14:textId="77777777" w:rsidR="0065196B" w:rsidRDefault="0065196B" w:rsidP="0065196B">
      <w:pPr>
        <w:rPr>
          <w:b/>
          <w:color w:val="000000" w:themeColor="text1"/>
        </w:rPr>
      </w:pPr>
      <w:r>
        <w:rPr>
          <w:b/>
          <w:color w:val="000000" w:themeColor="text1"/>
        </w:rPr>
        <w:br w:type="page"/>
      </w:r>
    </w:p>
    <w:p w14:paraId="4BAE404E" w14:textId="77777777" w:rsidR="0065196B" w:rsidRPr="007B037B" w:rsidRDefault="0065196B" w:rsidP="0065196B">
      <w:pPr>
        <w:spacing w:line="480" w:lineRule="auto"/>
        <w:jc w:val="both"/>
        <w:rPr>
          <w:color w:val="000000" w:themeColor="text1"/>
          <w:sz w:val="18"/>
          <w:szCs w:val="18"/>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Pr>
          <w:color w:val="000000" w:themeColor="text1"/>
        </w:rPr>
        <w:t>, 1980-2016, by state and month.</w:t>
      </w:r>
    </w:p>
    <w:p w14:paraId="76E5DEC7" w14:textId="77777777" w:rsidR="0065196B" w:rsidRDefault="0065196B" w:rsidP="0065196B">
      <w:pPr>
        <w:rPr>
          <w:b/>
          <w:color w:val="000000" w:themeColor="text1"/>
        </w:rPr>
      </w:pPr>
      <w:r>
        <w:rPr>
          <w:b/>
          <w:color w:val="000000" w:themeColor="text1"/>
        </w:rPr>
        <w:br w:type="page"/>
      </w:r>
      <w:bookmarkStart w:id="6" w:name="_GoBack"/>
      <w:bookmarkEnd w:id="6"/>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D92F3C">
      <w:footerReference w:type="even" r:id="rId14"/>
      <w:footerReference w:type="default" r:id="rId15"/>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3-01T09:18:00Z" w:initials="EM">
    <w:p w14:paraId="04BA4338" w14:textId="77777777" w:rsidR="0065196B" w:rsidRDefault="0065196B" w:rsidP="0065196B">
      <w:pPr>
        <w:pStyle w:val="CommentText"/>
      </w:pPr>
      <w:r>
        <w:rPr>
          <w:rStyle w:val="CommentReference"/>
        </w:rPr>
        <w:annotationRef/>
      </w:r>
      <w:r>
        <w:t>Did we do injury subtypes in e-Life? If so and if consistent with this sentence cite here; if not consistent, discuss briefly</w:t>
      </w:r>
    </w:p>
  </w:comment>
  <w:comment w:id="1" w:author="Robbie Parks" w:date="2019-03-04T16:01:00Z" w:initials="RP">
    <w:p w14:paraId="78B15E2F" w14:textId="77777777" w:rsidR="0065196B" w:rsidRDefault="0065196B" w:rsidP="0065196B">
      <w:pPr>
        <w:pStyle w:val="CommentText"/>
      </w:pPr>
      <w:r>
        <w:rPr>
          <w:rStyle w:val="CommentReference"/>
        </w:rPr>
        <w:annotationRef/>
      </w:r>
      <w:r>
        <w:t>We subdivided only by intentional and unintentional injuries.</w:t>
      </w:r>
    </w:p>
  </w:comment>
  <w:comment w:id="2" w:author="Robbie Parks" w:date="2019-03-04T16:17:00Z" w:initials="RP">
    <w:p w14:paraId="47771CAC" w14:textId="77777777" w:rsidR="0065196B" w:rsidRDefault="0065196B" w:rsidP="0065196B">
      <w:pPr>
        <w:pStyle w:val="CommentText"/>
      </w:pPr>
      <w:r>
        <w:rPr>
          <w:rStyle w:val="CommentReference"/>
        </w:rPr>
        <w:annotationRef/>
      </w:r>
      <w:r>
        <w:t>It isn’t straightforward to get this aligned in equation form, so I have centred it for clarity. Is this 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BA4338" w15:done="0"/>
  <w15:commentEx w15:paraId="78B15E2F" w15:paraIdParent="04BA4338" w15:done="0"/>
  <w15:commentEx w15:paraId="47771C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BA4338" w16cid:durableId="2027C92D"/>
  <w16cid:commentId w16cid:paraId="78B15E2F" w16cid:durableId="2027CA76"/>
  <w16cid:commentId w16cid:paraId="47771CAC" w16cid:durableId="2027CE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07D315" w14:textId="77777777" w:rsidR="00FB2929" w:rsidRDefault="00FB2929">
      <w:r>
        <w:separator/>
      </w:r>
    </w:p>
  </w:endnote>
  <w:endnote w:type="continuationSeparator" w:id="0">
    <w:p w14:paraId="47F5B5C3" w14:textId="77777777" w:rsidR="00FB2929" w:rsidRDefault="00FB2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41A4" w:rsidRDefault="006519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41A4" w:rsidRDefault="00FB2929"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77777777" w:rsidR="00E841A4" w:rsidRDefault="006519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75191DB3" w14:textId="77777777" w:rsidR="00E841A4" w:rsidRDefault="00FB2929"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D5EC95" w14:textId="77777777" w:rsidR="00FB2929" w:rsidRDefault="00FB2929">
      <w:r>
        <w:separator/>
      </w:r>
    </w:p>
  </w:footnote>
  <w:footnote w:type="continuationSeparator" w:id="0">
    <w:p w14:paraId="3B63F194" w14:textId="77777777" w:rsidR="00FB2929" w:rsidRDefault="00FB29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7"/>
  </w:num>
  <w:num w:numId="4">
    <w:abstractNumId w:val="10"/>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63068"/>
    <w:rsid w:val="0014511F"/>
    <w:rsid w:val="00460D94"/>
    <w:rsid w:val="0065196B"/>
    <w:rsid w:val="009B223E"/>
    <w:rsid w:val="00A67CDD"/>
    <w:rsid w:val="00C16BDD"/>
    <w:rsid w:val="00FB29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ensus.gov/data/tables/time-series/demo/popest/1980s-county.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jid.ezzati@imperial.ac.uk" TargetMode="External"/><Relationship Id="rId12" Type="http://schemas.openxmlformats.org/officeDocument/2006/relationships/hyperlink" Target="https://www.cdc.gov/nchs/nvss/bridged_race.htm"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nchs/nvss/dvs_data_release.htm" TargetMode="External"/><Relationship Id="rId5" Type="http://schemas.openxmlformats.org/officeDocument/2006/relationships/footnotes" Target="footnote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30108</Words>
  <Characters>171621</Characters>
  <Application>Microsoft Office Word</Application>
  <DocSecurity>0</DocSecurity>
  <Lines>1430</Lines>
  <Paragraphs>402</Paragraphs>
  <ScaleCrop>false</ScaleCrop>
  <Company/>
  <LinksUpToDate>false</LinksUpToDate>
  <CharactersWithSpaces>201327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dcterms:created xsi:type="dcterms:W3CDTF">2019-03-05T11:08:00Z</dcterms:created>
  <dcterms:modified xsi:type="dcterms:W3CDTF">2019-03-05T11:08:00Z</dcterms:modified>
</cp:coreProperties>
</file>