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CF887" w14:textId="24AA5202" w:rsidR="006B7AC0" w:rsidRDefault="00325DF7" w:rsidP="006B7AC0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Parks PhD 2019. </w:t>
      </w:r>
      <w:r w:rsidR="005A4D93">
        <w:rPr>
          <w:rFonts w:asciiTheme="minorHAnsi" w:hAnsiTheme="minorHAnsi"/>
          <w:sz w:val="20"/>
          <w:szCs w:val="20"/>
        </w:rPr>
        <w:t xml:space="preserve">BA comments </w:t>
      </w:r>
      <w:r w:rsidR="00B549FE">
        <w:rPr>
          <w:rFonts w:asciiTheme="minorHAnsi" w:hAnsiTheme="minorHAnsi"/>
          <w:sz w:val="20"/>
          <w:szCs w:val="20"/>
        </w:rPr>
        <w:t xml:space="preserve">for </w:t>
      </w:r>
      <w:r w:rsidR="00B549FE">
        <w:rPr>
          <w:rFonts w:asciiTheme="minorHAnsi" w:hAnsiTheme="minorHAnsi"/>
          <w:sz w:val="20"/>
          <w:szCs w:val="20"/>
        </w:rPr>
        <w:t xml:space="preserve">informal </w:t>
      </w:r>
      <w:r w:rsidR="00B549FE">
        <w:rPr>
          <w:rFonts w:asciiTheme="minorHAnsi" w:hAnsiTheme="minorHAnsi"/>
          <w:sz w:val="20"/>
          <w:szCs w:val="20"/>
        </w:rPr>
        <w:t>feedback to RP</w:t>
      </w:r>
    </w:p>
    <w:p w14:paraId="172B2951" w14:textId="0774534E" w:rsidR="005A4D93" w:rsidRDefault="005A4D93" w:rsidP="006B7AC0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27B58497" w14:textId="299FB126" w:rsidR="005A3424" w:rsidRPr="005A3424" w:rsidRDefault="005A3424" w:rsidP="005A3424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Ch </w:t>
      </w:r>
      <w:r w:rsidR="008050CE">
        <w:rPr>
          <w:rFonts w:asciiTheme="minorHAnsi" w:hAnsiTheme="minorHAnsi"/>
          <w:sz w:val="20"/>
          <w:szCs w:val="20"/>
        </w:rPr>
        <w:t>4</w:t>
      </w:r>
      <w:r>
        <w:rPr>
          <w:rFonts w:asciiTheme="minorHAnsi" w:hAnsiTheme="minorHAnsi"/>
          <w:sz w:val="20"/>
          <w:szCs w:val="20"/>
        </w:rPr>
        <w:t xml:space="preserve"> Season</w:t>
      </w:r>
    </w:p>
    <w:p w14:paraId="40174582" w14:textId="14C9CAC7" w:rsidR="005A3424" w:rsidRDefault="005A3424" w:rsidP="005A4D93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Season as Cinderella </w:t>
      </w:r>
      <w:r w:rsidR="001E191C">
        <w:rPr>
          <w:rFonts w:asciiTheme="minorHAnsi" w:hAnsiTheme="minorHAnsi"/>
          <w:sz w:val="20"/>
          <w:szCs w:val="20"/>
        </w:rPr>
        <w:t>t</w:t>
      </w:r>
      <w:r>
        <w:rPr>
          <w:rFonts w:asciiTheme="minorHAnsi" w:hAnsiTheme="minorHAnsi"/>
          <w:sz w:val="20"/>
          <w:szCs w:val="20"/>
        </w:rPr>
        <w:t>opic</w:t>
      </w:r>
      <w:r w:rsidR="007E5353">
        <w:rPr>
          <w:rFonts w:asciiTheme="minorHAnsi" w:hAnsiTheme="minorHAnsi"/>
          <w:sz w:val="20"/>
          <w:szCs w:val="20"/>
        </w:rPr>
        <w:t xml:space="preserve"> – good to tackle.</w:t>
      </w:r>
    </w:p>
    <w:p w14:paraId="5622A172" w14:textId="64D72631" w:rsidR="005A3424" w:rsidRPr="00B549FE" w:rsidRDefault="005A3424" w:rsidP="00B549F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 of G:  Other applications?  Diff from peak/trough?</w:t>
      </w:r>
    </w:p>
    <w:p w14:paraId="524E24AE" w14:textId="3C59DC97" w:rsidR="00DD5D59" w:rsidRDefault="00DD5D59" w:rsidP="005A4D93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Wavelet analysis – seems similar to fourier? (eg figure)</w:t>
      </w:r>
    </w:p>
    <w:p w14:paraId="3F849B73" w14:textId="2CF46DC2" w:rsidR="005A3424" w:rsidRDefault="005A3424" w:rsidP="005A4D93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Could you separate potential drivers?</w:t>
      </w:r>
    </w:p>
    <w:p w14:paraId="6431658F" w14:textId="5FDB6F56" w:rsidR="00DD5D59" w:rsidRPr="00DD5D59" w:rsidRDefault="00DD5D59" w:rsidP="00DD5D59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Good methods exploration. Case that these approaches best suited to this objective less so?</w:t>
      </w:r>
    </w:p>
    <w:p w14:paraId="5F206D14" w14:textId="7A056F1B" w:rsidR="005A3424" w:rsidRDefault="005A3424" w:rsidP="005A3424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6594F702" w14:textId="1C5E0232" w:rsidR="008050CE" w:rsidRDefault="008050CE" w:rsidP="008050CE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Ch </w:t>
      </w:r>
      <w:r w:rsidR="008819FD">
        <w:rPr>
          <w:rFonts w:asciiTheme="minorHAnsi" w:hAnsiTheme="minorHAnsi"/>
          <w:sz w:val="20"/>
          <w:szCs w:val="20"/>
        </w:rPr>
        <w:t>5 Temp methods</w:t>
      </w:r>
    </w:p>
    <w:p w14:paraId="20F7CD9A" w14:textId="4651BE60" w:rsidR="008050CE" w:rsidRDefault="008050CE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Model: Nicely described (a standard, like for ABMs?)</w:t>
      </w:r>
    </w:p>
    <w:p w14:paraId="64444FE9" w14:textId="69A5159C" w:rsidR="008050CE" w:rsidRDefault="008050CE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Role of spatial. What if there was only one year of data? Could you separate spatial and temporal associations (eg Shi)?</w:t>
      </w:r>
      <w:r w:rsidR="00B549FE">
        <w:rPr>
          <w:rFonts w:asciiTheme="minorHAnsi" w:hAnsiTheme="minorHAnsi"/>
          <w:sz w:val="20"/>
          <w:szCs w:val="20"/>
        </w:rPr>
        <w:t xml:space="preserve"> RP in discussion thought not, though BA not quite convinced. On later reflection, it seemed to BA the “long term mean temperature”, considered as covariate in  </w:t>
      </w:r>
      <w:r w:rsidR="00354A23">
        <w:rPr>
          <w:rFonts w:asciiTheme="minorHAnsi" w:hAnsiTheme="minorHAnsi"/>
          <w:sz w:val="20"/>
          <w:szCs w:val="20"/>
        </w:rPr>
        <w:t>sensitivity analyses, was similar in being non-variant temporally. Both estimatable but with educed information?</w:t>
      </w:r>
    </w:p>
    <w:p w14:paraId="5F29F3F5" w14:textId="1DFA2978" w:rsidR="00DD5D59" w:rsidRDefault="00B549FE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Various meanings of </w:t>
      </w:r>
      <w:r w:rsidR="00DD5D59">
        <w:rPr>
          <w:rFonts w:asciiTheme="minorHAnsi" w:hAnsiTheme="minorHAnsi"/>
          <w:sz w:val="20"/>
          <w:szCs w:val="20"/>
        </w:rPr>
        <w:t>“Spatio-temporal”</w:t>
      </w:r>
      <w:r>
        <w:rPr>
          <w:rFonts w:asciiTheme="minorHAnsi" w:hAnsiTheme="minorHAnsi"/>
          <w:sz w:val="20"/>
          <w:szCs w:val="20"/>
        </w:rPr>
        <w:t>.</w:t>
      </w:r>
      <w:r w:rsidR="00DD5D59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Eg </w:t>
      </w:r>
      <w:r w:rsidR="00DD5D59">
        <w:rPr>
          <w:rFonts w:asciiTheme="minorHAnsi" w:hAnsiTheme="minorHAnsi"/>
          <w:sz w:val="20"/>
          <w:szCs w:val="20"/>
        </w:rPr>
        <w:t>Bennett NCG ~2016</w:t>
      </w:r>
      <w:r>
        <w:rPr>
          <w:rFonts w:asciiTheme="minorHAnsi" w:hAnsiTheme="minorHAnsi"/>
          <w:sz w:val="20"/>
          <w:szCs w:val="20"/>
        </w:rPr>
        <w:t xml:space="preserve"> was S-T in different sense.</w:t>
      </w:r>
      <w:r w:rsidR="00DD5D59">
        <w:rPr>
          <w:rFonts w:asciiTheme="minorHAnsi" w:hAnsiTheme="minorHAnsi"/>
          <w:sz w:val="20"/>
          <w:szCs w:val="20"/>
        </w:rPr>
        <w:t xml:space="preserve"> </w:t>
      </w:r>
    </w:p>
    <w:p w14:paraId="2DE39C7D" w14:textId="09E7BE11" w:rsidR="00AA6665" w:rsidRPr="008050CE" w:rsidRDefault="00AA6665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Run over how non-lin </w:t>
      </w:r>
      <w:r w:rsidR="00354A23">
        <w:rPr>
          <w:rFonts w:asciiTheme="minorHAnsi" w:hAnsiTheme="minorHAnsi"/>
          <w:sz w:val="20"/>
          <w:szCs w:val="20"/>
        </w:rPr>
        <w:t xml:space="preserve">long term </w:t>
      </w:r>
      <w:r>
        <w:rPr>
          <w:rFonts w:asciiTheme="minorHAnsi" w:hAnsiTheme="minorHAnsi"/>
          <w:sz w:val="20"/>
          <w:szCs w:val="20"/>
        </w:rPr>
        <w:t>trends allowed for, incl variation by state.</w:t>
      </w:r>
      <w:r w:rsidR="00354A23">
        <w:rPr>
          <w:rFonts w:asciiTheme="minorHAnsi" w:hAnsiTheme="minorHAnsi"/>
          <w:sz w:val="20"/>
          <w:szCs w:val="20"/>
        </w:rPr>
        <w:t xml:space="preserve"> In discussion RP noted that non-linearity in background trends was allowed for by random walk. Not obvious to BA on later reading of thesis. </w:t>
      </w:r>
    </w:p>
    <w:p w14:paraId="22045F90" w14:textId="5F1541DC" w:rsidR="00AA6665" w:rsidRDefault="00AA6665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Long term temp</w:t>
      </w:r>
      <w:r w:rsidR="00354A23">
        <w:rPr>
          <w:rFonts w:asciiTheme="minorHAnsi" w:hAnsiTheme="minorHAnsi"/>
          <w:sz w:val="20"/>
          <w:szCs w:val="20"/>
        </w:rPr>
        <w:t>erature as risk factor</w:t>
      </w:r>
      <w:r w:rsidR="007E5353">
        <w:rPr>
          <w:rFonts w:asciiTheme="minorHAnsi" w:hAnsiTheme="minorHAnsi"/>
          <w:sz w:val="20"/>
          <w:szCs w:val="20"/>
        </w:rPr>
        <w:t xml:space="preserve">: </w:t>
      </w:r>
      <w:r w:rsidR="00354A23">
        <w:rPr>
          <w:rFonts w:asciiTheme="minorHAnsi" w:hAnsiTheme="minorHAnsi"/>
          <w:sz w:val="20"/>
          <w:szCs w:val="20"/>
        </w:rPr>
        <w:t>information much reduced by inclusion of</w:t>
      </w:r>
      <w:r w:rsidR="007E5353">
        <w:rPr>
          <w:rFonts w:asciiTheme="minorHAnsi" w:hAnsiTheme="minorHAnsi"/>
          <w:sz w:val="20"/>
          <w:szCs w:val="20"/>
        </w:rPr>
        <w:t xml:space="preserve"> state</w:t>
      </w:r>
      <w:r w:rsidR="00354A23">
        <w:rPr>
          <w:rFonts w:asciiTheme="minorHAnsi" w:hAnsiTheme="minorHAnsi"/>
          <w:sz w:val="20"/>
          <w:szCs w:val="20"/>
        </w:rPr>
        <w:t xml:space="preserve"> indicators</w:t>
      </w:r>
      <w:r w:rsidR="007E5353">
        <w:rPr>
          <w:rFonts w:asciiTheme="minorHAnsi" w:hAnsiTheme="minorHAnsi"/>
          <w:sz w:val="20"/>
          <w:szCs w:val="20"/>
        </w:rPr>
        <w:t xml:space="preserve">? </w:t>
      </w:r>
      <w:r w:rsidR="00354A23">
        <w:rPr>
          <w:rFonts w:asciiTheme="minorHAnsi" w:hAnsiTheme="minorHAnsi"/>
          <w:sz w:val="20"/>
          <w:szCs w:val="20"/>
        </w:rPr>
        <w:t>Assumed li</w:t>
      </w:r>
      <w:r w:rsidR="007E5353">
        <w:rPr>
          <w:rFonts w:asciiTheme="minorHAnsi" w:hAnsiTheme="minorHAnsi"/>
          <w:sz w:val="20"/>
          <w:szCs w:val="20"/>
        </w:rPr>
        <w:t xml:space="preserve">near? </w:t>
      </w:r>
      <w:r w:rsidR="00354A23">
        <w:rPr>
          <w:rFonts w:asciiTheme="minorHAnsi" w:hAnsiTheme="minorHAnsi"/>
          <w:sz w:val="20"/>
          <w:szCs w:val="20"/>
        </w:rPr>
        <w:t>More interesting (less confounded) a</w:t>
      </w:r>
      <w:r w:rsidR="007E5353">
        <w:rPr>
          <w:rFonts w:asciiTheme="minorHAnsi" w:hAnsiTheme="minorHAnsi"/>
          <w:sz w:val="20"/>
          <w:szCs w:val="20"/>
        </w:rPr>
        <w:t>s modifier? P117</w:t>
      </w:r>
    </w:p>
    <w:p w14:paraId="4D032929" w14:textId="77777777" w:rsidR="008050CE" w:rsidRDefault="008050CE" w:rsidP="005A3424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3D844CA7" w14:textId="4582FBD0" w:rsidR="005A3424" w:rsidRDefault="005A3424" w:rsidP="005A3424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Ch 6 Injuries</w:t>
      </w:r>
    </w:p>
    <w:p w14:paraId="005CBB9F" w14:textId="74B12E36" w:rsidR="008050CE" w:rsidRDefault="008050CE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Very interesting to me as new to me.</w:t>
      </w:r>
    </w:p>
    <w:p w14:paraId="733ED6E1" w14:textId="4A3FBBAC" w:rsidR="005A3424" w:rsidRDefault="005A3424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P144 “predicted” vs p147 “would be”  -  </w:t>
      </w:r>
      <w:r w:rsidR="00354A23">
        <w:rPr>
          <w:rFonts w:asciiTheme="minorHAnsi" w:hAnsiTheme="minorHAnsi"/>
          <w:sz w:val="20"/>
          <w:szCs w:val="20"/>
        </w:rPr>
        <w:t xml:space="preserve">this subtle distinction in language can be important, especially if climate change is the “predictor”. Consider “projection” as term more </w:t>
      </w:r>
    </w:p>
    <w:p w14:paraId="38BF9B36" w14:textId="29B23777" w:rsidR="0079557F" w:rsidRDefault="0079557F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017F1386" w14:textId="1D48019E" w:rsidR="005A4D93" w:rsidRPr="0095740A" w:rsidRDefault="0079557F" w:rsidP="0095740A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Ch 7</w:t>
      </w:r>
      <w:r w:rsidR="008819FD">
        <w:rPr>
          <w:rFonts w:asciiTheme="minorHAnsi" w:hAnsiTheme="minorHAnsi"/>
          <w:sz w:val="20"/>
          <w:szCs w:val="20"/>
        </w:rPr>
        <w:t xml:space="preserve"> CRD+</w:t>
      </w:r>
    </w:p>
    <w:p w14:paraId="50B8BDE5" w14:textId="3BE68755" w:rsidR="0079557F" w:rsidRDefault="0079557F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Do anomaly coefs vary by state</w:t>
      </w:r>
      <w:r w:rsidR="00DD5D59">
        <w:rPr>
          <w:rFonts w:asciiTheme="minorHAnsi" w:hAnsiTheme="minorHAnsi"/>
          <w:sz w:val="20"/>
          <w:szCs w:val="20"/>
        </w:rPr>
        <w:t xml:space="preserve"> more than easily explained by chance</w:t>
      </w:r>
      <w:r>
        <w:rPr>
          <w:rFonts w:asciiTheme="minorHAnsi" w:hAnsiTheme="minorHAnsi"/>
          <w:sz w:val="20"/>
          <w:szCs w:val="20"/>
        </w:rPr>
        <w:t>?</w:t>
      </w:r>
    </w:p>
    <w:p w14:paraId="26408263" w14:textId="02330735" w:rsidR="0079557F" w:rsidRDefault="0095740A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The extent to which this model gives coefficients that have discounted short term displacement and/or missed </w:t>
      </w:r>
      <w:r w:rsidR="0079557F">
        <w:rPr>
          <w:rFonts w:asciiTheme="minorHAnsi" w:hAnsiTheme="minorHAnsi"/>
          <w:sz w:val="20"/>
          <w:szCs w:val="20"/>
        </w:rPr>
        <w:t>long lag effects</w:t>
      </w:r>
      <w:r>
        <w:rPr>
          <w:rFonts w:asciiTheme="minorHAnsi" w:hAnsiTheme="minorHAnsi"/>
          <w:sz w:val="20"/>
          <w:szCs w:val="20"/>
        </w:rPr>
        <w:t xml:space="preserve"> is not totally obvious. In discussion I think we agree that it did discount/include impacts of up to a month lag,, i.e. similar to daily analysis with DL model up to about a month. </w:t>
      </w:r>
    </w:p>
    <w:p w14:paraId="604A07B2" w14:textId="484F1244" w:rsidR="00A53CDC" w:rsidRDefault="00A53CDC" w:rsidP="008050CE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Did you run (consider running) all cause deaths? </w:t>
      </w:r>
      <w:r w:rsidR="0095740A">
        <w:rPr>
          <w:rFonts w:asciiTheme="minorHAnsi" w:hAnsiTheme="minorHAnsi"/>
          <w:sz w:val="20"/>
          <w:szCs w:val="20"/>
        </w:rPr>
        <w:t>It would give more studies with which to compare results.</w:t>
      </w:r>
    </w:p>
    <w:p w14:paraId="29EDC707" w14:textId="21AA3356" w:rsidR="00F25CA7" w:rsidRDefault="00DD3938" w:rsidP="00F25CA7">
      <w:pPr>
        <w:pStyle w:val="Default"/>
        <w:numPr>
          <w:ilvl w:val="0"/>
          <w:numId w:val="20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Disc (p178-) </w:t>
      </w:r>
      <w:r w:rsidR="00F25CA7">
        <w:rPr>
          <w:rFonts w:asciiTheme="minorHAnsi" w:hAnsiTheme="minorHAnsi"/>
          <w:sz w:val="20"/>
          <w:szCs w:val="20"/>
        </w:rPr>
        <w:t xml:space="preserve">More comparison </w:t>
      </w:r>
      <w:r w:rsidR="0095740A">
        <w:rPr>
          <w:rFonts w:asciiTheme="minorHAnsi" w:hAnsiTheme="minorHAnsi"/>
          <w:sz w:val="20"/>
          <w:szCs w:val="20"/>
        </w:rPr>
        <w:t>of “bottom line” results with published estimates by different methods would be possible, even with cause of death groups included.</w:t>
      </w:r>
    </w:p>
    <w:p w14:paraId="3DB76DAC" w14:textId="5230B6AF" w:rsidR="0095740A" w:rsidRDefault="0095740A" w:rsidP="00F25CA7">
      <w:pPr>
        <w:pStyle w:val="Default"/>
        <w:ind w:left="1778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Eg </w:t>
      </w:r>
      <w:r w:rsidR="00F25CA7">
        <w:rPr>
          <w:rFonts w:asciiTheme="minorHAnsi" w:hAnsiTheme="minorHAnsi"/>
          <w:sz w:val="20"/>
          <w:szCs w:val="20"/>
        </w:rPr>
        <w:t>Anderson 2009</w:t>
      </w:r>
      <w:r w:rsidR="00CC2CEC">
        <w:rPr>
          <w:rFonts w:asciiTheme="minorHAnsi" w:hAnsiTheme="minorHAnsi"/>
          <w:sz w:val="20"/>
          <w:szCs w:val="20"/>
        </w:rPr>
        <w:t xml:space="preserve"> p208 left col</w:t>
      </w:r>
      <w:r w:rsidR="005A159B">
        <w:rPr>
          <w:rFonts w:asciiTheme="minorHAnsi" w:hAnsiTheme="minorHAnsi"/>
          <w:sz w:val="20"/>
          <w:szCs w:val="20"/>
        </w:rPr>
        <w:t xml:space="preserve"> (all cause but fig 4 shows RR for CVD only slightly higher)</w:t>
      </w:r>
    </w:p>
    <w:p w14:paraId="176A4A03" w14:textId="5DCF2F4D" w:rsidR="00F25CA7" w:rsidRDefault="00F25CA7" w:rsidP="00F25CA7">
      <w:pPr>
        <w:pStyle w:val="Default"/>
        <w:ind w:left="1778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ab/>
      </w:r>
      <w:r w:rsidR="00CC2CEC">
        <w:rPr>
          <w:rFonts w:asciiTheme="minorHAnsi" w:hAnsiTheme="minorHAnsi"/>
          <w:sz w:val="20"/>
          <w:szCs w:val="20"/>
        </w:rPr>
        <w:t xml:space="preserve">For contrast 40Vs60 </w:t>
      </w:r>
      <w:r w:rsidR="00CC2CEC">
        <w:rPr>
          <w:rFonts w:asciiTheme="minorHAnsi" w:hAnsiTheme="minorHAnsi"/>
          <w:sz w:val="20"/>
          <w:szCs w:val="20"/>
          <w:vertAlign w:val="superscript"/>
        </w:rPr>
        <w:t>o</w:t>
      </w:r>
      <w:r w:rsidR="00CC2CEC">
        <w:rPr>
          <w:rFonts w:asciiTheme="minorHAnsi" w:hAnsiTheme="minorHAnsi"/>
          <w:sz w:val="20"/>
          <w:szCs w:val="20"/>
        </w:rPr>
        <w:t>F (=</w:t>
      </w:r>
      <w:r>
        <w:rPr>
          <w:rFonts w:asciiTheme="minorHAnsi" w:hAnsiTheme="minorHAnsi"/>
          <w:sz w:val="20"/>
          <w:szCs w:val="20"/>
        </w:rPr>
        <w:t>4.4</w:t>
      </w:r>
      <w:r w:rsidR="00CC2CEC">
        <w:rPr>
          <w:rFonts w:asciiTheme="minorHAnsi" w:hAnsiTheme="minorHAnsi"/>
          <w:sz w:val="20"/>
          <w:szCs w:val="20"/>
        </w:rPr>
        <w:t>Vs</w:t>
      </w:r>
      <w:r>
        <w:rPr>
          <w:rFonts w:asciiTheme="minorHAnsi" w:hAnsiTheme="minorHAnsi"/>
          <w:sz w:val="20"/>
          <w:szCs w:val="20"/>
        </w:rPr>
        <w:t>15.6</w:t>
      </w:r>
      <w:r w:rsidR="00CC2CEC">
        <w:rPr>
          <w:rFonts w:asciiTheme="minorHAnsi" w:hAnsiTheme="minorHAnsi"/>
          <w:sz w:val="20"/>
          <w:szCs w:val="20"/>
        </w:rPr>
        <w:t xml:space="preserve"> </w:t>
      </w:r>
      <w:r w:rsidR="00CC2CEC">
        <w:rPr>
          <w:rFonts w:asciiTheme="minorHAnsi" w:hAnsiTheme="minorHAnsi"/>
          <w:sz w:val="20"/>
          <w:szCs w:val="20"/>
          <w:vertAlign w:val="superscript"/>
        </w:rPr>
        <w:t>o</w:t>
      </w:r>
      <w:r w:rsidR="00CC2CEC">
        <w:rPr>
          <w:rFonts w:asciiTheme="minorHAnsi" w:hAnsiTheme="minorHAnsi"/>
          <w:sz w:val="20"/>
          <w:szCs w:val="20"/>
        </w:rPr>
        <w:t>C</w:t>
      </w:r>
      <w:r>
        <w:rPr>
          <w:rFonts w:asciiTheme="minorHAnsi" w:hAnsiTheme="minorHAnsi"/>
          <w:sz w:val="20"/>
          <w:szCs w:val="20"/>
        </w:rPr>
        <w:t>=11.2</w:t>
      </w:r>
      <w:r w:rsidR="00CC2CEC">
        <w:rPr>
          <w:rFonts w:asciiTheme="minorHAnsi" w:hAnsiTheme="minorHAnsi"/>
          <w:sz w:val="20"/>
          <w:szCs w:val="20"/>
        </w:rPr>
        <w:t xml:space="preserve"> range)</w:t>
      </w:r>
      <w:r>
        <w:rPr>
          <w:rFonts w:asciiTheme="minorHAnsi" w:hAnsiTheme="minorHAnsi"/>
          <w:sz w:val="20"/>
          <w:szCs w:val="20"/>
        </w:rPr>
        <w:t xml:space="preserve">: </w:t>
      </w:r>
      <w:r w:rsidR="00CC2CEC">
        <w:rPr>
          <w:rFonts w:asciiTheme="minorHAnsi" w:hAnsiTheme="minorHAnsi"/>
          <w:sz w:val="20"/>
          <w:szCs w:val="20"/>
        </w:rPr>
        <w:t>E</w:t>
      </w:r>
      <w:r>
        <w:rPr>
          <w:rFonts w:asciiTheme="minorHAnsi" w:hAnsiTheme="minorHAnsi"/>
          <w:sz w:val="20"/>
          <w:szCs w:val="20"/>
        </w:rPr>
        <w:t>RR=5.2</w:t>
      </w:r>
      <w:r w:rsidR="00CC2CEC">
        <w:rPr>
          <w:rFonts w:asciiTheme="minorHAnsi" w:hAnsiTheme="minorHAnsi"/>
          <w:sz w:val="20"/>
          <w:szCs w:val="20"/>
        </w:rPr>
        <w:t>%</w:t>
      </w:r>
      <w:r w:rsidR="0095740A">
        <w:rPr>
          <w:rFonts w:asciiTheme="minorHAnsi" w:hAnsiTheme="minorHAnsi"/>
          <w:sz w:val="20"/>
          <w:szCs w:val="20"/>
        </w:rPr>
        <w:t xml:space="preserve">; hence </w:t>
      </w:r>
      <w:r w:rsidR="00CC2CEC">
        <w:rPr>
          <w:rFonts w:asciiTheme="minorHAnsi" w:hAnsiTheme="minorHAnsi"/>
          <w:sz w:val="20"/>
          <w:szCs w:val="20"/>
        </w:rPr>
        <w:t xml:space="preserve"> ~0.5%/ </w:t>
      </w:r>
      <w:r w:rsidR="00CC2CEC">
        <w:rPr>
          <w:rFonts w:asciiTheme="minorHAnsi" w:hAnsiTheme="minorHAnsi"/>
          <w:sz w:val="20"/>
          <w:szCs w:val="20"/>
          <w:vertAlign w:val="superscript"/>
        </w:rPr>
        <w:t>o</w:t>
      </w:r>
      <w:r w:rsidR="00CC2CEC">
        <w:rPr>
          <w:rFonts w:asciiTheme="minorHAnsi" w:hAnsiTheme="minorHAnsi"/>
          <w:sz w:val="20"/>
          <w:szCs w:val="20"/>
        </w:rPr>
        <w:t>C</w:t>
      </w:r>
    </w:p>
    <w:p w14:paraId="650E7629" w14:textId="73143604" w:rsidR="00CC2CEC" w:rsidRDefault="00CC2CEC" w:rsidP="00CC2CEC">
      <w:pPr>
        <w:pStyle w:val="Default"/>
        <w:ind w:left="1778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        </w:t>
      </w:r>
      <w:r>
        <w:rPr>
          <w:rFonts w:asciiTheme="minorHAnsi" w:hAnsiTheme="minorHAnsi"/>
          <w:sz w:val="20"/>
          <w:szCs w:val="20"/>
        </w:rPr>
        <w:t xml:space="preserve">For contrast </w:t>
      </w:r>
      <w:r>
        <w:rPr>
          <w:rFonts w:asciiTheme="minorHAnsi" w:hAnsiTheme="minorHAnsi"/>
          <w:sz w:val="20"/>
          <w:szCs w:val="20"/>
        </w:rPr>
        <w:t>80</w:t>
      </w:r>
      <w:r>
        <w:rPr>
          <w:rFonts w:asciiTheme="minorHAnsi" w:hAnsiTheme="minorHAnsi"/>
          <w:sz w:val="20"/>
          <w:szCs w:val="20"/>
        </w:rPr>
        <w:t xml:space="preserve">Vs60 </w:t>
      </w:r>
      <w:r>
        <w:rPr>
          <w:rFonts w:asciiTheme="minorHAnsi" w:hAnsiTheme="minorHAnsi"/>
          <w:sz w:val="20"/>
          <w:szCs w:val="20"/>
          <w:vertAlign w:val="superscript"/>
        </w:rPr>
        <w:t>o</w:t>
      </w:r>
      <w:r>
        <w:rPr>
          <w:rFonts w:asciiTheme="minorHAnsi" w:hAnsiTheme="minorHAnsi"/>
          <w:sz w:val="20"/>
          <w:szCs w:val="20"/>
        </w:rPr>
        <w:t>F (=</w:t>
      </w:r>
      <w:r>
        <w:rPr>
          <w:rFonts w:asciiTheme="minorHAnsi" w:hAnsiTheme="minorHAnsi"/>
          <w:sz w:val="20"/>
          <w:szCs w:val="20"/>
        </w:rPr>
        <w:t>26.7</w:t>
      </w:r>
      <w:r>
        <w:rPr>
          <w:rFonts w:asciiTheme="minorHAnsi" w:hAnsiTheme="minorHAnsi"/>
          <w:sz w:val="20"/>
          <w:szCs w:val="20"/>
        </w:rPr>
        <w:t xml:space="preserve">Vs15.6 </w:t>
      </w:r>
      <w:r>
        <w:rPr>
          <w:rFonts w:asciiTheme="minorHAnsi" w:hAnsiTheme="minorHAnsi"/>
          <w:sz w:val="20"/>
          <w:szCs w:val="20"/>
          <w:vertAlign w:val="superscript"/>
        </w:rPr>
        <w:t>o</w:t>
      </w:r>
      <w:r>
        <w:rPr>
          <w:rFonts w:asciiTheme="minorHAnsi" w:hAnsiTheme="minorHAnsi"/>
          <w:sz w:val="20"/>
          <w:szCs w:val="20"/>
        </w:rPr>
        <w:t>C=11.</w:t>
      </w:r>
      <w:r>
        <w:rPr>
          <w:rFonts w:asciiTheme="minorHAnsi" w:hAnsiTheme="minorHAnsi"/>
          <w:sz w:val="20"/>
          <w:szCs w:val="20"/>
        </w:rPr>
        <w:t>1</w:t>
      </w:r>
      <w:r>
        <w:rPr>
          <w:rFonts w:asciiTheme="minorHAnsi" w:hAnsiTheme="minorHAnsi"/>
          <w:sz w:val="20"/>
          <w:szCs w:val="20"/>
        </w:rPr>
        <w:t xml:space="preserve"> range): ERR=</w:t>
      </w:r>
      <w:r>
        <w:rPr>
          <w:rFonts w:asciiTheme="minorHAnsi" w:hAnsiTheme="minorHAnsi"/>
          <w:sz w:val="20"/>
          <w:szCs w:val="20"/>
        </w:rPr>
        <w:t>4.9</w:t>
      </w:r>
      <w:r>
        <w:rPr>
          <w:rFonts w:asciiTheme="minorHAnsi" w:hAnsiTheme="minorHAnsi"/>
          <w:sz w:val="20"/>
          <w:szCs w:val="20"/>
        </w:rPr>
        <w:t>%; hence  ~</w:t>
      </w:r>
      <w:r>
        <w:rPr>
          <w:rFonts w:asciiTheme="minorHAnsi" w:hAnsiTheme="minorHAnsi"/>
          <w:sz w:val="20"/>
          <w:szCs w:val="20"/>
        </w:rPr>
        <w:t>0.5%</w:t>
      </w:r>
      <w:r>
        <w:rPr>
          <w:rFonts w:asciiTheme="minorHAnsi" w:hAnsiTheme="minorHAnsi"/>
          <w:sz w:val="20"/>
          <w:szCs w:val="20"/>
        </w:rPr>
        <w:t xml:space="preserve">/ </w:t>
      </w:r>
      <w:r>
        <w:rPr>
          <w:rFonts w:asciiTheme="minorHAnsi" w:hAnsiTheme="minorHAnsi"/>
          <w:sz w:val="20"/>
          <w:szCs w:val="20"/>
          <w:vertAlign w:val="superscript"/>
        </w:rPr>
        <w:t>o</w:t>
      </w:r>
      <w:r>
        <w:rPr>
          <w:rFonts w:asciiTheme="minorHAnsi" w:hAnsiTheme="minorHAnsi"/>
          <w:sz w:val="20"/>
          <w:szCs w:val="20"/>
        </w:rPr>
        <w:t>C</w:t>
      </w:r>
    </w:p>
    <w:p w14:paraId="696938C7" w14:textId="26207C30" w:rsidR="00CC2CEC" w:rsidRPr="005A159B" w:rsidRDefault="00CC2CEC" w:rsidP="00CC2CEC">
      <w:pPr>
        <w:pStyle w:val="Default"/>
        <w:ind w:left="1778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Roughly comparable to </w:t>
      </w:r>
      <w:r w:rsidR="005A159B">
        <w:rPr>
          <w:rFonts w:asciiTheme="minorHAnsi" w:hAnsiTheme="minorHAnsi"/>
          <w:sz w:val="20"/>
          <w:szCs w:val="20"/>
        </w:rPr>
        <w:t xml:space="preserve">your Jan/Feb and July/Aug projected increments for 1 </w:t>
      </w:r>
      <w:r w:rsidR="005A159B">
        <w:rPr>
          <w:rFonts w:asciiTheme="minorHAnsi" w:hAnsiTheme="minorHAnsi"/>
          <w:sz w:val="20"/>
          <w:szCs w:val="20"/>
          <w:vertAlign w:val="superscript"/>
        </w:rPr>
        <w:t>o</w:t>
      </w:r>
      <w:r w:rsidR="005A159B">
        <w:rPr>
          <w:rFonts w:asciiTheme="minorHAnsi" w:hAnsiTheme="minorHAnsi"/>
          <w:sz w:val="20"/>
          <w:szCs w:val="20"/>
        </w:rPr>
        <w:t>C?</w:t>
      </w:r>
    </w:p>
    <w:p w14:paraId="783BB3C0" w14:textId="647472D8" w:rsidR="005A159B" w:rsidRDefault="005A159B" w:rsidP="00CC2CEC">
      <w:pPr>
        <w:pStyle w:val="Default"/>
        <w:ind w:left="1778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Guo 2014 has similar results for USA.</w:t>
      </w:r>
    </w:p>
    <w:p w14:paraId="0AED0AFF" w14:textId="42CB8F09" w:rsidR="0079557F" w:rsidRDefault="0079557F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469FBE29" w14:textId="77777777" w:rsidR="0079557F" w:rsidRDefault="0079557F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28A2A87D" w14:textId="35149377" w:rsidR="0079557F" w:rsidRDefault="00212848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Some refs of possible interest:</w:t>
      </w:r>
    </w:p>
    <w:p w14:paraId="60B44053" w14:textId="1E3993FC" w:rsidR="00212848" w:rsidRDefault="00212848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A:  </w:t>
      </w:r>
      <w:r w:rsidR="005A159B">
        <w:rPr>
          <w:rFonts w:asciiTheme="minorHAnsi" w:hAnsiTheme="minorHAnsi"/>
          <w:sz w:val="20"/>
          <w:szCs w:val="20"/>
        </w:rPr>
        <w:t>Example of using m</w:t>
      </w:r>
      <w:r>
        <w:rPr>
          <w:rFonts w:asciiTheme="minorHAnsi" w:hAnsiTheme="minorHAnsi"/>
          <w:sz w:val="20"/>
          <w:szCs w:val="20"/>
        </w:rPr>
        <w:t xml:space="preserve">onthly USA (county?) </w:t>
      </w:r>
      <w:r w:rsidR="005A159B">
        <w:rPr>
          <w:rFonts w:asciiTheme="minorHAnsi" w:hAnsiTheme="minorHAnsi"/>
          <w:sz w:val="20"/>
          <w:szCs w:val="20"/>
        </w:rPr>
        <w:t>data</w:t>
      </w:r>
      <w:r>
        <w:rPr>
          <w:rFonts w:asciiTheme="minorHAnsi" w:hAnsiTheme="minorHAnsi"/>
          <w:sz w:val="20"/>
          <w:szCs w:val="20"/>
        </w:rPr>
        <w:t xml:space="preserve"> (main focus on humidity, but temperature also included and displayed</w:t>
      </w:r>
      <w:r w:rsidR="005A159B">
        <w:rPr>
          <w:rFonts w:asciiTheme="minorHAnsi" w:hAnsiTheme="minorHAnsi"/>
          <w:sz w:val="20"/>
          <w:szCs w:val="20"/>
        </w:rPr>
        <w:t xml:space="preserve">: </w:t>
      </w:r>
      <w:r w:rsidR="00325DF7" w:rsidRPr="00325DF7">
        <w:rPr>
          <w:rFonts w:asciiTheme="minorHAnsi" w:hAnsiTheme="minorHAnsi"/>
          <w:sz w:val="20"/>
          <w:szCs w:val="20"/>
        </w:rPr>
        <w:t>Barreca: Climate change, humidity, and mortality in the United States. Journal of Environmental Economics and Management 2012, 63(1):19-34.</w:t>
      </w:r>
      <w:r w:rsidR="00B549FE">
        <w:rPr>
          <w:rFonts w:asciiTheme="minorHAnsi" w:hAnsiTheme="minorHAnsi"/>
          <w:sz w:val="20"/>
          <w:szCs w:val="20"/>
        </w:rPr>
        <w:t xml:space="preserve">  </w:t>
      </w:r>
    </w:p>
    <w:p w14:paraId="3E93C540" w14:textId="0A62CEE4" w:rsidR="00212848" w:rsidRDefault="00212848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716A1205" w14:textId="26DB21EE" w:rsidR="00212848" w:rsidRDefault="00212848" w:rsidP="0079557F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B: </w:t>
      </w:r>
      <w:r w:rsidR="005A159B">
        <w:rPr>
          <w:rFonts w:asciiTheme="minorHAnsi" w:hAnsiTheme="minorHAnsi"/>
          <w:sz w:val="20"/>
          <w:szCs w:val="20"/>
        </w:rPr>
        <w:t>Examples of using a</w:t>
      </w:r>
      <w:r>
        <w:rPr>
          <w:rFonts w:asciiTheme="minorHAnsi" w:hAnsiTheme="minorHAnsi"/>
          <w:sz w:val="20"/>
          <w:szCs w:val="20"/>
        </w:rPr>
        <w:t>nnual</w:t>
      </w:r>
      <w:r w:rsidR="005A159B">
        <w:rPr>
          <w:rFonts w:asciiTheme="minorHAnsi" w:hAnsiTheme="minorHAnsi"/>
          <w:sz w:val="20"/>
          <w:szCs w:val="20"/>
        </w:rPr>
        <w:t>ly aggregated</w:t>
      </w:r>
      <w:r>
        <w:rPr>
          <w:rFonts w:asciiTheme="minorHAnsi" w:hAnsiTheme="minorHAnsi"/>
          <w:sz w:val="20"/>
          <w:szCs w:val="20"/>
        </w:rPr>
        <w:t xml:space="preserve"> </w:t>
      </w:r>
      <w:r w:rsidR="005A159B">
        <w:rPr>
          <w:rFonts w:asciiTheme="minorHAnsi" w:hAnsiTheme="minorHAnsi"/>
          <w:sz w:val="20"/>
          <w:szCs w:val="20"/>
        </w:rPr>
        <w:t>mortality data. Essentially</w:t>
      </w:r>
      <w:bookmarkStart w:id="0" w:name="_GoBack"/>
      <w:bookmarkEnd w:id="0"/>
      <w:r w:rsidR="005A159B">
        <w:rPr>
          <w:rFonts w:asciiTheme="minorHAnsi" w:hAnsiTheme="minorHAnsi"/>
          <w:sz w:val="20"/>
          <w:szCs w:val="20"/>
        </w:rPr>
        <w:t>T</w:t>
      </w:r>
      <w:r>
        <w:rPr>
          <w:rFonts w:asciiTheme="minorHAnsi" w:hAnsiTheme="minorHAnsi"/>
          <w:sz w:val="20"/>
          <w:szCs w:val="20"/>
        </w:rPr>
        <w:t>ime series analys</w:t>
      </w:r>
      <w:r w:rsidR="005A159B">
        <w:rPr>
          <w:rFonts w:asciiTheme="minorHAnsi" w:hAnsiTheme="minorHAnsi"/>
          <w:sz w:val="20"/>
          <w:szCs w:val="20"/>
        </w:rPr>
        <w:t>e</w:t>
      </w:r>
      <w:r>
        <w:rPr>
          <w:rFonts w:asciiTheme="minorHAnsi" w:hAnsiTheme="minorHAnsi"/>
          <w:sz w:val="20"/>
          <w:szCs w:val="20"/>
        </w:rPr>
        <w:t xml:space="preserve">s </w:t>
      </w:r>
      <w:r w:rsidR="005A159B">
        <w:rPr>
          <w:rFonts w:asciiTheme="minorHAnsi" w:hAnsiTheme="minorHAnsi"/>
          <w:sz w:val="20"/>
          <w:szCs w:val="20"/>
        </w:rPr>
        <w:t>though last includes multiple locations, some 100+ from USA.</w:t>
      </w:r>
    </w:p>
    <w:p w14:paraId="76E6C421" w14:textId="738229FA" w:rsidR="00C751D1" w:rsidRPr="00C751D1" w:rsidRDefault="00C751D1" w:rsidP="00C751D1">
      <w:pPr>
        <w:autoSpaceDE w:val="0"/>
        <w:autoSpaceDN w:val="0"/>
        <w:adjustRightInd w:val="0"/>
        <w:ind w:left="720" w:hanging="720"/>
        <w:rPr>
          <w:rFonts w:ascii="Segoe UI" w:eastAsiaTheme="minorEastAsia" w:hAnsi="Segoe UI" w:cs="Segoe UI"/>
          <w:sz w:val="18"/>
          <w:szCs w:val="18"/>
          <w:lang w:eastAsia="en-GB"/>
        </w:rPr>
      </w:pP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Rehill N, Armstrong B, Wilkinson P: </w:t>
      </w:r>
      <w:r w:rsidRPr="00C751D1">
        <w:rPr>
          <w:rFonts w:ascii="Segoe UI" w:eastAsiaTheme="minorEastAsia" w:hAnsi="Segoe UI" w:cs="Segoe UI"/>
          <w:b/>
          <w:bCs/>
          <w:sz w:val="18"/>
          <w:szCs w:val="18"/>
          <w:lang w:eastAsia="en-GB"/>
        </w:rPr>
        <w:t>Clarifying life lost due to cold and heat: a new approach using annual time series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. </w:t>
      </w:r>
      <w:r w:rsidRPr="00C751D1">
        <w:rPr>
          <w:rFonts w:ascii="Segoe UI" w:eastAsiaTheme="minorEastAsia" w:hAnsi="Segoe UI" w:cs="Segoe UI"/>
          <w:i/>
          <w:iCs/>
          <w:sz w:val="18"/>
          <w:szCs w:val="18"/>
          <w:lang w:eastAsia="en-GB"/>
        </w:rPr>
        <w:t xml:space="preserve">BMJ open 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2015, </w:t>
      </w:r>
      <w:r w:rsidRPr="00C751D1">
        <w:rPr>
          <w:rFonts w:ascii="Segoe UI" w:eastAsiaTheme="minorEastAsia" w:hAnsi="Segoe UI" w:cs="Segoe UI"/>
          <w:b/>
          <w:bCs/>
          <w:sz w:val="18"/>
          <w:szCs w:val="18"/>
          <w:lang w:eastAsia="en-GB"/>
        </w:rPr>
        <w:t>5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>(4):e005640.</w:t>
      </w:r>
    </w:p>
    <w:p w14:paraId="535642BB" w14:textId="6187AE1B" w:rsidR="00C751D1" w:rsidRPr="00C751D1" w:rsidRDefault="00C751D1" w:rsidP="00C751D1">
      <w:pPr>
        <w:autoSpaceDE w:val="0"/>
        <w:autoSpaceDN w:val="0"/>
        <w:adjustRightInd w:val="0"/>
        <w:ind w:left="720" w:hanging="720"/>
        <w:rPr>
          <w:rFonts w:ascii="Segoe UI" w:eastAsiaTheme="minorEastAsia" w:hAnsi="Segoe UI" w:cs="Segoe UI"/>
          <w:sz w:val="18"/>
          <w:szCs w:val="18"/>
          <w:lang w:eastAsia="en-GB"/>
        </w:rPr>
      </w:pP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Goggins WB, Yang C, Hokama T, Law LS, Chan EY: </w:t>
      </w:r>
      <w:r w:rsidRPr="00C751D1">
        <w:rPr>
          <w:rFonts w:ascii="Segoe UI" w:eastAsiaTheme="minorEastAsia" w:hAnsi="Segoe UI" w:cs="Segoe UI"/>
          <w:b/>
          <w:bCs/>
          <w:sz w:val="18"/>
          <w:szCs w:val="18"/>
          <w:lang w:eastAsia="en-GB"/>
        </w:rPr>
        <w:t>Using Annual Data to Estimate the Public Health Impact of Extreme Temperatures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. </w:t>
      </w:r>
      <w:r w:rsidRPr="00C751D1">
        <w:rPr>
          <w:rFonts w:ascii="Segoe UI" w:eastAsiaTheme="minorEastAsia" w:hAnsi="Segoe UI" w:cs="Segoe UI"/>
          <w:i/>
          <w:iCs/>
          <w:sz w:val="18"/>
          <w:szCs w:val="18"/>
          <w:lang w:eastAsia="en-GB"/>
        </w:rPr>
        <w:t xml:space="preserve">American journal of epidemiology 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>2015:kwv013.</w:t>
      </w:r>
    </w:p>
    <w:p w14:paraId="1421893D" w14:textId="7DB06076" w:rsidR="00C751D1" w:rsidRPr="00C751D1" w:rsidRDefault="00C751D1" w:rsidP="00C751D1">
      <w:pPr>
        <w:autoSpaceDE w:val="0"/>
        <w:autoSpaceDN w:val="0"/>
        <w:adjustRightInd w:val="0"/>
        <w:ind w:left="720" w:hanging="720"/>
        <w:rPr>
          <w:rFonts w:ascii="Segoe UI" w:eastAsiaTheme="minorEastAsia" w:hAnsi="Segoe UI" w:cs="Segoe UI"/>
          <w:sz w:val="18"/>
          <w:szCs w:val="18"/>
          <w:lang w:eastAsia="en-GB"/>
        </w:rPr>
      </w:pP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Armstrong B, Bell ML, Coelho MdSZS, Guo Y-LL, Guo Y, Goodman P, Hashizume M, Honda Y, Kim H, Lavigne E: </w:t>
      </w:r>
      <w:r w:rsidRPr="00C751D1">
        <w:rPr>
          <w:rFonts w:ascii="Segoe UI" w:eastAsiaTheme="minorEastAsia" w:hAnsi="Segoe UI" w:cs="Segoe UI"/>
          <w:b/>
          <w:bCs/>
          <w:sz w:val="18"/>
          <w:szCs w:val="18"/>
          <w:lang w:eastAsia="en-GB"/>
        </w:rPr>
        <w:t>Longer-Term Impact of High and Low Temperature on Mortality: An International Study to Clarify Length of Mortality Displacement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. </w:t>
      </w:r>
      <w:r w:rsidRPr="00C751D1">
        <w:rPr>
          <w:rFonts w:ascii="Segoe UI" w:eastAsiaTheme="minorEastAsia" w:hAnsi="Segoe UI" w:cs="Segoe UI"/>
          <w:i/>
          <w:iCs/>
          <w:sz w:val="18"/>
          <w:szCs w:val="18"/>
          <w:lang w:eastAsia="en-GB"/>
        </w:rPr>
        <w:t xml:space="preserve">Environmental health perspectives 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 xml:space="preserve">2017, </w:t>
      </w:r>
      <w:r w:rsidRPr="00C751D1">
        <w:rPr>
          <w:rFonts w:ascii="Segoe UI" w:eastAsiaTheme="minorEastAsia" w:hAnsi="Segoe UI" w:cs="Segoe UI"/>
          <w:b/>
          <w:bCs/>
          <w:sz w:val="18"/>
          <w:szCs w:val="18"/>
          <w:lang w:eastAsia="en-GB"/>
        </w:rPr>
        <w:t>125</w:t>
      </w:r>
      <w:r w:rsidRPr="00C751D1">
        <w:rPr>
          <w:rFonts w:ascii="Segoe UI" w:eastAsiaTheme="minorEastAsia" w:hAnsi="Segoe UI" w:cs="Segoe UI"/>
          <w:sz w:val="18"/>
          <w:szCs w:val="18"/>
          <w:lang w:eastAsia="en-GB"/>
        </w:rPr>
        <w:t>(10):107009.</w:t>
      </w:r>
    </w:p>
    <w:p w14:paraId="6ECCE376" w14:textId="77777777" w:rsidR="005A4D93" w:rsidRDefault="005A4D93" w:rsidP="006B7AC0">
      <w:pPr>
        <w:pStyle w:val="Default"/>
        <w:jc w:val="both"/>
        <w:rPr>
          <w:rFonts w:asciiTheme="minorHAnsi" w:hAnsiTheme="minorHAnsi"/>
          <w:sz w:val="20"/>
          <w:szCs w:val="20"/>
        </w:rPr>
      </w:pPr>
    </w:p>
    <w:p w14:paraId="3E2E27BA" w14:textId="556583B3" w:rsidR="00F11975" w:rsidRDefault="00F11975" w:rsidP="00F11975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P1-10: 4.5</w:t>
      </w:r>
    </w:p>
    <w:p w14:paraId="327A583F" w14:textId="045DC378" w:rsidR="00F11975" w:rsidRPr="00454318" w:rsidRDefault="005A3424" w:rsidP="00F11975">
      <w:pPr>
        <w:pStyle w:val="Default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</w:t>
      </w:r>
      <w:r w:rsidR="00F11975">
        <w:rPr>
          <w:rFonts w:asciiTheme="minorHAnsi" w:hAnsiTheme="minorHAnsi"/>
          <w:sz w:val="20"/>
          <w:szCs w:val="20"/>
        </w:rPr>
        <w:t>P90-99: 3 ?</w:t>
      </w:r>
    </w:p>
    <w:sectPr w:rsidR="00F11975" w:rsidRPr="00454318" w:rsidSect="0051345B">
      <w:headerReference w:type="default" r:id="rId8"/>
      <w:footerReference w:type="even" r:id="rId9"/>
      <w:footerReference w:type="default" r:id="rId10"/>
      <w:pgSz w:w="11909" w:h="16834" w:code="9"/>
      <w:pgMar w:top="426" w:right="851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CE61D" w14:textId="77777777" w:rsidR="001A7B01" w:rsidRDefault="001A7B01">
      <w:r>
        <w:separator/>
      </w:r>
    </w:p>
  </w:endnote>
  <w:endnote w:type="continuationSeparator" w:id="0">
    <w:p w14:paraId="1212AC17" w14:textId="77777777" w:rsidR="001A7B01" w:rsidRDefault="001A7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4984F1" w14:textId="77777777" w:rsidR="00AF20C2" w:rsidRDefault="00AF20C2" w:rsidP="00391B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C7E089D" w14:textId="77777777" w:rsidR="00AF20C2" w:rsidRDefault="00AF20C2" w:rsidP="00391B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5F639E" w14:textId="77777777" w:rsidR="00AF20C2" w:rsidRDefault="00AF20C2" w:rsidP="00391B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71822" w14:textId="77777777" w:rsidR="001A7B01" w:rsidRDefault="001A7B01">
      <w:r>
        <w:separator/>
      </w:r>
    </w:p>
  </w:footnote>
  <w:footnote w:type="continuationSeparator" w:id="0">
    <w:p w14:paraId="47A988E7" w14:textId="77777777" w:rsidR="001A7B01" w:rsidRDefault="001A7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314C0" w14:textId="77777777" w:rsidR="00AF20C2" w:rsidRPr="008B329E" w:rsidRDefault="00AF20C2" w:rsidP="00391BC0">
    <w:pPr>
      <w:pStyle w:val="Header"/>
      <w:jc w:val="right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D91"/>
    <w:multiLevelType w:val="hybridMultilevel"/>
    <w:tmpl w:val="31307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5619A"/>
    <w:multiLevelType w:val="hybridMultilevel"/>
    <w:tmpl w:val="007CE3D4"/>
    <w:lvl w:ilvl="0" w:tplc="01FA2D04">
      <w:start w:val="1"/>
      <w:numFmt w:val="lowerRoman"/>
      <w:lvlText w:val="(%1)"/>
      <w:lvlJc w:val="left"/>
      <w:pPr>
        <w:tabs>
          <w:tab w:val="num" w:pos="1485"/>
        </w:tabs>
        <w:ind w:left="1485" w:hanging="720"/>
      </w:pPr>
      <w:rPr>
        <w:rFonts w:cs="Times New Roman" w:hint="default"/>
        <w:b w:val="0"/>
        <w:sz w:val="16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  <w:rPr>
        <w:rFonts w:cs="Times New Roman"/>
      </w:rPr>
    </w:lvl>
  </w:abstractNum>
  <w:abstractNum w:abstractNumId="2" w15:restartNumberingAfterBreak="0">
    <w:nsid w:val="0B22445C"/>
    <w:multiLevelType w:val="hybridMultilevel"/>
    <w:tmpl w:val="992EFBF2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10AF4E45"/>
    <w:multiLevelType w:val="multilevel"/>
    <w:tmpl w:val="E200B3EE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2BF64CF"/>
    <w:multiLevelType w:val="hybridMultilevel"/>
    <w:tmpl w:val="4E64E82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A003E"/>
    <w:multiLevelType w:val="hybridMultilevel"/>
    <w:tmpl w:val="E200B3EE"/>
    <w:lvl w:ilvl="0" w:tplc="8E26D576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3626DF"/>
    <w:multiLevelType w:val="multilevel"/>
    <w:tmpl w:val="9B5829CE"/>
    <w:lvl w:ilvl="0">
      <w:start w:val="2"/>
      <w:numFmt w:val="lowerRoman"/>
      <w:lvlText w:val="(%1)"/>
      <w:lvlJc w:val="left"/>
      <w:pPr>
        <w:tabs>
          <w:tab w:val="num" w:pos="1425"/>
        </w:tabs>
        <w:ind w:left="1425" w:hanging="73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  <w:rPr>
        <w:rFonts w:cs="Times New Roman"/>
      </w:rPr>
    </w:lvl>
  </w:abstractNum>
  <w:abstractNum w:abstractNumId="7" w15:restartNumberingAfterBreak="0">
    <w:nsid w:val="2BD66F8E"/>
    <w:multiLevelType w:val="hybridMultilevel"/>
    <w:tmpl w:val="175EBC1A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A750A"/>
    <w:multiLevelType w:val="hybridMultilevel"/>
    <w:tmpl w:val="8938CA64"/>
    <w:lvl w:ilvl="0" w:tplc="62AE1A66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6671AEB"/>
    <w:multiLevelType w:val="hybridMultilevel"/>
    <w:tmpl w:val="3730746A"/>
    <w:lvl w:ilvl="0" w:tplc="809A20D0">
      <w:start w:val="1"/>
      <w:numFmt w:val="lowerRoman"/>
      <w:lvlText w:val="(%1)"/>
      <w:lvlJc w:val="left"/>
      <w:pPr>
        <w:tabs>
          <w:tab w:val="num" w:pos="1425"/>
        </w:tabs>
        <w:ind w:left="1425" w:hanging="735"/>
      </w:pPr>
      <w:rPr>
        <w:rFonts w:cs="Times New Roman"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  <w:rPr>
        <w:rFonts w:cs="Times New Roman"/>
      </w:rPr>
    </w:lvl>
  </w:abstractNum>
  <w:abstractNum w:abstractNumId="10" w15:restartNumberingAfterBreak="0">
    <w:nsid w:val="4BA40FF8"/>
    <w:multiLevelType w:val="hybridMultilevel"/>
    <w:tmpl w:val="FB8E2A30"/>
    <w:lvl w:ilvl="0" w:tplc="62AE1A66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4C146FBE"/>
    <w:multiLevelType w:val="hybridMultilevel"/>
    <w:tmpl w:val="FF1095AE"/>
    <w:lvl w:ilvl="0" w:tplc="14BE3EC0">
      <w:start w:val="2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1" w:tplc="CE60D538">
      <w:start w:val="1"/>
      <w:numFmt w:val="lowerRoman"/>
      <w:lvlText w:val="(%2)"/>
      <w:lvlJc w:val="left"/>
      <w:pPr>
        <w:tabs>
          <w:tab w:val="num" w:pos="1455"/>
        </w:tabs>
        <w:ind w:left="1455" w:hanging="735"/>
      </w:pPr>
      <w:rPr>
        <w:rFonts w:cs="Times New Roman" w:hint="default"/>
        <w:b w:val="0"/>
      </w:rPr>
    </w:lvl>
    <w:lvl w:ilvl="2" w:tplc="08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4D017273"/>
    <w:multiLevelType w:val="multilevel"/>
    <w:tmpl w:val="F9AA988A"/>
    <w:lvl w:ilvl="0">
      <w:start w:val="1"/>
      <w:numFmt w:val="lowerRoman"/>
      <w:lvlText w:val="(%1)"/>
      <w:lvlJc w:val="left"/>
      <w:pPr>
        <w:tabs>
          <w:tab w:val="num" w:pos="1485"/>
        </w:tabs>
        <w:ind w:left="1485" w:hanging="720"/>
      </w:pPr>
      <w:rPr>
        <w:rFonts w:cs="Times New Roman" w:hint="default"/>
        <w:sz w:val="16"/>
      </w:rPr>
    </w:lvl>
    <w:lvl w:ilvl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  <w:rPr>
        <w:rFonts w:cs="Times New Roman"/>
      </w:rPr>
    </w:lvl>
  </w:abstractNum>
  <w:abstractNum w:abstractNumId="13" w15:restartNumberingAfterBreak="0">
    <w:nsid w:val="56426B1B"/>
    <w:multiLevelType w:val="hybridMultilevel"/>
    <w:tmpl w:val="8FD8F4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818F8"/>
    <w:multiLevelType w:val="singleLevel"/>
    <w:tmpl w:val="08090017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</w:rPr>
    </w:lvl>
  </w:abstractNum>
  <w:abstractNum w:abstractNumId="15" w15:restartNumberingAfterBreak="0">
    <w:nsid w:val="6C304101"/>
    <w:multiLevelType w:val="hybridMultilevel"/>
    <w:tmpl w:val="FE9434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DE6695E"/>
    <w:multiLevelType w:val="hybridMultilevel"/>
    <w:tmpl w:val="216803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53701D"/>
    <w:multiLevelType w:val="hybridMultilevel"/>
    <w:tmpl w:val="BFC69480"/>
    <w:lvl w:ilvl="0" w:tplc="4658193C">
      <w:start w:val="2"/>
      <w:numFmt w:val="lowerRoman"/>
      <w:lvlText w:val="(%1)"/>
      <w:lvlJc w:val="left"/>
      <w:pPr>
        <w:tabs>
          <w:tab w:val="num" w:pos="1425"/>
        </w:tabs>
        <w:ind w:left="1425" w:hanging="73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4C030AB"/>
    <w:multiLevelType w:val="hybridMultilevel"/>
    <w:tmpl w:val="9CAABA26"/>
    <w:lvl w:ilvl="0" w:tplc="8E26D576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9701D53"/>
    <w:multiLevelType w:val="multilevel"/>
    <w:tmpl w:val="FB8E2A30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7D8D4D52"/>
    <w:multiLevelType w:val="hybridMultilevel"/>
    <w:tmpl w:val="98F45F1A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11"/>
  </w:num>
  <w:num w:numId="5">
    <w:abstractNumId w:val="9"/>
  </w:num>
  <w:num w:numId="6">
    <w:abstractNumId w:val="6"/>
  </w:num>
  <w:num w:numId="7">
    <w:abstractNumId w:val="17"/>
  </w:num>
  <w:num w:numId="8">
    <w:abstractNumId w:val="19"/>
  </w:num>
  <w:num w:numId="9">
    <w:abstractNumId w:val="8"/>
  </w:num>
  <w:num w:numId="10">
    <w:abstractNumId w:val="4"/>
  </w:num>
  <w:num w:numId="11">
    <w:abstractNumId w:val="16"/>
  </w:num>
  <w:num w:numId="12">
    <w:abstractNumId w:val="5"/>
  </w:num>
  <w:num w:numId="13">
    <w:abstractNumId w:val="1"/>
  </w:num>
  <w:num w:numId="14">
    <w:abstractNumId w:val="12"/>
  </w:num>
  <w:num w:numId="15">
    <w:abstractNumId w:val="3"/>
  </w:num>
  <w:num w:numId="16">
    <w:abstractNumId w:val="18"/>
  </w:num>
  <w:num w:numId="17">
    <w:abstractNumId w:val="15"/>
  </w:num>
  <w:num w:numId="18">
    <w:abstractNumId w:val="0"/>
  </w:num>
  <w:num w:numId="19">
    <w:abstractNumId w:val="2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68"/>
    <w:rsid w:val="00002E22"/>
    <w:rsid w:val="00007111"/>
    <w:rsid w:val="000101E9"/>
    <w:rsid w:val="00012657"/>
    <w:rsid w:val="000127C9"/>
    <w:rsid w:val="00014283"/>
    <w:rsid w:val="0002004D"/>
    <w:rsid w:val="00033745"/>
    <w:rsid w:val="000362BD"/>
    <w:rsid w:val="00041B2A"/>
    <w:rsid w:val="0004479D"/>
    <w:rsid w:val="00047EB9"/>
    <w:rsid w:val="0005236D"/>
    <w:rsid w:val="00064076"/>
    <w:rsid w:val="00065809"/>
    <w:rsid w:val="000726DC"/>
    <w:rsid w:val="0007277A"/>
    <w:rsid w:val="00074DAD"/>
    <w:rsid w:val="000824B7"/>
    <w:rsid w:val="0008310B"/>
    <w:rsid w:val="00085964"/>
    <w:rsid w:val="000910B4"/>
    <w:rsid w:val="00095642"/>
    <w:rsid w:val="000A26F5"/>
    <w:rsid w:val="000B2938"/>
    <w:rsid w:val="000B69A5"/>
    <w:rsid w:val="000B6B1B"/>
    <w:rsid w:val="000D3169"/>
    <w:rsid w:val="000D347B"/>
    <w:rsid w:val="000D498C"/>
    <w:rsid w:val="000D71FE"/>
    <w:rsid w:val="000E345F"/>
    <w:rsid w:val="000E711D"/>
    <w:rsid w:val="000F5CC2"/>
    <w:rsid w:val="00102506"/>
    <w:rsid w:val="00102C01"/>
    <w:rsid w:val="00112FB5"/>
    <w:rsid w:val="00123619"/>
    <w:rsid w:val="00125B38"/>
    <w:rsid w:val="001317A8"/>
    <w:rsid w:val="001369AA"/>
    <w:rsid w:val="00141632"/>
    <w:rsid w:val="00142627"/>
    <w:rsid w:val="00145F8A"/>
    <w:rsid w:val="0014668E"/>
    <w:rsid w:val="00147702"/>
    <w:rsid w:val="001559A3"/>
    <w:rsid w:val="00167968"/>
    <w:rsid w:val="0017290F"/>
    <w:rsid w:val="001757BB"/>
    <w:rsid w:val="0019615F"/>
    <w:rsid w:val="001A18DC"/>
    <w:rsid w:val="001A7B01"/>
    <w:rsid w:val="001B397E"/>
    <w:rsid w:val="001B5C3E"/>
    <w:rsid w:val="001C0D8A"/>
    <w:rsid w:val="001C44B3"/>
    <w:rsid w:val="001C6202"/>
    <w:rsid w:val="001D3970"/>
    <w:rsid w:val="001D60F3"/>
    <w:rsid w:val="001E191C"/>
    <w:rsid w:val="001E260B"/>
    <w:rsid w:val="001F7BA4"/>
    <w:rsid w:val="0021121C"/>
    <w:rsid w:val="00212848"/>
    <w:rsid w:val="002138BC"/>
    <w:rsid w:val="00221F62"/>
    <w:rsid w:val="00232EE4"/>
    <w:rsid w:val="00240C32"/>
    <w:rsid w:val="00241C9A"/>
    <w:rsid w:val="00244D9F"/>
    <w:rsid w:val="002458B7"/>
    <w:rsid w:val="00254DE4"/>
    <w:rsid w:val="002626A6"/>
    <w:rsid w:val="002722DC"/>
    <w:rsid w:val="00274B79"/>
    <w:rsid w:val="0027738F"/>
    <w:rsid w:val="00287267"/>
    <w:rsid w:val="00291D23"/>
    <w:rsid w:val="00294FB9"/>
    <w:rsid w:val="002B1CB2"/>
    <w:rsid w:val="002B347C"/>
    <w:rsid w:val="002C3CFB"/>
    <w:rsid w:val="002D14BB"/>
    <w:rsid w:val="002D1D6A"/>
    <w:rsid w:val="002D266F"/>
    <w:rsid w:val="002D5998"/>
    <w:rsid w:val="002E30B8"/>
    <w:rsid w:val="002F22CD"/>
    <w:rsid w:val="002F3CF6"/>
    <w:rsid w:val="00314528"/>
    <w:rsid w:val="00316472"/>
    <w:rsid w:val="00325DF7"/>
    <w:rsid w:val="00327451"/>
    <w:rsid w:val="003378C6"/>
    <w:rsid w:val="003422C4"/>
    <w:rsid w:val="00350293"/>
    <w:rsid w:val="003518A5"/>
    <w:rsid w:val="00354659"/>
    <w:rsid w:val="00354A23"/>
    <w:rsid w:val="003616F0"/>
    <w:rsid w:val="00370A91"/>
    <w:rsid w:val="003813EB"/>
    <w:rsid w:val="0038527E"/>
    <w:rsid w:val="00385AD3"/>
    <w:rsid w:val="00391BC0"/>
    <w:rsid w:val="00392940"/>
    <w:rsid w:val="003A725B"/>
    <w:rsid w:val="003B105D"/>
    <w:rsid w:val="003B6337"/>
    <w:rsid w:val="003D1D43"/>
    <w:rsid w:val="003D648C"/>
    <w:rsid w:val="003D72B7"/>
    <w:rsid w:val="003D7FED"/>
    <w:rsid w:val="003E77D8"/>
    <w:rsid w:val="003F59A5"/>
    <w:rsid w:val="00401673"/>
    <w:rsid w:val="00401E02"/>
    <w:rsid w:val="004024B5"/>
    <w:rsid w:val="00403144"/>
    <w:rsid w:val="004043CF"/>
    <w:rsid w:val="0040528F"/>
    <w:rsid w:val="00414679"/>
    <w:rsid w:val="004207A7"/>
    <w:rsid w:val="0042182F"/>
    <w:rsid w:val="004226DD"/>
    <w:rsid w:val="0043388F"/>
    <w:rsid w:val="0044354E"/>
    <w:rsid w:val="00445D43"/>
    <w:rsid w:val="00447123"/>
    <w:rsid w:val="00454318"/>
    <w:rsid w:val="004713C0"/>
    <w:rsid w:val="00472E43"/>
    <w:rsid w:val="004834C4"/>
    <w:rsid w:val="004842DB"/>
    <w:rsid w:val="00496902"/>
    <w:rsid w:val="00497A59"/>
    <w:rsid w:val="004A03B7"/>
    <w:rsid w:val="004A6B22"/>
    <w:rsid w:val="004A780A"/>
    <w:rsid w:val="004A7FFA"/>
    <w:rsid w:val="004C77BF"/>
    <w:rsid w:val="004D3FBA"/>
    <w:rsid w:val="004D7F17"/>
    <w:rsid w:val="004E06BF"/>
    <w:rsid w:val="004E2722"/>
    <w:rsid w:val="004E2CD2"/>
    <w:rsid w:val="004E7AE6"/>
    <w:rsid w:val="00510792"/>
    <w:rsid w:val="0051345B"/>
    <w:rsid w:val="005218AC"/>
    <w:rsid w:val="00527F4D"/>
    <w:rsid w:val="005472FF"/>
    <w:rsid w:val="005512E1"/>
    <w:rsid w:val="00554D2D"/>
    <w:rsid w:val="00565F40"/>
    <w:rsid w:val="005716D8"/>
    <w:rsid w:val="00572D17"/>
    <w:rsid w:val="00575416"/>
    <w:rsid w:val="00581368"/>
    <w:rsid w:val="00595390"/>
    <w:rsid w:val="005A159B"/>
    <w:rsid w:val="005A3424"/>
    <w:rsid w:val="005A4D93"/>
    <w:rsid w:val="005A76D1"/>
    <w:rsid w:val="005B34D3"/>
    <w:rsid w:val="005B4204"/>
    <w:rsid w:val="005B61B3"/>
    <w:rsid w:val="005D1279"/>
    <w:rsid w:val="005D4FEC"/>
    <w:rsid w:val="005E201E"/>
    <w:rsid w:val="005F7090"/>
    <w:rsid w:val="00602B89"/>
    <w:rsid w:val="00613A6A"/>
    <w:rsid w:val="006163FF"/>
    <w:rsid w:val="006207E3"/>
    <w:rsid w:val="00627314"/>
    <w:rsid w:val="00630869"/>
    <w:rsid w:val="00630FAB"/>
    <w:rsid w:val="006337CE"/>
    <w:rsid w:val="006459EF"/>
    <w:rsid w:val="00645B79"/>
    <w:rsid w:val="00652E8A"/>
    <w:rsid w:val="0065691C"/>
    <w:rsid w:val="00667D23"/>
    <w:rsid w:val="00674E92"/>
    <w:rsid w:val="00685993"/>
    <w:rsid w:val="0069600D"/>
    <w:rsid w:val="006A38F1"/>
    <w:rsid w:val="006B7AC0"/>
    <w:rsid w:val="006C0B23"/>
    <w:rsid w:val="006C5232"/>
    <w:rsid w:val="006C538D"/>
    <w:rsid w:val="006E06A7"/>
    <w:rsid w:val="006F6058"/>
    <w:rsid w:val="007107CF"/>
    <w:rsid w:val="0072316E"/>
    <w:rsid w:val="007250ED"/>
    <w:rsid w:val="00726381"/>
    <w:rsid w:val="00727E2C"/>
    <w:rsid w:val="00736AC0"/>
    <w:rsid w:val="007437EF"/>
    <w:rsid w:val="00744207"/>
    <w:rsid w:val="00755185"/>
    <w:rsid w:val="00755B16"/>
    <w:rsid w:val="00760934"/>
    <w:rsid w:val="00760D7A"/>
    <w:rsid w:val="007645E4"/>
    <w:rsid w:val="007655D7"/>
    <w:rsid w:val="007726BC"/>
    <w:rsid w:val="00777844"/>
    <w:rsid w:val="0078209D"/>
    <w:rsid w:val="007842D7"/>
    <w:rsid w:val="00791047"/>
    <w:rsid w:val="00792515"/>
    <w:rsid w:val="007928D3"/>
    <w:rsid w:val="0079557F"/>
    <w:rsid w:val="007B2382"/>
    <w:rsid w:val="007B6ACD"/>
    <w:rsid w:val="007C0DCE"/>
    <w:rsid w:val="007E4472"/>
    <w:rsid w:val="007E5353"/>
    <w:rsid w:val="007E5F41"/>
    <w:rsid w:val="007E7467"/>
    <w:rsid w:val="007E7DB4"/>
    <w:rsid w:val="007F30D8"/>
    <w:rsid w:val="007F31EF"/>
    <w:rsid w:val="00804861"/>
    <w:rsid w:val="008048F1"/>
    <w:rsid w:val="008050CE"/>
    <w:rsid w:val="00805D7F"/>
    <w:rsid w:val="00814565"/>
    <w:rsid w:val="00814CBE"/>
    <w:rsid w:val="0082435F"/>
    <w:rsid w:val="008255B6"/>
    <w:rsid w:val="00826112"/>
    <w:rsid w:val="00827DFE"/>
    <w:rsid w:val="008365F9"/>
    <w:rsid w:val="00840FA0"/>
    <w:rsid w:val="008452C4"/>
    <w:rsid w:val="008457EE"/>
    <w:rsid w:val="008563F4"/>
    <w:rsid w:val="008819FD"/>
    <w:rsid w:val="008963C0"/>
    <w:rsid w:val="008A6159"/>
    <w:rsid w:val="008B329E"/>
    <w:rsid w:val="008B52E9"/>
    <w:rsid w:val="008C02FC"/>
    <w:rsid w:val="008C1F06"/>
    <w:rsid w:val="008D0DED"/>
    <w:rsid w:val="008D2D6D"/>
    <w:rsid w:val="008D65AD"/>
    <w:rsid w:val="008E14DE"/>
    <w:rsid w:val="008E4F27"/>
    <w:rsid w:val="008F4721"/>
    <w:rsid w:val="008F73D0"/>
    <w:rsid w:val="00902FEB"/>
    <w:rsid w:val="009059D3"/>
    <w:rsid w:val="00913BB6"/>
    <w:rsid w:val="00927D53"/>
    <w:rsid w:val="00940427"/>
    <w:rsid w:val="00951470"/>
    <w:rsid w:val="00953042"/>
    <w:rsid w:val="0095740A"/>
    <w:rsid w:val="0096078C"/>
    <w:rsid w:val="00960A42"/>
    <w:rsid w:val="00962DAD"/>
    <w:rsid w:val="00963084"/>
    <w:rsid w:val="009654CA"/>
    <w:rsid w:val="00967BE5"/>
    <w:rsid w:val="00974D34"/>
    <w:rsid w:val="00976E72"/>
    <w:rsid w:val="00976F1B"/>
    <w:rsid w:val="0097763C"/>
    <w:rsid w:val="009871D7"/>
    <w:rsid w:val="009B168C"/>
    <w:rsid w:val="009C06B3"/>
    <w:rsid w:val="009C10A1"/>
    <w:rsid w:val="009C1B24"/>
    <w:rsid w:val="009C382B"/>
    <w:rsid w:val="009C4C8F"/>
    <w:rsid w:val="009D0F41"/>
    <w:rsid w:val="009D1D5D"/>
    <w:rsid w:val="009E3F0E"/>
    <w:rsid w:val="009F3C3B"/>
    <w:rsid w:val="00A077A2"/>
    <w:rsid w:val="00A12B48"/>
    <w:rsid w:val="00A13904"/>
    <w:rsid w:val="00A307B4"/>
    <w:rsid w:val="00A3097C"/>
    <w:rsid w:val="00A32FF7"/>
    <w:rsid w:val="00A33130"/>
    <w:rsid w:val="00A33BB4"/>
    <w:rsid w:val="00A37146"/>
    <w:rsid w:val="00A41A9F"/>
    <w:rsid w:val="00A50BB9"/>
    <w:rsid w:val="00A514FB"/>
    <w:rsid w:val="00A53CDC"/>
    <w:rsid w:val="00A7173E"/>
    <w:rsid w:val="00A74F7C"/>
    <w:rsid w:val="00A7576D"/>
    <w:rsid w:val="00A8119E"/>
    <w:rsid w:val="00A8274F"/>
    <w:rsid w:val="00A83DF5"/>
    <w:rsid w:val="00A85A64"/>
    <w:rsid w:val="00A86792"/>
    <w:rsid w:val="00A922AE"/>
    <w:rsid w:val="00A939E9"/>
    <w:rsid w:val="00A96D89"/>
    <w:rsid w:val="00AA3E70"/>
    <w:rsid w:val="00AA6665"/>
    <w:rsid w:val="00AB7325"/>
    <w:rsid w:val="00AC2227"/>
    <w:rsid w:val="00AC48F9"/>
    <w:rsid w:val="00AC6F25"/>
    <w:rsid w:val="00AD3CF7"/>
    <w:rsid w:val="00AD54E7"/>
    <w:rsid w:val="00AD5AB1"/>
    <w:rsid w:val="00AE033B"/>
    <w:rsid w:val="00AE0895"/>
    <w:rsid w:val="00AF160C"/>
    <w:rsid w:val="00AF20C2"/>
    <w:rsid w:val="00AF4792"/>
    <w:rsid w:val="00B0707B"/>
    <w:rsid w:val="00B071A3"/>
    <w:rsid w:val="00B13CDB"/>
    <w:rsid w:val="00B17D95"/>
    <w:rsid w:val="00B469EE"/>
    <w:rsid w:val="00B53F94"/>
    <w:rsid w:val="00B549FE"/>
    <w:rsid w:val="00B56AA6"/>
    <w:rsid w:val="00B640E5"/>
    <w:rsid w:val="00B6614F"/>
    <w:rsid w:val="00B77DD7"/>
    <w:rsid w:val="00B84D68"/>
    <w:rsid w:val="00B94997"/>
    <w:rsid w:val="00B9705C"/>
    <w:rsid w:val="00BA208C"/>
    <w:rsid w:val="00BA5484"/>
    <w:rsid w:val="00BB5DF5"/>
    <w:rsid w:val="00BC40DF"/>
    <w:rsid w:val="00BD10A8"/>
    <w:rsid w:val="00BD55AE"/>
    <w:rsid w:val="00BE2C1B"/>
    <w:rsid w:val="00BE3BF9"/>
    <w:rsid w:val="00BF4AB0"/>
    <w:rsid w:val="00C10B4F"/>
    <w:rsid w:val="00C23060"/>
    <w:rsid w:val="00C23F3C"/>
    <w:rsid w:val="00C2439A"/>
    <w:rsid w:val="00C400D7"/>
    <w:rsid w:val="00C4721B"/>
    <w:rsid w:val="00C56BBE"/>
    <w:rsid w:val="00C63188"/>
    <w:rsid w:val="00C64F87"/>
    <w:rsid w:val="00C725E2"/>
    <w:rsid w:val="00C751D1"/>
    <w:rsid w:val="00C8634A"/>
    <w:rsid w:val="00C94EB0"/>
    <w:rsid w:val="00CA0B98"/>
    <w:rsid w:val="00CA3859"/>
    <w:rsid w:val="00CA4EB6"/>
    <w:rsid w:val="00CB12D5"/>
    <w:rsid w:val="00CB3E99"/>
    <w:rsid w:val="00CB76C3"/>
    <w:rsid w:val="00CC0E79"/>
    <w:rsid w:val="00CC178D"/>
    <w:rsid w:val="00CC21FA"/>
    <w:rsid w:val="00CC2CEC"/>
    <w:rsid w:val="00CC3E80"/>
    <w:rsid w:val="00CC6238"/>
    <w:rsid w:val="00CD510B"/>
    <w:rsid w:val="00CD77E5"/>
    <w:rsid w:val="00CD7CFE"/>
    <w:rsid w:val="00CE1B65"/>
    <w:rsid w:val="00CE4AAC"/>
    <w:rsid w:val="00CE6E46"/>
    <w:rsid w:val="00CF0C58"/>
    <w:rsid w:val="00CF2953"/>
    <w:rsid w:val="00D0320D"/>
    <w:rsid w:val="00D241D0"/>
    <w:rsid w:val="00D501D6"/>
    <w:rsid w:val="00D53372"/>
    <w:rsid w:val="00D56F19"/>
    <w:rsid w:val="00D6329D"/>
    <w:rsid w:val="00D67C95"/>
    <w:rsid w:val="00D716B9"/>
    <w:rsid w:val="00D72B03"/>
    <w:rsid w:val="00D7607F"/>
    <w:rsid w:val="00D77D1B"/>
    <w:rsid w:val="00D8142E"/>
    <w:rsid w:val="00D858F4"/>
    <w:rsid w:val="00D865BE"/>
    <w:rsid w:val="00D875E7"/>
    <w:rsid w:val="00D91A5B"/>
    <w:rsid w:val="00D94ED1"/>
    <w:rsid w:val="00D95E22"/>
    <w:rsid w:val="00DA1233"/>
    <w:rsid w:val="00DA1A90"/>
    <w:rsid w:val="00DA3165"/>
    <w:rsid w:val="00DA352D"/>
    <w:rsid w:val="00DA68A5"/>
    <w:rsid w:val="00DC2884"/>
    <w:rsid w:val="00DC5E96"/>
    <w:rsid w:val="00DC6F0E"/>
    <w:rsid w:val="00DD139C"/>
    <w:rsid w:val="00DD3938"/>
    <w:rsid w:val="00DD5D59"/>
    <w:rsid w:val="00DD6385"/>
    <w:rsid w:val="00DE6E09"/>
    <w:rsid w:val="00DF5150"/>
    <w:rsid w:val="00DF56B6"/>
    <w:rsid w:val="00DF681D"/>
    <w:rsid w:val="00E056FE"/>
    <w:rsid w:val="00E1293D"/>
    <w:rsid w:val="00E152FD"/>
    <w:rsid w:val="00E25589"/>
    <w:rsid w:val="00E33AB4"/>
    <w:rsid w:val="00E341F9"/>
    <w:rsid w:val="00E41837"/>
    <w:rsid w:val="00E45738"/>
    <w:rsid w:val="00E50FF2"/>
    <w:rsid w:val="00E744D9"/>
    <w:rsid w:val="00E74BE2"/>
    <w:rsid w:val="00E80388"/>
    <w:rsid w:val="00E80DDF"/>
    <w:rsid w:val="00E81654"/>
    <w:rsid w:val="00E83089"/>
    <w:rsid w:val="00E87790"/>
    <w:rsid w:val="00E943AE"/>
    <w:rsid w:val="00EA1558"/>
    <w:rsid w:val="00EA3CC3"/>
    <w:rsid w:val="00EA4A2A"/>
    <w:rsid w:val="00EC5065"/>
    <w:rsid w:val="00ED0622"/>
    <w:rsid w:val="00EF164C"/>
    <w:rsid w:val="00EF623E"/>
    <w:rsid w:val="00EF7068"/>
    <w:rsid w:val="00F050B2"/>
    <w:rsid w:val="00F07B89"/>
    <w:rsid w:val="00F11975"/>
    <w:rsid w:val="00F122F7"/>
    <w:rsid w:val="00F16685"/>
    <w:rsid w:val="00F25CA7"/>
    <w:rsid w:val="00F33F36"/>
    <w:rsid w:val="00F34B05"/>
    <w:rsid w:val="00F42504"/>
    <w:rsid w:val="00F444B5"/>
    <w:rsid w:val="00F501C5"/>
    <w:rsid w:val="00F54C2B"/>
    <w:rsid w:val="00F550E3"/>
    <w:rsid w:val="00F56326"/>
    <w:rsid w:val="00F73335"/>
    <w:rsid w:val="00F90193"/>
    <w:rsid w:val="00F94AED"/>
    <w:rsid w:val="00FA067A"/>
    <w:rsid w:val="00FA69BF"/>
    <w:rsid w:val="00FB330E"/>
    <w:rsid w:val="00FD5286"/>
    <w:rsid w:val="00FE61CA"/>
    <w:rsid w:val="00FE6FD5"/>
    <w:rsid w:val="00FE77B7"/>
    <w:rsid w:val="00FE78A3"/>
    <w:rsid w:val="00FF0DA8"/>
    <w:rsid w:val="00FF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74429"/>
  <w14:defaultImageDpi w14:val="0"/>
  <w15:docId w15:val="{67BEC388-481F-4067-A067-0B4563EF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7EB9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38"/>
    <w:pPr>
      <w:keepNext/>
      <w:jc w:val="center"/>
      <w:outlineLvl w:val="0"/>
    </w:pPr>
    <w:rPr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2938"/>
    <w:pPr>
      <w:keepNext/>
      <w:jc w:val="both"/>
      <w:outlineLvl w:val="1"/>
    </w:pPr>
    <w:rPr>
      <w:smallCaps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81368"/>
    <w:pPr>
      <w:keepNext/>
      <w:jc w:val="both"/>
      <w:outlineLvl w:val="2"/>
    </w:pPr>
    <w:rPr>
      <w:b/>
      <w:b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581368"/>
    <w:pPr>
      <w:keepNext/>
      <w:outlineLvl w:val="3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x-non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x-none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x-none" w:eastAsia="en-US"/>
    </w:rPr>
  </w:style>
  <w:style w:type="paragraph" w:styleId="BodyText">
    <w:name w:val="Body Text"/>
    <w:basedOn w:val="Normal"/>
    <w:link w:val="BodyTextChar"/>
    <w:uiPriority w:val="99"/>
    <w:rsid w:val="00581368"/>
    <w:pPr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rsid w:val="00581368"/>
    <w:pPr>
      <w:tabs>
        <w:tab w:val="center" w:pos="4153"/>
        <w:tab w:val="right" w:pos="830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x-none" w:eastAsia="en-US"/>
    </w:rPr>
  </w:style>
  <w:style w:type="character" w:styleId="PageNumber">
    <w:name w:val="page number"/>
    <w:basedOn w:val="DefaultParagraphFont"/>
    <w:uiPriority w:val="99"/>
    <w:rsid w:val="00581368"/>
    <w:rPr>
      <w:rFonts w:cs="Times New Roman"/>
    </w:rPr>
  </w:style>
  <w:style w:type="character" w:customStyle="1" w:styleId="EmailStyle241">
    <w:name w:val="EmailStyle241"/>
    <w:basedOn w:val="DefaultParagraphFont"/>
    <w:semiHidden/>
    <w:rsid w:val="00581368"/>
    <w:rPr>
      <w:rFonts w:ascii="Arial" w:hAnsi="Arial" w:cs="Arial"/>
      <w:color w:val="auto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613A6A"/>
    <w:pPr>
      <w:jc w:val="center"/>
    </w:pPr>
    <w:rPr>
      <w:rFonts w:ascii="Garamond" w:hAnsi="Garamond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  <w:lang w:val="x-none" w:eastAsia="en-US"/>
    </w:rPr>
  </w:style>
  <w:style w:type="paragraph" w:styleId="BodyText2">
    <w:name w:val="Body Text 2"/>
    <w:basedOn w:val="Normal"/>
    <w:link w:val="BodyText2Char"/>
    <w:uiPriority w:val="99"/>
    <w:rsid w:val="000B2938"/>
    <w:pPr>
      <w:jc w:val="center"/>
    </w:pPr>
    <w:rPr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BodyTextIndent">
    <w:name w:val="Body Text Indent"/>
    <w:basedOn w:val="Normal"/>
    <w:link w:val="BodyTextIndentChar"/>
    <w:uiPriority w:val="99"/>
    <w:rsid w:val="009C06B3"/>
    <w:pPr>
      <w:ind w:left="720" w:hanging="720"/>
    </w:pPr>
    <w:rPr>
      <w:rFonts w:ascii="CG Times (W1)" w:hAnsi="CG Times (W1)"/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Header">
    <w:name w:val="header"/>
    <w:basedOn w:val="Normal"/>
    <w:link w:val="HeaderChar"/>
    <w:uiPriority w:val="99"/>
    <w:rsid w:val="009C06B3"/>
    <w:pPr>
      <w:tabs>
        <w:tab w:val="center" w:pos="4153"/>
        <w:tab w:val="right" w:pos="830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x-none" w:eastAsia="en-US"/>
    </w:rPr>
  </w:style>
  <w:style w:type="paragraph" w:styleId="EndnoteText">
    <w:name w:val="endnote text"/>
    <w:basedOn w:val="Normal"/>
    <w:link w:val="EndnoteTextChar"/>
    <w:uiPriority w:val="99"/>
    <w:semiHidden/>
    <w:rsid w:val="008457EE"/>
    <w:rPr>
      <w:rFonts w:ascii="Courier New" w:hAnsi="Courier New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cs="Times New Roman"/>
      <w:lang w:val="x-none" w:eastAsia="en-US"/>
    </w:rPr>
  </w:style>
  <w:style w:type="paragraph" w:customStyle="1" w:styleId="Default">
    <w:name w:val="Default"/>
    <w:rsid w:val="00BE3BF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BE3BF9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6B7AC0"/>
    <w:rPr>
      <w:rFonts w:cs="Times New Roman"/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rsid w:val="00AF20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F20C2"/>
    <w:rPr>
      <w:rFonts w:ascii="Tahoma" w:hAnsi="Tahoma" w:cs="Tahoma"/>
      <w:sz w:val="16"/>
      <w:szCs w:val="16"/>
      <w:lang w:val="x-none" w:eastAsia="en-US"/>
    </w:rPr>
  </w:style>
  <w:style w:type="paragraph" w:styleId="ListParagraph">
    <w:name w:val="List Paragraph"/>
    <w:basedOn w:val="Normal"/>
    <w:uiPriority w:val="34"/>
    <w:qFormat/>
    <w:rsid w:val="006C5232"/>
    <w:pPr>
      <w:ind w:left="720"/>
      <w:contextualSpacing/>
    </w:pPr>
  </w:style>
  <w:style w:type="character" w:styleId="EndnoteReference">
    <w:name w:val="endnote reference"/>
    <w:basedOn w:val="DefaultParagraphFont"/>
    <w:semiHidden/>
    <w:unhideWhenUsed/>
    <w:rsid w:val="00325D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601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C501C-ABEA-4144-AC2B-41D7F765B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585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Examinations Team</vt:lpstr>
    </vt:vector>
  </TitlesOfParts>
  <Company>University of Manchester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Examinations Team</dc:title>
  <dc:creator>Jackie Ward</dc:creator>
  <cp:lastModifiedBy>ben armstrong</cp:lastModifiedBy>
  <cp:revision>3</cp:revision>
  <cp:lastPrinted>2019-07-24T21:07:00Z</cp:lastPrinted>
  <dcterms:created xsi:type="dcterms:W3CDTF">2019-07-29T14:47:00Z</dcterms:created>
  <dcterms:modified xsi:type="dcterms:W3CDTF">2019-07-29T15:39:00Z</dcterms:modified>
</cp:coreProperties>
</file>