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2295CEB" w:rsidR="000210D1" w:rsidRDefault="005C2851"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Main title: </w:t>
      </w:r>
      <w:r w:rsidR="000210D1" w:rsidRPr="001677FD">
        <w:rPr>
          <w:rFonts w:ascii="Times New Roman" w:hAnsi="Times New Roman"/>
          <w:b/>
          <w:color w:val="000000" w:themeColor="text1"/>
          <w:sz w:val="24"/>
          <w:szCs w:val="24"/>
        </w:rPr>
        <w:t>Seasonal dynamics of mortality in the United States from 1982 to 2013</w:t>
      </w:r>
    </w:p>
    <w:p w14:paraId="05291D94" w14:textId="4796AEC6" w:rsidR="005C2851" w:rsidRDefault="005C2851"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Short title: </w:t>
      </w:r>
      <w:r w:rsidRPr="001677FD">
        <w:rPr>
          <w:rFonts w:ascii="Times New Roman" w:hAnsi="Times New Roman"/>
          <w:b/>
          <w:color w:val="000000" w:themeColor="text1"/>
          <w:sz w:val="24"/>
          <w:szCs w:val="24"/>
        </w:rPr>
        <w:t xml:space="preserve">Seasonal dynamics of mortality in the </w:t>
      </w:r>
      <w:r>
        <w:rPr>
          <w:rFonts w:ascii="Times New Roman" w:hAnsi="Times New Roman"/>
          <w:b/>
          <w:color w:val="000000" w:themeColor="text1"/>
          <w:sz w:val="24"/>
          <w:szCs w:val="24"/>
        </w:rPr>
        <w:t>US</w:t>
      </w:r>
      <w:r w:rsidR="007E30DC">
        <w:rPr>
          <w:rFonts w:ascii="Times New Roman" w:hAnsi="Times New Roman"/>
          <w:b/>
          <w:color w:val="000000" w:themeColor="text1"/>
          <w:sz w:val="24"/>
          <w:szCs w:val="24"/>
        </w:rPr>
        <w:t xml:space="preserve"> from 1982 to 2013</w:t>
      </w:r>
    </w:p>
    <w:p w14:paraId="4E3F7259" w14:textId="7A10933D"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04E8ADF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r w:rsidR="001D0F84">
        <w:rPr>
          <w:rFonts w:ascii="Times New Roman" w:hAnsi="Times New Roman"/>
          <w:color w:val="000000" w:themeColor="text1"/>
          <w:sz w:val="24"/>
          <w:szCs w:val="24"/>
        </w:rPr>
        <w:t>, W2 1PG</w:t>
      </w:r>
    </w:p>
    <w:p w14:paraId="2DC243DD" w14:textId="673FE5E3"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r w:rsidR="00B461EC">
        <w:rPr>
          <w:rFonts w:ascii="Times New Roman" w:hAnsi="Times New Roman"/>
          <w:color w:val="000000" w:themeColor="text1"/>
          <w:sz w:val="24"/>
          <w:szCs w:val="24"/>
        </w:rPr>
        <w:t>, W2 1PG</w:t>
      </w:r>
    </w:p>
    <w:p w14:paraId="10B23175" w14:textId="0A00D24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r w:rsidR="00AF552B">
        <w:rPr>
          <w:rFonts w:ascii="Times New Roman" w:hAnsi="Times New Roman"/>
          <w:color w:val="000000" w:themeColor="text1"/>
          <w:sz w:val="24"/>
          <w:szCs w:val="24"/>
        </w:rPr>
        <w:t>, W2 1PG</w:t>
      </w:r>
    </w:p>
    <w:p w14:paraId="1F200383" w14:textId="20D2FACF"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00A43C02">
        <w:rPr>
          <w:rFonts w:ascii="Times New Roman" w:hAnsi="Times New Roman"/>
          <w:color w:val="000000" w:themeColor="text1"/>
          <w:sz w:val="24"/>
          <w:szCs w:val="24"/>
        </w:rPr>
        <w:t xml:space="preserve">, </w:t>
      </w:r>
      <w:r w:rsidR="00A43C02" w:rsidRPr="00A43C02">
        <w:rPr>
          <w:rFonts w:ascii="Times New Roman" w:hAnsi="Times New Roman"/>
          <w:color w:val="000000" w:themeColor="text1"/>
          <w:sz w:val="24"/>
          <w:szCs w:val="24"/>
        </w:rPr>
        <w:t>WA 98121</w:t>
      </w:r>
    </w:p>
    <w:p w14:paraId="015BDC3A" w14:textId="3C1C551E" w:rsidR="00C57CDC" w:rsidRDefault="000210D1" w:rsidP="00A53CD7">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00A53CD7">
        <w:rPr>
          <w:rFonts w:ascii="Times New Roman" w:hAnsi="Times New Roman"/>
          <w:color w:val="000000" w:themeColor="text1"/>
          <w:sz w:val="24"/>
          <w:szCs w:val="24"/>
        </w:rPr>
        <w:t xml:space="preserve">, </w:t>
      </w:r>
      <w:r w:rsidR="00A53CD7" w:rsidRPr="00A53CD7">
        <w:rPr>
          <w:rFonts w:ascii="Times New Roman" w:hAnsi="Times New Roman"/>
          <w:color w:val="000000" w:themeColor="text1"/>
          <w:sz w:val="24"/>
          <w:szCs w:val="24"/>
        </w:rPr>
        <w:t>W7 2AZ</w:t>
      </w:r>
    </w:p>
    <w:p w14:paraId="4D8E15DD" w14:textId="77777777" w:rsidR="004873B6" w:rsidRDefault="004873B6" w:rsidP="00A53CD7">
      <w:pPr>
        <w:spacing w:after="0" w:line="480" w:lineRule="auto"/>
        <w:jc w:val="both"/>
        <w:rPr>
          <w:rFonts w:ascii="Times New Roman" w:hAnsi="Times New Roman"/>
          <w:color w:val="000000" w:themeColor="text1"/>
          <w:sz w:val="24"/>
          <w:szCs w:val="24"/>
        </w:rPr>
      </w:pPr>
    </w:p>
    <w:p w14:paraId="0AC26D98" w14:textId="57422D22" w:rsidR="00C57CDC" w:rsidRDefault="00C57CDC" w:rsidP="00C57CDC">
      <w:pPr>
        <w:spacing w:after="0" w:line="480" w:lineRule="auto"/>
        <w:jc w:val="both"/>
        <w:rPr>
          <w:rFonts w:ascii="Times New Roman" w:hAnsi="Times New Roman"/>
          <w:color w:val="000000" w:themeColor="text1"/>
          <w:sz w:val="24"/>
          <w:szCs w:val="24"/>
        </w:rPr>
      </w:pPr>
      <w:r w:rsidRPr="00C57CDC">
        <w:rPr>
          <w:rFonts w:ascii="Times New Roman" w:hAnsi="Times New Roman"/>
          <w:b/>
          <w:color w:val="000000" w:themeColor="text1"/>
          <w:sz w:val="24"/>
          <w:szCs w:val="24"/>
        </w:rPr>
        <w:t>*</w:t>
      </w:r>
      <w:r>
        <w:rPr>
          <w:rFonts w:ascii="Times New Roman" w:hAnsi="Times New Roman"/>
          <w:b/>
          <w:color w:val="000000" w:themeColor="text1"/>
          <w:sz w:val="24"/>
          <w:szCs w:val="24"/>
        </w:rPr>
        <w:t xml:space="preserve">  </w:t>
      </w:r>
      <w:r w:rsidR="00320003">
        <w:rPr>
          <w:rFonts w:ascii="Times New Roman" w:hAnsi="Times New Roman"/>
          <w:color w:val="000000" w:themeColor="text1"/>
          <w:sz w:val="24"/>
          <w:szCs w:val="24"/>
        </w:rPr>
        <w:t>Corresponding author:</w:t>
      </w:r>
      <w:r w:rsidR="00320003">
        <w:rPr>
          <w:rFonts w:ascii="Times New Roman" w:hAnsi="Times New Roman"/>
          <w:color w:val="000000" w:themeColor="text1"/>
          <w:sz w:val="24"/>
          <w:szCs w:val="24"/>
        </w:rPr>
        <w:tab/>
      </w:r>
      <w:r w:rsidR="00E71D20" w:rsidRPr="00E71D20">
        <w:rPr>
          <w:rFonts w:ascii="Times New Roman" w:hAnsi="Times New Roman"/>
          <w:color w:val="000000" w:themeColor="text1"/>
          <w:sz w:val="24"/>
          <w:szCs w:val="24"/>
        </w:rPr>
        <w:t>majid.ezzati@imperial.ac.uk</w:t>
      </w:r>
    </w:p>
    <w:p w14:paraId="20CA5D2D" w14:textId="0417D540" w:rsidR="00E71D20" w:rsidRPr="00AB3E0F" w:rsidRDefault="00E71D20" w:rsidP="00E71D20">
      <w:pPr>
        <w:spacing w:after="0" w:line="48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Pr="00E71D20">
        <w:rPr>
          <w:rFonts w:ascii="Times New Roman" w:hAnsi="Times New Roman"/>
          <w:color w:val="000000" w:themeColor="text1"/>
          <w:sz w:val="24"/>
          <w:szCs w:val="24"/>
        </w:rPr>
        <w:t>+44 (0)20 7594 0767</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p>
    <w:p w14:paraId="0E654970" w14:textId="77777777" w:rsidR="00E71D20" w:rsidRDefault="00E71D20" w:rsidP="00E71D20">
      <w:pPr>
        <w:spacing w:after="0" w:line="480" w:lineRule="auto"/>
        <w:jc w:val="both"/>
        <w:outlineLvl w:val="0"/>
        <w:rPr>
          <w:rFonts w:ascii="Times New Roman" w:hAnsi="Times New Roman"/>
          <w:b/>
          <w:color w:val="000000" w:themeColor="text1"/>
          <w:sz w:val="24"/>
          <w:szCs w:val="24"/>
        </w:rPr>
      </w:pPr>
    </w:p>
    <w:p w14:paraId="5EE99706" w14:textId="4253B5EB" w:rsidR="004873B6" w:rsidRDefault="004873B6" w:rsidP="00E71D20">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Classification</w:t>
      </w:r>
    </w:p>
    <w:p w14:paraId="10A2E641" w14:textId="082EBCCB" w:rsidR="004873B6" w:rsidRPr="004873B6" w:rsidRDefault="004873B6" w:rsidP="00E71D20">
      <w:pPr>
        <w:spacing w:after="0" w:line="480" w:lineRule="auto"/>
        <w:jc w:val="both"/>
        <w:outlineLvl w:val="0"/>
        <w:rPr>
          <w:rFonts w:ascii="Times New Roman" w:hAnsi="Times New Roman"/>
          <w:color w:val="000000" w:themeColor="text1"/>
          <w:sz w:val="24"/>
          <w:szCs w:val="24"/>
        </w:rPr>
      </w:pPr>
      <w:r w:rsidRPr="004873B6">
        <w:rPr>
          <w:rFonts w:ascii="Times New Roman" w:hAnsi="Times New Roman"/>
          <w:color w:val="000000" w:themeColor="text1"/>
          <w:sz w:val="24"/>
          <w:szCs w:val="24"/>
        </w:rPr>
        <w:t>Biological Sciences:</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Medical Sciences</w:t>
      </w:r>
    </w:p>
    <w:p w14:paraId="266A6389" w14:textId="040D7019" w:rsidR="00E71D20" w:rsidRPr="007F2345" w:rsidRDefault="004873B6" w:rsidP="00E71D20">
      <w:pPr>
        <w:spacing w:after="0" w:line="480" w:lineRule="auto"/>
        <w:jc w:val="both"/>
        <w:outlineLvl w:val="0"/>
        <w:rPr>
          <w:rFonts w:ascii="Times New Roman" w:hAnsi="Times New Roman"/>
          <w:color w:val="000000" w:themeColor="text1"/>
          <w:sz w:val="24"/>
          <w:szCs w:val="24"/>
        </w:rPr>
      </w:pPr>
      <w:r w:rsidRPr="004873B6">
        <w:rPr>
          <w:rFonts w:ascii="Times New Roman" w:hAnsi="Times New Roman"/>
          <w:color w:val="000000" w:themeColor="text1"/>
          <w:sz w:val="24"/>
          <w:szCs w:val="24"/>
        </w:rPr>
        <w:t>Social Sciences</w:t>
      </w:r>
      <w:r w:rsidR="00E71D20" w:rsidRPr="004873B6">
        <w:rPr>
          <w:rFonts w:ascii="Times New Roman" w:hAnsi="Times New Roman"/>
          <w:color w:val="000000" w:themeColor="text1"/>
          <w:sz w:val="24"/>
          <w:szCs w:val="24"/>
        </w:rPr>
        <w: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E71D20">
        <w:rPr>
          <w:rFonts w:ascii="Times New Roman" w:hAnsi="Times New Roman"/>
          <w:b/>
          <w:color w:val="000000" w:themeColor="text1"/>
          <w:sz w:val="24"/>
          <w:szCs w:val="24"/>
        </w:rPr>
        <w:t xml:space="preserve"> </w:t>
      </w:r>
      <w:r w:rsidR="00E71D20">
        <w:rPr>
          <w:rFonts w:ascii="Times New Roman" w:hAnsi="Times New Roman"/>
          <w:color w:val="000000" w:themeColor="text1"/>
          <w:sz w:val="24"/>
          <w:szCs w:val="24"/>
        </w:rPr>
        <w:t>Social Sciences</w:t>
      </w:r>
    </w:p>
    <w:p w14:paraId="339F68DF" w14:textId="77777777" w:rsidR="00AB3E0F" w:rsidRPr="00AB3E0F" w:rsidRDefault="00AB3E0F" w:rsidP="00AB3E0F">
      <w:pPr>
        <w:spacing w:after="0" w:line="480" w:lineRule="auto"/>
        <w:jc w:val="both"/>
        <w:outlineLvl w:val="0"/>
        <w:rPr>
          <w:rFonts w:ascii="Times New Roman" w:hAnsi="Times New Roman"/>
          <w:color w:val="000000" w:themeColor="text1"/>
          <w:sz w:val="24"/>
          <w:szCs w:val="24"/>
        </w:rPr>
      </w:pPr>
    </w:p>
    <w:p w14:paraId="559F193F" w14:textId="77777777" w:rsidR="000171E9" w:rsidRDefault="00C57CDC" w:rsidP="00A53CD7">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Key</w:t>
      </w:r>
      <w:r w:rsidR="00AB3E0F">
        <w:rPr>
          <w:rFonts w:ascii="Times New Roman" w:hAnsi="Times New Roman"/>
          <w:b/>
          <w:color w:val="000000" w:themeColor="text1"/>
          <w:sz w:val="24"/>
          <w:szCs w:val="24"/>
        </w:rPr>
        <w:t xml:space="preserve"> words</w:t>
      </w:r>
    </w:p>
    <w:p w14:paraId="2A33804C" w14:textId="4EB16BC2" w:rsidR="000210D1" w:rsidRPr="00A679A4" w:rsidRDefault="00B86D7A" w:rsidP="00A53CD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Seasonality</w:t>
      </w:r>
      <w:r w:rsidR="000171E9">
        <w:rPr>
          <w:rFonts w:ascii="Times New Roman" w:hAnsi="Times New Roman"/>
          <w:color w:val="000000" w:themeColor="text1"/>
          <w:sz w:val="24"/>
          <w:szCs w:val="24"/>
        </w:rPr>
        <w:t>,</w:t>
      </w:r>
      <w:r w:rsidR="00325BCE">
        <w:rPr>
          <w:rFonts w:ascii="Times New Roman" w:hAnsi="Times New Roman"/>
          <w:color w:val="000000" w:themeColor="text1"/>
          <w:sz w:val="24"/>
          <w:szCs w:val="24"/>
        </w:rPr>
        <w:t xml:space="preserve"> seasonal, seasonal dynamics,</w:t>
      </w:r>
      <w:r w:rsidR="000171E9">
        <w:rPr>
          <w:rFonts w:ascii="Times New Roman" w:hAnsi="Times New Roman"/>
          <w:color w:val="000000" w:themeColor="text1"/>
          <w:sz w:val="24"/>
          <w:szCs w:val="24"/>
        </w:rPr>
        <w:t xml:space="preserve"> </w:t>
      </w:r>
      <w:r w:rsidR="006445F8">
        <w:rPr>
          <w:rFonts w:ascii="Times New Roman" w:hAnsi="Times New Roman"/>
          <w:color w:val="000000" w:themeColor="text1"/>
          <w:sz w:val="24"/>
          <w:szCs w:val="24"/>
        </w:rPr>
        <w:t>mortality</w:t>
      </w:r>
      <w:r>
        <w:rPr>
          <w:rFonts w:ascii="Times New Roman" w:hAnsi="Times New Roman"/>
          <w:color w:val="000000" w:themeColor="text1"/>
          <w:sz w:val="24"/>
          <w:szCs w:val="24"/>
        </w:rPr>
        <w:t xml:space="preserve">, </w:t>
      </w:r>
      <w:r w:rsidR="00325BCE">
        <w:rPr>
          <w:rFonts w:ascii="Times New Roman" w:hAnsi="Times New Roman"/>
          <w:color w:val="000000" w:themeColor="text1"/>
          <w:sz w:val="24"/>
          <w:szCs w:val="24"/>
        </w:rPr>
        <w:t xml:space="preserve">death rates, </w:t>
      </w:r>
      <w:r>
        <w:rPr>
          <w:rFonts w:ascii="Times New Roman" w:hAnsi="Times New Roman"/>
          <w:color w:val="000000" w:themeColor="text1"/>
          <w:sz w:val="24"/>
          <w:szCs w:val="24"/>
        </w:rPr>
        <w:t>wavelet</w:t>
      </w:r>
      <w:r w:rsidR="00357AC1">
        <w:rPr>
          <w:rFonts w:ascii="Times New Roman" w:hAnsi="Times New Roman"/>
          <w:color w:val="000000" w:themeColor="text1"/>
          <w:sz w:val="24"/>
          <w:szCs w:val="24"/>
        </w:rPr>
        <w:t xml:space="preserve"> analysis</w:t>
      </w:r>
      <w:r w:rsidR="000210D1" w:rsidRPr="001677FD">
        <w:rPr>
          <w:rFonts w:ascii="Times New Roman" w:hAnsi="Times New Roman"/>
          <w:b/>
          <w:color w:val="000000" w:themeColor="text1"/>
          <w:sz w:val="24"/>
          <w:szCs w:val="24"/>
        </w:rPr>
        <w:br w:type="page"/>
      </w:r>
    </w:p>
    <w:p w14:paraId="0D79FC31" w14:textId="312BBAD4" w:rsidR="004A5074" w:rsidRDefault="00A6117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Abstract</w:t>
      </w:r>
    </w:p>
    <w:p w14:paraId="46341449" w14:textId="442B8767" w:rsidR="00773692" w:rsidRPr="00773692" w:rsidRDefault="00773692" w:rsidP="00773692">
      <w:pPr>
        <w:spacing w:after="0" w:line="480" w:lineRule="auto"/>
        <w:jc w:val="both"/>
        <w:rPr>
          <w:rFonts w:ascii="Times New Roman" w:hAnsi="Times New Roman"/>
          <w:color w:val="000000" w:themeColor="text1"/>
          <w:sz w:val="24"/>
          <w:szCs w:val="24"/>
        </w:rPr>
      </w:pPr>
      <w:r w:rsidRPr="00773692">
        <w:rPr>
          <w:rFonts w:ascii="Times New Roman" w:hAnsi="Times New Roman"/>
          <w:color w:val="000000" w:themeColor="text1"/>
          <w:sz w:val="24"/>
          <w:szCs w:val="24"/>
        </w:rPr>
        <w:t>It has been hypothesised that a warmer world may lower winter mortality in temperate climates.</w: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 </w:instrTex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EN.CITE.DATA </w:instrText>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separate"/>
      </w:r>
      <w:r w:rsidRPr="00773692">
        <w:rPr>
          <w:rFonts w:ascii="Times New Roman" w:hAnsi="Times New Roman"/>
          <w:noProof/>
          <w:color w:val="000000" w:themeColor="text1"/>
          <w:sz w:val="24"/>
          <w:szCs w:val="24"/>
        </w:rPr>
        <w:t>(1, 2)</w:t>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t xml:space="preserve"> There is however limited data to characterise the seasonality of mortality in relation to</w:t>
      </w:r>
      <w:r w:rsidRPr="00773692" w:rsidDel="00C57E45">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age, sex, and local climate, or to understand how it has changed over time.  Here, we use geo-coded data on deaths in the USA and wavelet analytical techniques to comprehensively analyse the seasonality of mortality by age group and sex from 1982 to 2013, nationally and in subnational climatic regions. Death rates in men and women older than 45 years exhibit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 in June/July and are lowest in December/January, but the percent difference peak and minimum months shrank over time.  The findings allow identifying at-risk groups, plan responses at the present time, and envision how changes in regional climate may influence seasonal mortality. Currently, all parts of USA are similarly adapted to temperature seasonality, although impacts on mortality depend on age.</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60E525" w14:textId="78A5344F" w:rsidR="0067689E" w:rsidRPr="00BD7179" w:rsidRDefault="00DA178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Significance statement</w:t>
      </w:r>
    </w:p>
    <w:p w14:paraId="14CDB6EF" w14:textId="0CF6F6D4" w:rsidR="000210D1" w:rsidRDefault="00EE0CA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w:t>
      </w:r>
      <w:r w:rsidR="001D7BA9">
        <w:rPr>
          <w:rFonts w:ascii="Times New Roman" w:hAnsi="Times New Roman"/>
          <w:color w:val="000000" w:themeColor="text1"/>
          <w:sz w:val="24"/>
          <w:szCs w:val="24"/>
        </w:rPr>
        <w:t xml:space="preserve"> and regions</w:t>
      </w:r>
      <w:r w:rsidR="002166AE" w:rsidRPr="007E021F">
        <w:rPr>
          <w:rFonts w:ascii="Times New Roman" w:hAnsi="Times New Roman"/>
          <w:color w:val="000000" w:themeColor="text1"/>
          <w:sz w:val="24"/>
          <w:szCs w:val="24"/>
        </w:rPr>
        <w:t>,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at the present time,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E1B36AE" w14:textId="22DD13A6"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 </w:instrText>
      </w:r>
      <w:r w:rsid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EN.CITE.DATA </w:instrText>
      </w:r>
      <w:r w:rsidR="00773692">
        <w:rPr>
          <w:rFonts w:ascii="Times New Roman" w:hAnsi="Times New Roman"/>
          <w:color w:val="000000" w:themeColor="text1"/>
          <w:sz w:val="24"/>
          <w:szCs w:val="24"/>
        </w:rPr>
      </w:r>
      <w:r w:rsidR="00773692">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00773692">
        <w:rPr>
          <w:rFonts w:ascii="Times New Roman" w:hAnsi="Times New Roman"/>
          <w:noProof/>
          <w:color w:val="000000" w:themeColor="text1"/>
          <w:sz w:val="24"/>
          <w:szCs w:val="24"/>
        </w:rPr>
        <w:t>(1, 2)</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n a large country like the USA, which possesses distinct climate regions, not only do annual average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(11-13)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 (panel)</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48F0B552"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25ACBF3E"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male mortality had a statistically significant 12-month seasonality in all age groups except in ages 35-44 years, who 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54CA8A04"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In contrast, the difference between peak (summer) and minimum (winter) declined significantly in younger ages, by nearly 25 percentage points in males aged 5-14 years and 15-24-years.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123F6624"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(16)</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institutionalised 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(3, 4, 6)</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5FB58D5C"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main contribution of our study is a comprehensive analysis of seasonality over three decades in relation to age, sex, and geography. Analysing by these strata allowed us to identify distinct seasonal behaviours in relation to age and sex, including the higher summer mortality in young men which has rarely been reported,</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mortality seasonality is consistent sub-nationally in terms of both timing and magnitude. In a novel approach to mortality seasonality, we used wavelet and centre of gravity analyses, which allowed not only systematically identifying and characterising seasonality, but also examining how it changes or disappears over time. 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5FD3CABA"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(19)</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056AD7D0"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(20, 21)</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as well as the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(17, 20, 22, 23)</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043E293C"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(24)</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(4, 24, 25)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rFonts w:ascii="Times New Roman" w:hAnsi="Times New Roman"/>
          <w:sz w:val="24"/>
          <w:szCs w:val="24"/>
        </w:rPr>
      </w:pPr>
    </w:p>
    <w:p w14:paraId="0272D539" w14:textId="569C447C" w:rsidR="001C3C8D" w:rsidRPr="001677FD" w:rsidRDefault="001C3C8D" w:rsidP="001C3C8D">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r w:rsidR="00B35118">
        <w:rPr>
          <w:rFonts w:ascii="Times New Roman" w:hAnsi="Times New Roman"/>
          <w:b/>
          <w:color w:val="000000" w:themeColor="text1"/>
          <w:sz w:val="24"/>
          <w:szCs w:val="24"/>
        </w:rPr>
        <w:t xml:space="preserve"> and methods</w:t>
      </w:r>
    </w:p>
    <w:p w14:paraId="0A6AA182"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37C2BBBD" w14:textId="67AAD5E3"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(27)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(28)</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44A92561"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80BE217"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F0C2E22" w14:textId="401DB9FD" w:rsidR="001C3C8D" w:rsidRPr="001677FD" w:rsidRDefault="001C3C8D" w:rsidP="001C3C8D">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(29)</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015295EA"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84DD107"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C58DB07" w14:textId="22836995" w:rsidR="001C3C8D" w:rsidRPr="001677FD"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D85DBE1" w14:textId="77777777" w:rsidR="001C3C8D" w:rsidRPr="001677FD" w:rsidRDefault="001C3C8D" w:rsidP="001C3C8D">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73512A77"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0BD70E5F"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17CB209E" w14:textId="77777777" w:rsidR="000E3A7A" w:rsidRPr="000E3A7A" w:rsidRDefault="000210D1" w:rsidP="000E3A7A">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0E3A7A" w:rsidRPr="000E3A7A">
        <w:rPr>
          <w:noProof/>
        </w:rPr>
        <w:t>1.</w:t>
      </w:r>
      <w:r w:rsidR="000E3A7A" w:rsidRPr="000E3A7A">
        <w:rPr>
          <w:noProof/>
        </w:rPr>
        <w:tab/>
        <w:t xml:space="preserve">Langford IH &amp; Bentham G (1995) The potential effects of climate change on winter mortality in England and Wales. </w:t>
      </w:r>
      <w:r w:rsidR="000E3A7A" w:rsidRPr="000E3A7A">
        <w:rPr>
          <w:i/>
          <w:noProof/>
        </w:rPr>
        <w:t>Int J Biometeorol</w:t>
      </w:r>
      <w:r w:rsidR="000E3A7A" w:rsidRPr="000E3A7A">
        <w:rPr>
          <w:noProof/>
        </w:rPr>
        <w:t xml:space="preserve"> 38(3):141-147.</w:t>
      </w:r>
    </w:p>
    <w:p w14:paraId="64B9DC59" w14:textId="77777777" w:rsidR="000E3A7A" w:rsidRPr="000E3A7A" w:rsidRDefault="000E3A7A" w:rsidP="000E3A7A">
      <w:pPr>
        <w:pStyle w:val="EndNoteBibliography"/>
        <w:spacing w:after="0"/>
        <w:ind w:left="720" w:hanging="720"/>
        <w:rPr>
          <w:noProof/>
        </w:rPr>
      </w:pPr>
      <w:r w:rsidRPr="000E3A7A">
        <w:rPr>
          <w:noProof/>
        </w:rPr>
        <w:t>2.</w:t>
      </w:r>
      <w:r w:rsidRPr="000E3A7A">
        <w:rPr>
          <w:noProof/>
        </w:rPr>
        <w:tab/>
        <w:t xml:space="preserve">Martens WJ (1998) Climate change, thermal stress and mortality changes. </w:t>
      </w:r>
      <w:r w:rsidRPr="000E3A7A">
        <w:rPr>
          <w:i/>
          <w:noProof/>
        </w:rPr>
        <w:t>Soc Sci Med</w:t>
      </w:r>
      <w:r w:rsidRPr="000E3A7A">
        <w:rPr>
          <w:noProof/>
        </w:rPr>
        <w:t xml:space="preserve"> 46(3):331-344.</w:t>
      </w:r>
    </w:p>
    <w:p w14:paraId="3EAE95E3" w14:textId="77777777" w:rsidR="000E3A7A" w:rsidRPr="000E3A7A" w:rsidRDefault="000E3A7A" w:rsidP="000E3A7A">
      <w:pPr>
        <w:pStyle w:val="EndNoteBibliography"/>
        <w:spacing w:after="0"/>
        <w:ind w:left="720" w:hanging="720"/>
        <w:rPr>
          <w:noProof/>
        </w:rPr>
      </w:pPr>
      <w:r w:rsidRPr="000E3A7A">
        <w:rPr>
          <w:noProof/>
        </w:rPr>
        <w:t>3.</w:t>
      </w:r>
      <w:r w:rsidRPr="000E3A7A">
        <w:rPr>
          <w:noProof/>
        </w:rPr>
        <w:tab/>
        <w:t xml:space="preserve">McKee C (1989) Deaths in winter: can Britain learn from Europe? </w:t>
      </w:r>
      <w:r w:rsidRPr="000E3A7A">
        <w:rPr>
          <w:i/>
          <w:noProof/>
        </w:rPr>
        <w:t>European journal of epidemiology</w:t>
      </w:r>
      <w:r w:rsidRPr="000E3A7A">
        <w:rPr>
          <w:noProof/>
        </w:rPr>
        <w:t xml:space="preserve"> 5(2):178-182.</w:t>
      </w:r>
    </w:p>
    <w:p w14:paraId="289C4A56" w14:textId="77777777" w:rsidR="000E3A7A" w:rsidRPr="000E3A7A" w:rsidRDefault="000E3A7A" w:rsidP="000E3A7A">
      <w:pPr>
        <w:pStyle w:val="EndNoteBibliography"/>
        <w:spacing w:after="0"/>
        <w:ind w:left="720" w:hanging="720"/>
        <w:rPr>
          <w:noProof/>
        </w:rPr>
      </w:pPr>
      <w:r w:rsidRPr="000E3A7A">
        <w:rPr>
          <w:noProof/>
        </w:rPr>
        <w:t>4.</w:t>
      </w:r>
      <w:r w:rsidRPr="000E3A7A">
        <w:rPr>
          <w:noProof/>
        </w:rPr>
        <w:tab/>
        <w:t xml:space="preserve">Healy JD (2003) Excess winter mortality in Europe: a cross country analysis identifying key risk factors. </w:t>
      </w:r>
      <w:r w:rsidRPr="000E3A7A">
        <w:rPr>
          <w:i/>
          <w:noProof/>
        </w:rPr>
        <w:t>Journal of Epidemiology and Community Health</w:t>
      </w:r>
      <w:r w:rsidRPr="000E3A7A">
        <w:rPr>
          <w:noProof/>
        </w:rPr>
        <w:t xml:space="preserve"> 57(10):784-789.</w:t>
      </w:r>
    </w:p>
    <w:p w14:paraId="3B5D9906" w14:textId="77777777" w:rsidR="000E3A7A" w:rsidRPr="000E3A7A" w:rsidRDefault="000E3A7A" w:rsidP="000E3A7A">
      <w:pPr>
        <w:pStyle w:val="EndNoteBibliography"/>
        <w:spacing w:after="0"/>
        <w:ind w:left="720" w:hanging="720"/>
        <w:rPr>
          <w:noProof/>
        </w:rPr>
      </w:pPr>
      <w:r w:rsidRPr="000E3A7A">
        <w:rPr>
          <w:noProof/>
        </w:rPr>
        <w:t>5.</w:t>
      </w:r>
      <w:r w:rsidRPr="000E3A7A">
        <w:rPr>
          <w:noProof/>
        </w:rPr>
        <w:tab/>
        <w:t xml:space="preserve">Campbell A (2016) Excess winter mortality in England and Wales: 2015/16 (provisional) and 2014/15 (final). </w:t>
      </w:r>
      <w:r w:rsidRPr="000E3A7A">
        <w:rPr>
          <w:i/>
          <w:noProof/>
        </w:rPr>
        <w:t>Statistical bulletin, Office for National Statistics</w:t>
      </w:r>
      <w:r w:rsidRPr="000E3A7A">
        <w:rPr>
          <w:noProof/>
        </w:rPr>
        <w:t>.</w:t>
      </w:r>
    </w:p>
    <w:p w14:paraId="5CDB9BE1" w14:textId="77777777" w:rsidR="000E3A7A" w:rsidRPr="000E3A7A" w:rsidRDefault="000E3A7A" w:rsidP="000E3A7A">
      <w:pPr>
        <w:pStyle w:val="EndNoteBibliography"/>
        <w:spacing w:after="0"/>
        <w:ind w:left="720" w:hanging="720"/>
        <w:rPr>
          <w:noProof/>
        </w:rPr>
      </w:pPr>
      <w:r w:rsidRPr="000E3A7A">
        <w:rPr>
          <w:noProof/>
        </w:rPr>
        <w:t>6.</w:t>
      </w:r>
      <w:r w:rsidRPr="000E3A7A">
        <w:rPr>
          <w:noProof/>
        </w:rPr>
        <w:tab/>
        <w:t>Fowler T</w:t>
      </w:r>
      <w:r w:rsidRPr="000E3A7A">
        <w:rPr>
          <w:i/>
          <w:noProof/>
        </w:rPr>
        <w:t>, et al.</w:t>
      </w:r>
      <w:r w:rsidRPr="000E3A7A">
        <w:rPr>
          <w:noProof/>
        </w:rPr>
        <w:t xml:space="preserve"> (2015) Excess winter deaths in Europe: a multi-country descriptive analysis. </w:t>
      </w:r>
      <w:r w:rsidRPr="000E3A7A">
        <w:rPr>
          <w:i/>
          <w:noProof/>
        </w:rPr>
        <w:t>Eur J Public Health</w:t>
      </w:r>
      <w:r w:rsidRPr="000E3A7A">
        <w:rPr>
          <w:noProof/>
        </w:rPr>
        <w:t xml:space="preserve"> 25(2):339-345.</w:t>
      </w:r>
    </w:p>
    <w:p w14:paraId="59EE196C" w14:textId="77777777" w:rsidR="000E3A7A" w:rsidRPr="000E3A7A" w:rsidRDefault="000E3A7A" w:rsidP="000E3A7A">
      <w:pPr>
        <w:pStyle w:val="EndNoteBibliography"/>
        <w:spacing w:after="0"/>
        <w:ind w:left="720" w:hanging="720"/>
        <w:rPr>
          <w:noProof/>
        </w:rPr>
      </w:pPr>
      <w:r w:rsidRPr="000E3A7A">
        <w:rPr>
          <w:noProof/>
        </w:rPr>
        <w:t>7.</w:t>
      </w:r>
      <w:r w:rsidRPr="000E3A7A">
        <w:rPr>
          <w:noProof/>
        </w:rPr>
        <w:tab/>
        <w:t xml:space="preserve">Davis RE, Knappenberger PC, Michaels PJ, &amp; Novicoff WM (2004) Seasonality of climate-human mortality relationships in US cities and impacts of climate change. </w:t>
      </w:r>
      <w:r w:rsidRPr="000E3A7A">
        <w:rPr>
          <w:i/>
          <w:noProof/>
        </w:rPr>
        <w:t>Climate Research</w:t>
      </w:r>
      <w:r w:rsidRPr="000E3A7A">
        <w:rPr>
          <w:noProof/>
        </w:rPr>
        <w:t xml:space="preserve"> 26(1):61-76.</w:t>
      </w:r>
    </w:p>
    <w:p w14:paraId="5189175B" w14:textId="77777777" w:rsidR="000E3A7A" w:rsidRPr="000E3A7A" w:rsidRDefault="000E3A7A" w:rsidP="000E3A7A">
      <w:pPr>
        <w:pStyle w:val="EndNoteBibliography"/>
        <w:spacing w:after="0"/>
        <w:ind w:left="720" w:hanging="720"/>
        <w:rPr>
          <w:noProof/>
        </w:rPr>
      </w:pPr>
      <w:r w:rsidRPr="000E3A7A">
        <w:rPr>
          <w:noProof/>
        </w:rPr>
        <w:t>8.</w:t>
      </w:r>
      <w:r w:rsidRPr="000E3A7A">
        <w:rPr>
          <w:noProof/>
        </w:rPr>
        <w:tab/>
        <w:t xml:space="preserve">Medina-Ramon M &amp; Schwartz J (2007) Temperature, temperature extremes, and mortality: a study of acclimatisation and effect modification in 50 US cities. </w:t>
      </w:r>
      <w:r w:rsidRPr="000E3A7A">
        <w:rPr>
          <w:i/>
          <w:noProof/>
        </w:rPr>
        <w:t>Occupational and Environmental Medicine</w:t>
      </w:r>
      <w:r w:rsidRPr="000E3A7A">
        <w:rPr>
          <w:noProof/>
        </w:rPr>
        <w:t xml:space="preserve"> 64(12):827-833.</w:t>
      </w:r>
    </w:p>
    <w:p w14:paraId="0BDC8E2B" w14:textId="77777777" w:rsidR="000E3A7A" w:rsidRPr="000E3A7A" w:rsidRDefault="000E3A7A" w:rsidP="000E3A7A">
      <w:pPr>
        <w:pStyle w:val="EndNoteBibliography"/>
        <w:spacing w:after="0"/>
        <w:ind w:left="720" w:hanging="720"/>
        <w:rPr>
          <w:noProof/>
        </w:rPr>
      </w:pPr>
      <w:r w:rsidRPr="000E3A7A">
        <w:rPr>
          <w:noProof/>
        </w:rPr>
        <w:t>9.</w:t>
      </w:r>
      <w:r w:rsidRPr="000E3A7A">
        <w:rPr>
          <w:noProof/>
        </w:rPr>
        <w:tab/>
        <w:t xml:space="preserve">Kalkstein AJ (2013) Regional similarities in seasonal mortality across the United States: an examination of 28 metropolitan statistical areas. </w:t>
      </w:r>
      <w:r w:rsidRPr="000E3A7A">
        <w:rPr>
          <w:i/>
          <w:noProof/>
        </w:rPr>
        <w:t>PloS one</w:t>
      </w:r>
      <w:r w:rsidRPr="000E3A7A">
        <w:rPr>
          <w:noProof/>
        </w:rPr>
        <w:t xml:space="preserve"> 8(5):e63971.</w:t>
      </w:r>
    </w:p>
    <w:p w14:paraId="5EF4C638" w14:textId="77777777" w:rsidR="000E3A7A" w:rsidRPr="000E3A7A" w:rsidRDefault="000E3A7A" w:rsidP="000E3A7A">
      <w:pPr>
        <w:pStyle w:val="EndNoteBibliography"/>
        <w:spacing w:after="0"/>
        <w:ind w:left="720" w:hanging="720"/>
        <w:rPr>
          <w:noProof/>
        </w:rPr>
      </w:pPr>
      <w:r w:rsidRPr="000E3A7A">
        <w:rPr>
          <w:noProof/>
        </w:rPr>
        <w:t>10.</w:t>
      </w:r>
      <w:r w:rsidRPr="000E3A7A">
        <w:rPr>
          <w:noProof/>
        </w:rPr>
        <w:tab/>
        <w:t xml:space="preserve">Braga AL, Zanobetti A, &amp; Schwartz J (2001) The time course of weather-related deaths. </w:t>
      </w:r>
      <w:r w:rsidRPr="000E3A7A">
        <w:rPr>
          <w:i/>
          <w:noProof/>
        </w:rPr>
        <w:t>Epidemiology</w:t>
      </w:r>
      <w:r w:rsidRPr="000E3A7A">
        <w:rPr>
          <w:noProof/>
        </w:rPr>
        <w:t xml:space="preserve"> 12(6):662-667.</w:t>
      </w:r>
    </w:p>
    <w:p w14:paraId="22900CCF" w14:textId="77777777" w:rsidR="000E3A7A" w:rsidRPr="000E3A7A" w:rsidRDefault="000E3A7A" w:rsidP="000E3A7A">
      <w:pPr>
        <w:pStyle w:val="EndNoteBibliography"/>
        <w:spacing w:after="0"/>
        <w:ind w:left="720" w:hanging="720"/>
        <w:rPr>
          <w:noProof/>
        </w:rPr>
      </w:pPr>
      <w:r w:rsidRPr="000E3A7A">
        <w:rPr>
          <w:noProof/>
        </w:rPr>
        <w:t>11.</w:t>
      </w:r>
      <w:r w:rsidRPr="000E3A7A">
        <w:rPr>
          <w:noProof/>
        </w:rPr>
        <w:tab/>
        <w:t xml:space="preserve">Carson C, Hajat S, Armstrong B, &amp; Wilkinson P (2006) Declining vulnerability to temperature-related mortality in London over the 20th century. </w:t>
      </w:r>
      <w:r w:rsidRPr="000E3A7A">
        <w:rPr>
          <w:i/>
          <w:noProof/>
        </w:rPr>
        <w:t>American Journal of Epidemiology</w:t>
      </w:r>
      <w:r w:rsidRPr="000E3A7A">
        <w:rPr>
          <w:noProof/>
        </w:rPr>
        <w:t xml:space="preserve"> 164(1):77-84.</w:t>
      </w:r>
    </w:p>
    <w:p w14:paraId="518317B5" w14:textId="77777777" w:rsidR="000E3A7A" w:rsidRPr="000E3A7A" w:rsidRDefault="000E3A7A" w:rsidP="000E3A7A">
      <w:pPr>
        <w:pStyle w:val="EndNoteBibliography"/>
        <w:spacing w:after="0"/>
        <w:ind w:left="720" w:hanging="720"/>
        <w:rPr>
          <w:noProof/>
        </w:rPr>
      </w:pPr>
      <w:r w:rsidRPr="000E3A7A">
        <w:rPr>
          <w:noProof/>
        </w:rPr>
        <w:t>12.</w:t>
      </w:r>
      <w:r w:rsidRPr="000E3A7A">
        <w:rPr>
          <w:noProof/>
        </w:rPr>
        <w:tab/>
        <w:t xml:space="preserve">Sheridan SC, Kalkstein AJ, &amp; Kalkstein LS (2009) Trends in heat-related mortality in the United States, 1975-2004. </w:t>
      </w:r>
      <w:r w:rsidRPr="000E3A7A">
        <w:rPr>
          <w:i/>
          <w:noProof/>
        </w:rPr>
        <w:t>Natural Hazards</w:t>
      </w:r>
      <w:r w:rsidRPr="000E3A7A">
        <w:rPr>
          <w:noProof/>
        </w:rPr>
        <w:t xml:space="preserve"> 50(1):145-160.</w:t>
      </w:r>
    </w:p>
    <w:p w14:paraId="58701DED" w14:textId="77777777" w:rsidR="000E3A7A" w:rsidRPr="000E3A7A" w:rsidRDefault="000E3A7A" w:rsidP="000E3A7A">
      <w:pPr>
        <w:pStyle w:val="EndNoteBibliography"/>
        <w:spacing w:after="0"/>
        <w:ind w:left="720" w:hanging="720"/>
        <w:rPr>
          <w:noProof/>
        </w:rPr>
      </w:pPr>
      <w:r w:rsidRPr="000E3A7A">
        <w:rPr>
          <w:noProof/>
        </w:rPr>
        <w:t>13.</w:t>
      </w:r>
      <w:r w:rsidRPr="000E3A7A">
        <w:rPr>
          <w:noProof/>
        </w:rPr>
        <w:tab/>
        <w:t xml:space="preserve">Bobb JF, Peng RD, Bell ML, &amp; Dominici F (2014) Heat-related mortality and adaptation to heat in the United States. </w:t>
      </w:r>
      <w:r w:rsidRPr="000E3A7A">
        <w:rPr>
          <w:i/>
          <w:noProof/>
        </w:rPr>
        <w:t>Environ Health Perspect</w:t>
      </w:r>
      <w:r w:rsidRPr="000E3A7A">
        <w:rPr>
          <w:noProof/>
        </w:rPr>
        <w:t xml:space="preserve"> 122(8):811-816.</w:t>
      </w:r>
    </w:p>
    <w:p w14:paraId="489CCBD7" w14:textId="77777777" w:rsidR="000E3A7A" w:rsidRPr="000E3A7A" w:rsidRDefault="000E3A7A" w:rsidP="000E3A7A">
      <w:pPr>
        <w:pStyle w:val="EndNoteBibliography"/>
        <w:spacing w:after="0"/>
        <w:ind w:left="720" w:hanging="720"/>
        <w:rPr>
          <w:noProof/>
        </w:rPr>
      </w:pPr>
      <w:r w:rsidRPr="000E3A7A">
        <w:rPr>
          <w:noProof/>
        </w:rPr>
        <w:t>14.</w:t>
      </w:r>
      <w:r w:rsidRPr="000E3A7A">
        <w:rPr>
          <w:noProof/>
        </w:rPr>
        <w:tab/>
        <w:t xml:space="preserve">Moy CM, Seltzer GO, Rodbell DT, &amp; Anderson DM (2002) Variability of El Nino/Southern Oscillation activity at millennial timescales during the Holocene epoch. </w:t>
      </w:r>
      <w:r w:rsidRPr="000E3A7A">
        <w:rPr>
          <w:i/>
          <w:noProof/>
        </w:rPr>
        <w:t>Nature</w:t>
      </w:r>
      <w:r w:rsidRPr="000E3A7A">
        <w:rPr>
          <w:noProof/>
        </w:rPr>
        <w:t xml:space="preserve"> 420(6912):162-165.</w:t>
      </w:r>
    </w:p>
    <w:p w14:paraId="15516AB5" w14:textId="77777777" w:rsidR="000E3A7A" w:rsidRPr="000E3A7A" w:rsidRDefault="000E3A7A" w:rsidP="000E3A7A">
      <w:pPr>
        <w:pStyle w:val="EndNoteBibliography"/>
        <w:spacing w:after="0"/>
        <w:ind w:left="720" w:hanging="720"/>
        <w:rPr>
          <w:noProof/>
        </w:rPr>
      </w:pPr>
      <w:r w:rsidRPr="000E3A7A">
        <w:rPr>
          <w:noProof/>
        </w:rPr>
        <w:t>15.</w:t>
      </w:r>
      <w:r w:rsidRPr="000E3A7A">
        <w:rPr>
          <w:noProof/>
        </w:rPr>
        <w:tab/>
        <w:t xml:space="preserve">Grenfell B, Bjørnstad O, &amp; Kappey J (2001) Travelling waves and spatial hierarchies in measles epidemics. </w:t>
      </w:r>
      <w:r w:rsidRPr="000E3A7A">
        <w:rPr>
          <w:i/>
          <w:noProof/>
        </w:rPr>
        <w:t>Nature</w:t>
      </w:r>
      <w:r w:rsidRPr="000E3A7A">
        <w:rPr>
          <w:noProof/>
        </w:rPr>
        <w:t xml:space="preserve"> 414(6865):716-723.</w:t>
      </w:r>
    </w:p>
    <w:p w14:paraId="4FB46E1D" w14:textId="77777777" w:rsidR="000E3A7A" w:rsidRPr="000E3A7A" w:rsidRDefault="000E3A7A" w:rsidP="000E3A7A">
      <w:pPr>
        <w:pStyle w:val="EndNoteBibliography"/>
        <w:spacing w:after="0"/>
        <w:ind w:left="720" w:hanging="720"/>
        <w:rPr>
          <w:noProof/>
        </w:rPr>
      </w:pPr>
      <w:r w:rsidRPr="000E3A7A">
        <w:rPr>
          <w:noProof/>
        </w:rPr>
        <w:t>16.</w:t>
      </w:r>
      <w:r w:rsidRPr="000E3A7A">
        <w:rPr>
          <w:noProof/>
        </w:rPr>
        <w:tab/>
        <w:t>Kinney PL</w:t>
      </w:r>
      <w:r w:rsidRPr="000E3A7A">
        <w:rPr>
          <w:i/>
          <w:noProof/>
        </w:rPr>
        <w:t>, et al.</w:t>
      </w:r>
      <w:r w:rsidRPr="000E3A7A">
        <w:rPr>
          <w:noProof/>
        </w:rPr>
        <w:t xml:space="preserve"> (2015) Winter season mortality: will climate warming bring benefits? </w:t>
      </w:r>
      <w:r w:rsidRPr="000E3A7A">
        <w:rPr>
          <w:i/>
          <w:noProof/>
        </w:rPr>
        <w:t>Environmental Research Letters</w:t>
      </w:r>
      <w:r w:rsidRPr="000E3A7A">
        <w:rPr>
          <w:noProof/>
        </w:rPr>
        <w:t xml:space="preserve"> 10(6).</w:t>
      </w:r>
    </w:p>
    <w:p w14:paraId="11B7F652" w14:textId="77777777" w:rsidR="000E3A7A" w:rsidRPr="000E3A7A" w:rsidRDefault="000E3A7A" w:rsidP="000E3A7A">
      <w:pPr>
        <w:pStyle w:val="EndNoteBibliography"/>
        <w:spacing w:after="0"/>
        <w:ind w:left="720" w:hanging="720"/>
        <w:rPr>
          <w:noProof/>
        </w:rPr>
      </w:pPr>
      <w:r w:rsidRPr="000E3A7A">
        <w:rPr>
          <w:noProof/>
        </w:rPr>
        <w:t>17.</w:t>
      </w:r>
      <w:r w:rsidRPr="000E3A7A">
        <w:rPr>
          <w:noProof/>
        </w:rPr>
        <w:tab/>
        <w:t xml:space="preserve">Feinstein CA (2002) Seasonality of deaths in the US by age and cause. </w:t>
      </w:r>
      <w:r w:rsidRPr="000E3A7A">
        <w:rPr>
          <w:i/>
          <w:noProof/>
        </w:rPr>
        <w:t>Demographic Research</w:t>
      </w:r>
      <w:r w:rsidRPr="000E3A7A">
        <w:rPr>
          <w:noProof/>
        </w:rPr>
        <w:t xml:space="preserve"> 6(17):469-486.</w:t>
      </w:r>
    </w:p>
    <w:p w14:paraId="6E7EDD96" w14:textId="77777777" w:rsidR="000E3A7A" w:rsidRPr="000E3A7A" w:rsidRDefault="000E3A7A" w:rsidP="000E3A7A">
      <w:pPr>
        <w:pStyle w:val="EndNoteBibliography"/>
        <w:spacing w:after="0"/>
        <w:ind w:left="720" w:hanging="720"/>
        <w:rPr>
          <w:noProof/>
        </w:rPr>
      </w:pPr>
      <w:r w:rsidRPr="000E3A7A">
        <w:rPr>
          <w:noProof/>
        </w:rPr>
        <w:t>18.</w:t>
      </w:r>
      <w:r w:rsidRPr="000E3A7A">
        <w:rPr>
          <w:noProof/>
        </w:rPr>
        <w:tab/>
        <w:t xml:space="preserve">Mackenbach J, Kunst A, &amp; Looman C (1992) Seasonal variation in mortality in The Netherlands. </w:t>
      </w:r>
      <w:r w:rsidRPr="000E3A7A">
        <w:rPr>
          <w:i/>
          <w:noProof/>
        </w:rPr>
        <w:t>Journal of Epidemiology and Community Health</w:t>
      </w:r>
      <w:r w:rsidRPr="000E3A7A">
        <w:rPr>
          <w:noProof/>
        </w:rPr>
        <w:t xml:space="preserve"> 46(3):261-265.</w:t>
      </w:r>
    </w:p>
    <w:p w14:paraId="223EA46A" w14:textId="77777777" w:rsidR="000E3A7A" w:rsidRPr="000E3A7A" w:rsidRDefault="000E3A7A" w:rsidP="000E3A7A">
      <w:pPr>
        <w:pStyle w:val="EndNoteBibliography"/>
        <w:spacing w:after="0"/>
        <w:ind w:left="720" w:hanging="720"/>
        <w:rPr>
          <w:noProof/>
        </w:rPr>
      </w:pPr>
      <w:r w:rsidRPr="000E3A7A">
        <w:rPr>
          <w:noProof/>
        </w:rPr>
        <w:t>19.</w:t>
      </w:r>
      <w:r w:rsidRPr="000E3A7A">
        <w:rPr>
          <w:noProof/>
        </w:rPr>
        <w:tab/>
        <w:t xml:space="preserve">Rosenwaike I (1966) Seasonal variation of deaths in the United States, 1951–1960. </w:t>
      </w:r>
      <w:r w:rsidRPr="000E3A7A">
        <w:rPr>
          <w:i/>
          <w:noProof/>
        </w:rPr>
        <w:t>Journal of the American Statistical Association</w:t>
      </w:r>
      <w:r w:rsidRPr="000E3A7A">
        <w:rPr>
          <w:noProof/>
        </w:rPr>
        <w:t xml:space="preserve"> 61(315):706-719.</w:t>
      </w:r>
    </w:p>
    <w:p w14:paraId="1B06ADF6" w14:textId="77777777" w:rsidR="000E3A7A" w:rsidRPr="000E3A7A" w:rsidRDefault="000E3A7A" w:rsidP="000E3A7A">
      <w:pPr>
        <w:pStyle w:val="EndNoteBibliography"/>
        <w:spacing w:after="0"/>
        <w:ind w:left="720" w:hanging="720"/>
        <w:rPr>
          <w:noProof/>
        </w:rPr>
      </w:pPr>
      <w:r w:rsidRPr="000E3A7A">
        <w:rPr>
          <w:noProof/>
        </w:rPr>
        <w:t>20.</w:t>
      </w:r>
      <w:r w:rsidRPr="000E3A7A">
        <w:rPr>
          <w:noProof/>
        </w:rPr>
        <w:tab/>
        <w:t xml:space="preserve">National Center for Health Statistics (2012) Leading causes of death and numbers of deaths, by sex, race, and Hispanic origin: United States, 1980 and 2010. </w:t>
      </w:r>
      <w:r w:rsidRPr="000E3A7A">
        <w:rPr>
          <w:i/>
          <w:noProof/>
        </w:rPr>
        <w:t>National Center for Health Statistics (NCHS)</w:t>
      </w:r>
      <w:r w:rsidRPr="000E3A7A">
        <w:rPr>
          <w:noProof/>
        </w:rPr>
        <w:t>.</w:t>
      </w:r>
    </w:p>
    <w:p w14:paraId="101AF9EE" w14:textId="77777777" w:rsidR="000E3A7A" w:rsidRPr="000E3A7A" w:rsidRDefault="000E3A7A" w:rsidP="000E3A7A">
      <w:pPr>
        <w:pStyle w:val="EndNoteBibliography"/>
        <w:spacing w:after="0"/>
        <w:ind w:left="720" w:hanging="720"/>
        <w:rPr>
          <w:noProof/>
        </w:rPr>
      </w:pPr>
      <w:r w:rsidRPr="000E3A7A">
        <w:rPr>
          <w:noProof/>
        </w:rPr>
        <w:t>21.</w:t>
      </w:r>
      <w:r w:rsidRPr="000E3A7A">
        <w:rPr>
          <w:noProof/>
        </w:rPr>
        <w:tab/>
        <w:t xml:space="preserve">National Highway Traffic Safety Administration (2005) Trend and Pattern Analysis of Highway Crash Fatality By Month and Day. </w:t>
      </w:r>
      <w:r w:rsidRPr="000E3A7A">
        <w:rPr>
          <w:i/>
          <w:noProof/>
        </w:rPr>
        <w:t>National Center for Statistics and Analysis</w:t>
      </w:r>
      <w:r w:rsidRPr="000E3A7A">
        <w:rPr>
          <w:noProof/>
        </w:rPr>
        <w:t>.</w:t>
      </w:r>
    </w:p>
    <w:p w14:paraId="190D7F77" w14:textId="77777777" w:rsidR="000E3A7A" w:rsidRPr="000E3A7A" w:rsidRDefault="000E3A7A" w:rsidP="000E3A7A">
      <w:pPr>
        <w:pStyle w:val="EndNoteBibliography"/>
        <w:spacing w:after="0"/>
        <w:ind w:left="720" w:hanging="720"/>
        <w:rPr>
          <w:noProof/>
        </w:rPr>
      </w:pPr>
      <w:r w:rsidRPr="000E3A7A">
        <w:rPr>
          <w:noProof/>
        </w:rPr>
        <w:t>22.</w:t>
      </w:r>
      <w:r w:rsidRPr="000E3A7A">
        <w:rPr>
          <w:noProof/>
        </w:rPr>
        <w:tab/>
        <w:t xml:space="preserve">MacDorman MF &amp; Rosenberg HM (1993) Trends in infant mortality by cause of death and other characteristics, 1960-88. </w:t>
      </w:r>
      <w:r w:rsidRPr="000E3A7A">
        <w:rPr>
          <w:i/>
          <w:noProof/>
        </w:rPr>
        <w:t>Vital Health Stat 20</w:t>
      </w:r>
      <w:r w:rsidRPr="000E3A7A">
        <w:rPr>
          <w:noProof/>
        </w:rPr>
        <w:t xml:space="preserve"> (20):1-57.</w:t>
      </w:r>
    </w:p>
    <w:p w14:paraId="432D4010" w14:textId="77777777" w:rsidR="000E3A7A" w:rsidRPr="000E3A7A" w:rsidRDefault="000E3A7A" w:rsidP="000E3A7A">
      <w:pPr>
        <w:pStyle w:val="EndNoteBibliography"/>
        <w:spacing w:after="0"/>
        <w:ind w:left="720" w:hanging="720"/>
        <w:rPr>
          <w:noProof/>
        </w:rPr>
      </w:pPr>
      <w:r w:rsidRPr="000E3A7A">
        <w:rPr>
          <w:noProof/>
        </w:rPr>
        <w:t>23.</w:t>
      </w:r>
      <w:r w:rsidRPr="000E3A7A">
        <w:rPr>
          <w:noProof/>
        </w:rPr>
        <w:tab/>
        <w:t xml:space="preserve">Matthews TJ, MacDorman MF, &amp; Thoma ME (2015) Infant Mortality Statistics From the 2013 Period Linked Birth/Infant Death Data Set. </w:t>
      </w:r>
      <w:r w:rsidRPr="000E3A7A">
        <w:rPr>
          <w:i/>
          <w:noProof/>
        </w:rPr>
        <w:t>Natl Vital Stat Rep</w:t>
      </w:r>
      <w:r w:rsidRPr="000E3A7A">
        <w:rPr>
          <w:noProof/>
        </w:rPr>
        <w:t xml:space="preserve"> 64(9):1-30.</w:t>
      </w:r>
    </w:p>
    <w:p w14:paraId="1AD0CFD5" w14:textId="77777777" w:rsidR="000E3A7A" w:rsidRPr="000E3A7A" w:rsidRDefault="000E3A7A" w:rsidP="000E3A7A">
      <w:pPr>
        <w:pStyle w:val="EndNoteBibliography"/>
        <w:spacing w:after="0"/>
        <w:ind w:left="720" w:hanging="720"/>
        <w:rPr>
          <w:noProof/>
        </w:rPr>
      </w:pPr>
      <w:r w:rsidRPr="000E3A7A">
        <w:rPr>
          <w:noProof/>
        </w:rPr>
        <w:t>24.</w:t>
      </w:r>
      <w:r w:rsidRPr="000E3A7A">
        <w:rPr>
          <w:noProof/>
        </w:rPr>
        <w:tab/>
        <w:t xml:space="preserve">Public Health England (2016) The cold weather plan for England. </w:t>
      </w:r>
      <w:r w:rsidRPr="000E3A7A">
        <w:rPr>
          <w:i/>
          <w:noProof/>
        </w:rPr>
        <w:t>Public Health England</w:t>
      </w:r>
      <w:r w:rsidRPr="000E3A7A">
        <w:rPr>
          <w:noProof/>
        </w:rPr>
        <w:t>.</w:t>
      </w:r>
    </w:p>
    <w:p w14:paraId="049296E2" w14:textId="77777777" w:rsidR="000E3A7A" w:rsidRPr="000E3A7A" w:rsidRDefault="000E3A7A" w:rsidP="000E3A7A">
      <w:pPr>
        <w:pStyle w:val="EndNoteBibliography"/>
        <w:spacing w:after="0"/>
        <w:ind w:left="720" w:hanging="720"/>
        <w:rPr>
          <w:noProof/>
        </w:rPr>
      </w:pPr>
      <w:r w:rsidRPr="000E3A7A">
        <w:rPr>
          <w:noProof/>
        </w:rPr>
        <w:t>25.</w:t>
      </w:r>
      <w:r w:rsidRPr="000E3A7A">
        <w:rPr>
          <w:noProof/>
        </w:rPr>
        <w:tab/>
        <w:t xml:space="preserve">Lerchl A (1998) Changes in the seasonality of mortality in Germany from 1946 to 1995: the role of temperature. </w:t>
      </w:r>
      <w:r w:rsidRPr="000E3A7A">
        <w:rPr>
          <w:i/>
          <w:noProof/>
        </w:rPr>
        <w:t>International Journal of Biometeorology</w:t>
      </w:r>
      <w:r w:rsidRPr="000E3A7A">
        <w:rPr>
          <w:noProof/>
        </w:rPr>
        <w:t xml:space="preserve"> 42(2):84-88.</w:t>
      </w:r>
    </w:p>
    <w:p w14:paraId="1D77FD4E" w14:textId="77777777" w:rsidR="000E3A7A" w:rsidRPr="000E3A7A" w:rsidRDefault="000E3A7A" w:rsidP="000E3A7A">
      <w:pPr>
        <w:pStyle w:val="EndNoteBibliography"/>
        <w:spacing w:after="0"/>
        <w:ind w:left="720" w:hanging="720"/>
        <w:rPr>
          <w:noProof/>
        </w:rPr>
      </w:pPr>
      <w:r w:rsidRPr="000E3A7A">
        <w:rPr>
          <w:noProof/>
        </w:rPr>
        <w:t>26.</w:t>
      </w:r>
      <w:r w:rsidRPr="000E3A7A">
        <w:rPr>
          <w:noProof/>
        </w:rPr>
        <w:tab/>
        <w:t>Morris ME</w:t>
      </w:r>
      <w:r w:rsidRPr="000E3A7A">
        <w:rPr>
          <w:i/>
          <w:noProof/>
        </w:rPr>
        <w:t>, et al.</w:t>
      </w:r>
      <w:r w:rsidRPr="000E3A7A">
        <w:rPr>
          <w:noProof/>
        </w:rPr>
        <w:t xml:space="preserve"> (2013) Smart-home technologies to assist older people to live well at home. </w:t>
      </w:r>
      <w:r w:rsidRPr="000E3A7A">
        <w:rPr>
          <w:i/>
          <w:noProof/>
        </w:rPr>
        <w:t>Journal of aging science</w:t>
      </w:r>
      <w:r w:rsidRPr="000E3A7A">
        <w:rPr>
          <w:noProof/>
        </w:rPr>
        <w:t xml:space="preserve"> 1(1):1-9.</w:t>
      </w:r>
    </w:p>
    <w:p w14:paraId="1381E789" w14:textId="77777777" w:rsidR="000E3A7A" w:rsidRPr="000E3A7A" w:rsidRDefault="000E3A7A" w:rsidP="000E3A7A">
      <w:pPr>
        <w:pStyle w:val="EndNoteBibliography"/>
        <w:spacing w:after="0"/>
        <w:ind w:left="720" w:hanging="720"/>
        <w:rPr>
          <w:noProof/>
        </w:rPr>
      </w:pPr>
      <w:r w:rsidRPr="000E3A7A">
        <w:rPr>
          <w:noProof/>
        </w:rPr>
        <w:t>27.</w:t>
      </w:r>
      <w:r w:rsidRPr="000E3A7A">
        <w:rPr>
          <w:noProof/>
        </w:rPr>
        <w:tab/>
        <w:t>Ingram DD</w:t>
      </w:r>
      <w:r w:rsidRPr="000E3A7A">
        <w:rPr>
          <w:i/>
          <w:noProof/>
        </w:rPr>
        <w:t>, et al.</w:t>
      </w:r>
      <w:r w:rsidRPr="000E3A7A">
        <w:rPr>
          <w:noProof/>
        </w:rPr>
        <w:t xml:space="preserve"> (2003) United States Census 2000 population with bridged race categories. </w:t>
      </w:r>
      <w:r w:rsidRPr="000E3A7A">
        <w:rPr>
          <w:i/>
          <w:noProof/>
        </w:rPr>
        <w:t>Vital and health statistics. Series 2, Data evaluation and methods research</w:t>
      </w:r>
      <w:r w:rsidRPr="000E3A7A">
        <w:rPr>
          <w:noProof/>
        </w:rPr>
        <w:t xml:space="preserve"> (135):1-55.</w:t>
      </w:r>
    </w:p>
    <w:p w14:paraId="750CC0B9" w14:textId="77777777" w:rsidR="000E3A7A" w:rsidRPr="000E3A7A" w:rsidRDefault="000E3A7A" w:rsidP="000E3A7A">
      <w:pPr>
        <w:pStyle w:val="EndNoteBibliography"/>
        <w:spacing w:after="0"/>
        <w:ind w:left="720" w:hanging="720"/>
        <w:rPr>
          <w:noProof/>
        </w:rPr>
      </w:pPr>
      <w:r w:rsidRPr="000E3A7A">
        <w:rPr>
          <w:noProof/>
        </w:rPr>
        <w:t>28.</w:t>
      </w:r>
      <w:r w:rsidRPr="000E3A7A">
        <w:rPr>
          <w:noProof/>
        </w:rPr>
        <w:tab/>
        <w:t xml:space="preserve">Karl T &amp; Koss WJ (1984) Regional and national monthly, seasonal, and annual temperature weighted by area, 1895-1983. </w:t>
      </w:r>
      <w:r w:rsidRPr="000E3A7A">
        <w:rPr>
          <w:i/>
          <w:noProof/>
        </w:rPr>
        <w:t>National Climatic Data Center</w:t>
      </w:r>
      <w:r w:rsidRPr="000E3A7A">
        <w:rPr>
          <w:noProof/>
        </w:rPr>
        <w:t>.</w:t>
      </w:r>
    </w:p>
    <w:p w14:paraId="3D5301C5" w14:textId="77777777" w:rsidR="000E3A7A" w:rsidRPr="000E3A7A" w:rsidRDefault="000E3A7A" w:rsidP="000E3A7A">
      <w:pPr>
        <w:pStyle w:val="EndNoteBibliography"/>
        <w:spacing w:after="0"/>
        <w:ind w:left="720" w:hanging="720"/>
        <w:rPr>
          <w:noProof/>
        </w:rPr>
      </w:pPr>
      <w:r w:rsidRPr="000E3A7A">
        <w:rPr>
          <w:noProof/>
        </w:rPr>
        <w:t>29.</w:t>
      </w:r>
      <w:r w:rsidRPr="000E3A7A">
        <w:rPr>
          <w:noProof/>
        </w:rPr>
        <w:tab/>
        <w:t>Dee DP</w:t>
      </w:r>
      <w:r w:rsidRPr="000E3A7A">
        <w:rPr>
          <w:i/>
          <w:noProof/>
        </w:rPr>
        <w:t>, et al.</w:t>
      </w:r>
      <w:r w:rsidRPr="000E3A7A">
        <w:rPr>
          <w:noProof/>
        </w:rPr>
        <w:t xml:space="preserve"> (2011) The ERA-Interim reanalysis: configuration and performance of the data assimilation system. </w:t>
      </w:r>
      <w:r w:rsidRPr="000E3A7A">
        <w:rPr>
          <w:i/>
          <w:noProof/>
        </w:rPr>
        <w:t>Quarterly Journal of the Royal Meteorological Society</w:t>
      </w:r>
      <w:r w:rsidRPr="000E3A7A">
        <w:rPr>
          <w:noProof/>
        </w:rPr>
        <w:t xml:space="preserve"> 137(656):553-597.</w:t>
      </w:r>
    </w:p>
    <w:p w14:paraId="626C6C76" w14:textId="77777777" w:rsidR="000E3A7A" w:rsidRPr="000E3A7A" w:rsidRDefault="000E3A7A" w:rsidP="000E3A7A">
      <w:pPr>
        <w:pStyle w:val="EndNoteBibliography"/>
        <w:ind w:left="720" w:hanging="720"/>
        <w:rPr>
          <w:noProof/>
        </w:rPr>
      </w:pPr>
      <w:r w:rsidRPr="000E3A7A">
        <w:rPr>
          <w:noProof/>
        </w:rPr>
        <w:t>30.</w:t>
      </w:r>
      <w:r w:rsidRPr="000E3A7A">
        <w:rPr>
          <w:noProof/>
        </w:rPr>
        <w:tab/>
        <w:t>Cazelles B</w:t>
      </w:r>
      <w:r w:rsidRPr="000E3A7A">
        <w:rPr>
          <w:i/>
          <w:noProof/>
        </w:rPr>
        <w:t>, et al.</w:t>
      </w:r>
      <w:r w:rsidRPr="000E3A7A">
        <w:rPr>
          <w:noProof/>
        </w:rPr>
        <w:t xml:space="preserve"> (2008) Wavelet analysis of ecological time series. </w:t>
      </w:r>
      <w:r w:rsidRPr="000E3A7A">
        <w:rPr>
          <w:i/>
          <w:noProof/>
        </w:rPr>
        <w:t>Oecologia</w:t>
      </w:r>
      <w:r w:rsidRPr="000E3A7A">
        <w:rPr>
          <w:noProof/>
        </w:rPr>
        <w:t xml:space="preserve"> 156(2):287-304.</w:t>
      </w:r>
    </w:p>
    <w:p w14:paraId="538F727D" w14:textId="6EAC48A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2DB02AB6"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r>
        <w:rPr>
          <w:rFonts w:ascii="Times New Roman" w:hAnsi="Times New Roman"/>
          <w:b/>
          <w:color w:val="000000" w:themeColor="text1"/>
          <w:sz w:val="24"/>
          <w:szCs w:val="24"/>
        </w:rPr>
        <w:br w:type="page"/>
      </w:r>
    </w:p>
    <w:p w14:paraId="5C00F467" w14:textId="67F6179E"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2</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8"/>
          <w:footerReference w:type="default" r:id="rId9"/>
          <w:pgSz w:w="11900" w:h="16840"/>
          <w:pgMar w:top="1440" w:right="1440" w:bottom="1440" w:left="1440" w:header="720" w:footer="720" w:gutter="0"/>
          <w:cols w:space="720"/>
          <w:docGrid w:linePitch="360"/>
        </w:sectPr>
      </w:pPr>
    </w:p>
    <w:p w14:paraId="2BAD04A3" w14:textId="5CAEE349"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3</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bookmarkStart w:id="0" w:name="_GoBack"/>
      <w:bookmarkEnd w:id="0"/>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2F4D665A"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4</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490CFC31"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 xml:space="preserve">Figure </w:t>
      </w:r>
      <w:r w:rsidR="00040FE5">
        <w:rPr>
          <w:rFonts w:ascii="Times New Roman" w:hAnsi="Times New Roman"/>
          <w:b/>
          <w:i w:val="0"/>
          <w:color w:val="000000" w:themeColor="text1"/>
          <w:sz w:val="24"/>
          <w:szCs w:val="24"/>
        </w:rPr>
        <w:t>5</w:t>
      </w:r>
      <w:r w:rsidRPr="00CF4E04">
        <w:rPr>
          <w:rFonts w:ascii="Times New Roman" w:hAnsi="Times New Roman"/>
          <w:b/>
          <w:i w:val="0"/>
          <w:color w:val="000000" w:themeColor="text1"/>
          <w:sz w:val="24"/>
          <w:szCs w:val="24"/>
        </w:rPr>
        <w:t>.</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377CEEB6"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w:t>
      </w:r>
      <w:r w:rsidR="00B128A3">
        <w:rPr>
          <w:rFonts w:ascii="Times New Roman" w:hAnsi="Times New Roman"/>
          <w:b/>
          <w:color w:val="000000" w:themeColor="text1"/>
          <w:sz w:val="24"/>
          <w:szCs w:val="24"/>
        </w:rPr>
        <w:t xml:space="preserve"> 6</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6B85C1D4"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0C5199" w14:textId="77777777" w:rsidR="001B3247" w:rsidRDefault="001B3247">
      <w:pPr>
        <w:spacing w:after="0" w:line="240" w:lineRule="auto"/>
      </w:pPr>
      <w:r>
        <w:separator/>
      </w:r>
    </w:p>
  </w:endnote>
  <w:endnote w:type="continuationSeparator" w:id="0">
    <w:p w14:paraId="2652A295" w14:textId="77777777" w:rsidR="001B3247" w:rsidRDefault="001B3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1B3247"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B3247">
      <w:rPr>
        <w:rStyle w:val="PageNumber"/>
        <w:noProof/>
      </w:rPr>
      <w:t>1</w:t>
    </w:r>
    <w:r>
      <w:rPr>
        <w:rStyle w:val="PageNumber"/>
      </w:rPr>
      <w:fldChar w:fldCharType="end"/>
    </w:r>
  </w:p>
  <w:p w14:paraId="3F8F309C" w14:textId="77777777" w:rsidR="00710F21" w:rsidRDefault="001B3247"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589741" w14:textId="77777777" w:rsidR="001B3247" w:rsidRDefault="001B3247">
      <w:pPr>
        <w:spacing w:after="0" w:line="240" w:lineRule="auto"/>
      </w:pPr>
      <w:r>
        <w:separator/>
      </w:r>
    </w:p>
  </w:footnote>
  <w:footnote w:type="continuationSeparator" w:id="0">
    <w:p w14:paraId="41C72058" w14:textId="77777777" w:rsidR="001B3247" w:rsidRDefault="001B324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4649"/>
    <w:rsid w:val="000171E9"/>
    <w:rsid w:val="000210D1"/>
    <w:rsid w:val="0003657E"/>
    <w:rsid w:val="00040FE5"/>
    <w:rsid w:val="0004316E"/>
    <w:rsid w:val="00061E82"/>
    <w:rsid w:val="00066C53"/>
    <w:rsid w:val="000711BB"/>
    <w:rsid w:val="0008315C"/>
    <w:rsid w:val="000B0D4A"/>
    <w:rsid w:val="000B49C7"/>
    <w:rsid w:val="000B6495"/>
    <w:rsid w:val="000B7625"/>
    <w:rsid w:val="000C7277"/>
    <w:rsid w:val="000E3A7A"/>
    <w:rsid w:val="000F58BA"/>
    <w:rsid w:val="001073C5"/>
    <w:rsid w:val="00115F35"/>
    <w:rsid w:val="00131404"/>
    <w:rsid w:val="00132C6C"/>
    <w:rsid w:val="0015398F"/>
    <w:rsid w:val="00156FC7"/>
    <w:rsid w:val="00161E98"/>
    <w:rsid w:val="00180945"/>
    <w:rsid w:val="00196C4A"/>
    <w:rsid w:val="001A1F00"/>
    <w:rsid w:val="001A3870"/>
    <w:rsid w:val="001A5AD8"/>
    <w:rsid w:val="001A7900"/>
    <w:rsid w:val="001B23D1"/>
    <w:rsid w:val="001B3247"/>
    <w:rsid w:val="001C3C8D"/>
    <w:rsid w:val="001C613C"/>
    <w:rsid w:val="001D0F84"/>
    <w:rsid w:val="001D36DD"/>
    <w:rsid w:val="001D78FC"/>
    <w:rsid w:val="001D7BA9"/>
    <w:rsid w:val="001F0FFF"/>
    <w:rsid w:val="002166AE"/>
    <w:rsid w:val="00217F61"/>
    <w:rsid w:val="00220C4B"/>
    <w:rsid w:val="002231AC"/>
    <w:rsid w:val="00235CE2"/>
    <w:rsid w:val="002452E3"/>
    <w:rsid w:val="0026033D"/>
    <w:rsid w:val="00260B02"/>
    <w:rsid w:val="00271614"/>
    <w:rsid w:val="00296A5E"/>
    <w:rsid w:val="002D1F5C"/>
    <w:rsid w:val="002F4DC5"/>
    <w:rsid w:val="00306685"/>
    <w:rsid w:val="00320003"/>
    <w:rsid w:val="00325BCE"/>
    <w:rsid w:val="00341373"/>
    <w:rsid w:val="00357AC1"/>
    <w:rsid w:val="0039751B"/>
    <w:rsid w:val="003A3A3F"/>
    <w:rsid w:val="003C153C"/>
    <w:rsid w:val="003D6587"/>
    <w:rsid w:val="003F22B3"/>
    <w:rsid w:val="004018CB"/>
    <w:rsid w:val="00402D6F"/>
    <w:rsid w:val="0040449F"/>
    <w:rsid w:val="00415980"/>
    <w:rsid w:val="004243A2"/>
    <w:rsid w:val="00433EDB"/>
    <w:rsid w:val="004508FE"/>
    <w:rsid w:val="004873B6"/>
    <w:rsid w:val="004A5074"/>
    <w:rsid w:val="004A5369"/>
    <w:rsid w:val="004C3449"/>
    <w:rsid w:val="004D0817"/>
    <w:rsid w:val="004E461D"/>
    <w:rsid w:val="004E72FD"/>
    <w:rsid w:val="004F404D"/>
    <w:rsid w:val="004F60F9"/>
    <w:rsid w:val="004F7FD8"/>
    <w:rsid w:val="005028B3"/>
    <w:rsid w:val="00506AF4"/>
    <w:rsid w:val="005130C5"/>
    <w:rsid w:val="005450E2"/>
    <w:rsid w:val="00565B41"/>
    <w:rsid w:val="00593EAA"/>
    <w:rsid w:val="005B03DF"/>
    <w:rsid w:val="005B5156"/>
    <w:rsid w:val="005C2851"/>
    <w:rsid w:val="00604A42"/>
    <w:rsid w:val="006124E6"/>
    <w:rsid w:val="00617238"/>
    <w:rsid w:val="00641AF0"/>
    <w:rsid w:val="006445F8"/>
    <w:rsid w:val="00652AC7"/>
    <w:rsid w:val="00654669"/>
    <w:rsid w:val="006633AD"/>
    <w:rsid w:val="0067689E"/>
    <w:rsid w:val="006825A7"/>
    <w:rsid w:val="006934E5"/>
    <w:rsid w:val="006A5B04"/>
    <w:rsid w:val="006C50E6"/>
    <w:rsid w:val="006F382C"/>
    <w:rsid w:val="006F4CA6"/>
    <w:rsid w:val="006F59ED"/>
    <w:rsid w:val="00702978"/>
    <w:rsid w:val="00707E3F"/>
    <w:rsid w:val="00712E39"/>
    <w:rsid w:val="007471B0"/>
    <w:rsid w:val="007657EB"/>
    <w:rsid w:val="00772531"/>
    <w:rsid w:val="00773692"/>
    <w:rsid w:val="0078487A"/>
    <w:rsid w:val="00795E96"/>
    <w:rsid w:val="007B7B7F"/>
    <w:rsid w:val="007E021F"/>
    <w:rsid w:val="007E13E7"/>
    <w:rsid w:val="007E30DC"/>
    <w:rsid w:val="007F2345"/>
    <w:rsid w:val="007F2E1E"/>
    <w:rsid w:val="00800663"/>
    <w:rsid w:val="008174C7"/>
    <w:rsid w:val="00843A73"/>
    <w:rsid w:val="008A6465"/>
    <w:rsid w:val="008B7DDD"/>
    <w:rsid w:val="008C4931"/>
    <w:rsid w:val="008C4B74"/>
    <w:rsid w:val="008D7ED7"/>
    <w:rsid w:val="008F16FF"/>
    <w:rsid w:val="00911EE8"/>
    <w:rsid w:val="00925FBE"/>
    <w:rsid w:val="00932BD5"/>
    <w:rsid w:val="00935167"/>
    <w:rsid w:val="00937AF1"/>
    <w:rsid w:val="0098603C"/>
    <w:rsid w:val="009A475F"/>
    <w:rsid w:val="009B275D"/>
    <w:rsid w:val="009C4D03"/>
    <w:rsid w:val="009C5745"/>
    <w:rsid w:val="009D5647"/>
    <w:rsid w:val="009E25B4"/>
    <w:rsid w:val="009E450A"/>
    <w:rsid w:val="00A10491"/>
    <w:rsid w:val="00A252DB"/>
    <w:rsid w:val="00A25BFD"/>
    <w:rsid w:val="00A43C02"/>
    <w:rsid w:val="00A53CD7"/>
    <w:rsid w:val="00A55A47"/>
    <w:rsid w:val="00A6117A"/>
    <w:rsid w:val="00A718C6"/>
    <w:rsid w:val="00A87EFB"/>
    <w:rsid w:val="00AA1780"/>
    <w:rsid w:val="00AA5EC2"/>
    <w:rsid w:val="00AB3E0F"/>
    <w:rsid w:val="00AC3981"/>
    <w:rsid w:val="00AC6A7C"/>
    <w:rsid w:val="00AD2DD2"/>
    <w:rsid w:val="00AE56C4"/>
    <w:rsid w:val="00AF552B"/>
    <w:rsid w:val="00B11556"/>
    <w:rsid w:val="00B128A3"/>
    <w:rsid w:val="00B23634"/>
    <w:rsid w:val="00B35118"/>
    <w:rsid w:val="00B45F2D"/>
    <w:rsid w:val="00B461EC"/>
    <w:rsid w:val="00B70782"/>
    <w:rsid w:val="00B86D7A"/>
    <w:rsid w:val="00B91584"/>
    <w:rsid w:val="00BB739D"/>
    <w:rsid w:val="00BD7179"/>
    <w:rsid w:val="00BE5840"/>
    <w:rsid w:val="00BE7C5B"/>
    <w:rsid w:val="00C02149"/>
    <w:rsid w:val="00C163B5"/>
    <w:rsid w:val="00C25541"/>
    <w:rsid w:val="00C33FFB"/>
    <w:rsid w:val="00C4447B"/>
    <w:rsid w:val="00C52535"/>
    <w:rsid w:val="00C57CDC"/>
    <w:rsid w:val="00C60D59"/>
    <w:rsid w:val="00C77FA7"/>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92672"/>
    <w:rsid w:val="00D92A88"/>
    <w:rsid w:val="00DA178A"/>
    <w:rsid w:val="00DB1F30"/>
    <w:rsid w:val="00DB4B8F"/>
    <w:rsid w:val="00DC1680"/>
    <w:rsid w:val="00DC4352"/>
    <w:rsid w:val="00E03995"/>
    <w:rsid w:val="00E34FC6"/>
    <w:rsid w:val="00E42E99"/>
    <w:rsid w:val="00E62060"/>
    <w:rsid w:val="00E71D20"/>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A2809"/>
    <w:rsid w:val="00FB0F7A"/>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5060912-5E15-8848-9BA3-798FDB582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5682</Words>
  <Characters>32394</Characters>
  <Application>Microsoft Macintosh Word</Application>
  <DocSecurity>0</DocSecurity>
  <Lines>269</Lines>
  <Paragraphs>75</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Main title: Seasonal dynamics of mortality in the United States from 1982 to 201</vt:lpstr>
      <vt:lpstr>Short title: Seasonal dynamics of mortality in the US from 1982 to 2013</vt:lpstr>
      <vt:lpstr>Robbie M Parks1,2, James E Bennett1,2,3, Kyle J Foreman1,2,4, Ralf Toumi5, Majid</vt:lpstr>
      <vt:lpstr>+44 (0)20 7594 0767				</vt:lpstr>
      <vt:lpstr/>
      <vt:lpstr>Classification</vt:lpstr>
      <vt:lpstr>Biological Sciences: 		Medical Sciences</vt:lpstr>
      <vt:lpstr>Social Sciences:		 Social Sciences</vt:lpstr>
      <vt:lpstr/>
      <vt:lpstr/>
      <vt:lpstr>The main limitation of our study is that we have analysed all-cause mortality. D</vt:lpstr>
      <vt:lpstr/>
      <vt:lpstr>Our study framework and methods can also be applied to other countries with time</vt:lpstr>
      <vt:lpstr/>
      <vt:lpstr>Methods and methods</vt:lpstr>
      <vt:lpstr>Data</vt:lpstr>
      <vt:lpstr>We obtained data on temperature from ERA-Interim, which combines predictions fro</vt:lpstr>
      <vt:lpstr>Statistical methods</vt:lpstr>
      <vt:lpstr>Acknowledgments </vt:lpstr>
      <vt:lpstr>Author contributions</vt:lpstr>
      <vt:lpstr/>
      <vt:lpstr>References</vt:lpstr>
      <vt:lpstr>Figure 6. The relationship between percent difference in death rates and tempera</vt:lpstr>
      <vt:lpstr/>
      <vt:lpstr/>
    </vt:vector>
  </TitlesOfParts>
  <Company/>
  <LinksUpToDate>false</LinksUpToDate>
  <CharactersWithSpaces>38001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42</cp:revision>
  <dcterms:created xsi:type="dcterms:W3CDTF">2017-09-23T10:13:00Z</dcterms:created>
  <dcterms:modified xsi:type="dcterms:W3CDTF">2017-09-24T17:05:00Z</dcterms:modified>
</cp:coreProperties>
</file>