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293423" w:displacedByCustomXml="next"/>
    <w:bookmarkStart w:id="1" w:name="_Toc7079038" w:displacedByCustomXml="next"/>
    <w:sdt>
      <w:sdtPr>
        <w:rPr>
          <w:rFonts w:eastAsiaTheme="minorEastAsia" w:cs="Times New Roman"/>
          <w:b w:val="0"/>
          <w:sz w:val="24"/>
          <w:szCs w:val="24"/>
          <w:lang w:eastAsia="en-US"/>
        </w:rPr>
        <w:id w:val="-1652053317"/>
        <w:docPartObj>
          <w:docPartGallery w:val="Table of Contents"/>
          <w:docPartUnique/>
        </w:docPartObj>
      </w:sdtPr>
      <w:sdtEndPr>
        <w:rPr>
          <w:bCs/>
          <w:noProof/>
        </w:rPr>
      </w:sdtEndPr>
      <w:sdtContent>
        <w:p w14:paraId="53505C17" w14:textId="02D55FAD" w:rsidR="00E14922" w:rsidRDefault="00E14922" w:rsidP="00E14922">
          <w:pPr>
            <w:pStyle w:val="Heading1"/>
            <w:numPr>
              <w:ilvl w:val="0"/>
              <w:numId w:val="0"/>
            </w:numPr>
          </w:pPr>
          <w:r>
            <w:t>Table of Contents</w:t>
          </w:r>
          <w:bookmarkEnd w:id="0"/>
        </w:p>
        <w:p w14:paraId="2C445781" w14:textId="2EED1E7A" w:rsidR="0034749E"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293423" w:history="1">
            <w:r w:rsidR="0034749E" w:rsidRPr="00014B28">
              <w:rPr>
                <w:rStyle w:val="Hyperlink"/>
                <w:noProof/>
              </w:rPr>
              <w:t>Table of Contents</w:t>
            </w:r>
            <w:r w:rsidR="0034749E">
              <w:rPr>
                <w:noProof/>
                <w:webHidden/>
              </w:rPr>
              <w:tab/>
            </w:r>
            <w:r w:rsidR="0034749E">
              <w:rPr>
                <w:noProof/>
                <w:webHidden/>
              </w:rPr>
              <w:fldChar w:fldCharType="begin"/>
            </w:r>
            <w:r w:rsidR="0034749E">
              <w:rPr>
                <w:noProof/>
                <w:webHidden/>
              </w:rPr>
              <w:instrText xml:space="preserve"> PAGEREF _Toc8293423 \h </w:instrText>
            </w:r>
            <w:r w:rsidR="0034749E">
              <w:rPr>
                <w:noProof/>
                <w:webHidden/>
              </w:rPr>
            </w:r>
            <w:r w:rsidR="0034749E">
              <w:rPr>
                <w:noProof/>
                <w:webHidden/>
              </w:rPr>
              <w:fldChar w:fldCharType="separate"/>
            </w:r>
            <w:r w:rsidR="0034749E">
              <w:rPr>
                <w:noProof/>
                <w:webHidden/>
              </w:rPr>
              <w:t>1</w:t>
            </w:r>
            <w:r w:rsidR="0034749E">
              <w:rPr>
                <w:noProof/>
                <w:webHidden/>
              </w:rPr>
              <w:fldChar w:fldCharType="end"/>
            </w:r>
          </w:hyperlink>
        </w:p>
        <w:p w14:paraId="54DDC668" w14:textId="13BEA808" w:rsidR="0034749E" w:rsidRDefault="0034749E">
          <w:pPr>
            <w:pStyle w:val="TOC1"/>
            <w:tabs>
              <w:tab w:val="left" w:pos="480"/>
              <w:tab w:val="right" w:leader="dot" w:pos="9010"/>
            </w:tabs>
            <w:rPr>
              <w:rFonts w:cstheme="minorBidi"/>
              <w:b w:val="0"/>
              <w:bCs w:val="0"/>
              <w:i w:val="0"/>
              <w:iCs w:val="0"/>
              <w:noProof/>
              <w:lang w:eastAsia="en-US"/>
            </w:rPr>
          </w:pPr>
          <w:hyperlink w:anchor="_Toc8293424" w:history="1">
            <w:r w:rsidRPr="00014B28">
              <w:rPr>
                <w:rStyle w:val="Hyperlink"/>
                <w:noProof/>
              </w:rPr>
              <w:t>1</w:t>
            </w:r>
            <w:r>
              <w:rPr>
                <w:rFonts w:cstheme="minorBidi"/>
                <w:b w:val="0"/>
                <w:bCs w:val="0"/>
                <w:i w:val="0"/>
                <w:iCs w:val="0"/>
                <w:noProof/>
                <w:lang w:eastAsia="en-US"/>
              </w:rPr>
              <w:tab/>
            </w:r>
            <w:r w:rsidRPr="00014B28">
              <w:rPr>
                <w:rStyle w:val="Hyperlink"/>
                <w:noProof/>
              </w:rPr>
              <w:t>Background</w:t>
            </w:r>
            <w:r>
              <w:rPr>
                <w:noProof/>
                <w:webHidden/>
              </w:rPr>
              <w:tab/>
            </w:r>
            <w:r>
              <w:rPr>
                <w:noProof/>
                <w:webHidden/>
              </w:rPr>
              <w:fldChar w:fldCharType="begin"/>
            </w:r>
            <w:r>
              <w:rPr>
                <w:noProof/>
                <w:webHidden/>
              </w:rPr>
              <w:instrText xml:space="preserve"> PAGEREF _Toc8293424 \h </w:instrText>
            </w:r>
            <w:r>
              <w:rPr>
                <w:noProof/>
                <w:webHidden/>
              </w:rPr>
            </w:r>
            <w:r>
              <w:rPr>
                <w:noProof/>
                <w:webHidden/>
              </w:rPr>
              <w:fldChar w:fldCharType="separate"/>
            </w:r>
            <w:r>
              <w:rPr>
                <w:noProof/>
                <w:webHidden/>
              </w:rPr>
              <w:t>2</w:t>
            </w:r>
            <w:r>
              <w:rPr>
                <w:noProof/>
                <w:webHidden/>
              </w:rPr>
              <w:fldChar w:fldCharType="end"/>
            </w:r>
          </w:hyperlink>
        </w:p>
        <w:p w14:paraId="5B1155C0" w14:textId="1F73D41C" w:rsidR="0034749E" w:rsidRDefault="0034749E">
          <w:pPr>
            <w:pStyle w:val="TOC2"/>
            <w:tabs>
              <w:tab w:val="left" w:pos="960"/>
              <w:tab w:val="right" w:leader="dot" w:pos="9010"/>
            </w:tabs>
            <w:rPr>
              <w:rFonts w:cstheme="minorBidi"/>
              <w:b w:val="0"/>
              <w:bCs w:val="0"/>
              <w:noProof/>
              <w:sz w:val="24"/>
              <w:szCs w:val="24"/>
              <w:lang w:eastAsia="en-US"/>
            </w:rPr>
          </w:pPr>
          <w:hyperlink w:anchor="_Toc8293425" w:history="1">
            <w:r w:rsidRPr="00014B28">
              <w:rPr>
                <w:rStyle w:val="Hyperlink"/>
                <w:noProof/>
              </w:rPr>
              <w:t>1.1</w:t>
            </w:r>
            <w:r>
              <w:rPr>
                <w:rFonts w:cstheme="minorBidi"/>
                <w:b w:val="0"/>
                <w:bCs w:val="0"/>
                <w:noProof/>
                <w:sz w:val="24"/>
                <w:szCs w:val="24"/>
                <w:lang w:eastAsia="en-US"/>
              </w:rPr>
              <w:tab/>
            </w:r>
            <w:r w:rsidRPr="00014B28">
              <w:rPr>
                <w:rStyle w:val="Hyperlink"/>
                <w:noProof/>
              </w:rPr>
              <w:t>Seasonal dynamics of mortality</w:t>
            </w:r>
            <w:r>
              <w:rPr>
                <w:noProof/>
                <w:webHidden/>
              </w:rPr>
              <w:tab/>
            </w:r>
            <w:r>
              <w:rPr>
                <w:noProof/>
                <w:webHidden/>
              </w:rPr>
              <w:fldChar w:fldCharType="begin"/>
            </w:r>
            <w:r>
              <w:rPr>
                <w:noProof/>
                <w:webHidden/>
              </w:rPr>
              <w:instrText xml:space="preserve"> PAGEREF _Toc8293425 \h </w:instrText>
            </w:r>
            <w:r>
              <w:rPr>
                <w:noProof/>
                <w:webHidden/>
              </w:rPr>
            </w:r>
            <w:r>
              <w:rPr>
                <w:noProof/>
                <w:webHidden/>
              </w:rPr>
              <w:fldChar w:fldCharType="separate"/>
            </w:r>
            <w:r>
              <w:rPr>
                <w:noProof/>
                <w:webHidden/>
              </w:rPr>
              <w:t>2</w:t>
            </w:r>
            <w:r>
              <w:rPr>
                <w:noProof/>
                <w:webHidden/>
              </w:rPr>
              <w:fldChar w:fldCharType="end"/>
            </w:r>
          </w:hyperlink>
        </w:p>
        <w:p w14:paraId="43139C03" w14:textId="6750E133" w:rsidR="0034749E" w:rsidRDefault="0034749E">
          <w:pPr>
            <w:pStyle w:val="TOC2"/>
            <w:tabs>
              <w:tab w:val="left" w:pos="960"/>
              <w:tab w:val="right" w:leader="dot" w:pos="9010"/>
            </w:tabs>
            <w:rPr>
              <w:rFonts w:cstheme="minorBidi"/>
              <w:b w:val="0"/>
              <w:bCs w:val="0"/>
              <w:noProof/>
              <w:sz w:val="24"/>
              <w:szCs w:val="24"/>
              <w:lang w:eastAsia="en-US"/>
            </w:rPr>
          </w:pPr>
          <w:hyperlink w:anchor="_Toc8293426" w:history="1">
            <w:r w:rsidRPr="00014B28">
              <w:rPr>
                <w:rStyle w:val="Hyperlink"/>
                <w:noProof/>
              </w:rPr>
              <w:t>1.2</w:t>
            </w:r>
            <w:r>
              <w:rPr>
                <w:rFonts w:cstheme="minorBidi"/>
                <w:b w:val="0"/>
                <w:bCs w:val="0"/>
                <w:noProof/>
                <w:sz w:val="24"/>
                <w:szCs w:val="24"/>
                <w:lang w:eastAsia="en-US"/>
              </w:rPr>
              <w:tab/>
            </w:r>
            <w:r w:rsidRPr="00014B28">
              <w:rPr>
                <w:rStyle w:val="Hyperlink"/>
                <w:noProof/>
              </w:rPr>
              <w:t>Mortality and temperature</w:t>
            </w:r>
            <w:r>
              <w:rPr>
                <w:noProof/>
                <w:webHidden/>
              </w:rPr>
              <w:tab/>
            </w:r>
            <w:r>
              <w:rPr>
                <w:noProof/>
                <w:webHidden/>
              </w:rPr>
              <w:fldChar w:fldCharType="begin"/>
            </w:r>
            <w:r>
              <w:rPr>
                <w:noProof/>
                <w:webHidden/>
              </w:rPr>
              <w:instrText xml:space="preserve"> PAGEREF _Toc8293426 \h </w:instrText>
            </w:r>
            <w:r>
              <w:rPr>
                <w:noProof/>
                <w:webHidden/>
              </w:rPr>
            </w:r>
            <w:r>
              <w:rPr>
                <w:noProof/>
                <w:webHidden/>
              </w:rPr>
              <w:fldChar w:fldCharType="separate"/>
            </w:r>
            <w:r>
              <w:rPr>
                <w:noProof/>
                <w:webHidden/>
              </w:rPr>
              <w:t>5</w:t>
            </w:r>
            <w:r>
              <w:rPr>
                <w:noProof/>
                <w:webHidden/>
              </w:rPr>
              <w:fldChar w:fldCharType="end"/>
            </w:r>
          </w:hyperlink>
        </w:p>
        <w:p w14:paraId="62550331" w14:textId="6B197808" w:rsidR="0034749E" w:rsidRDefault="0034749E">
          <w:pPr>
            <w:pStyle w:val="TOC2"/>
            <w:tabs>
              <w:tab w:val="left" w:pos="960"/>
              <w:tab w:val="right" w:leader="dot" w:pos="9010"/>
            </w:tabs>
            <w:rPr>
              <w:rFonts w:cstheme="minorBidi"/>
              <w:b w:val="0"/>
              <w:bCs w:val="0"/>
              <w:noProof/>
              <w:sz w:val="24"/>
              <w:szCs w:val="24"/>
              <w:lang w:eastAsia="en-US"/>
            </w:rPr>
          </w:pPr>
          <w:hyperlink w:anchor="_Toc8293427" w:history="1">
            <w:r w:rsidRPr="00014B28">
              <w:rPr>
                <w:rStyle w:val="Hyperlink"/>
                <w:noProof/>
              </w:rPr>
              <w:t>1.3</w:t>
            </w:r>
            <w:r>
              <w:rPr>
                <w:rFonts w:cstheme="minorBidi"/>
                <w:b w:val="0"/>
                <w:bCs w:val="0"/>
                <w:noProof/>
                <w:sz w:val="24"/>
                <w:szCs w:val="24"/>
                <w:lang w:eastAsia="en-US"/>
              </w:rPr>
              <w:tab/>
            </w:r>
            <w:r w:rsidRPr="00014B28">
              <w:rPr>
                <w:rStyle w:val="Hyperlink"/>
                <w:noProof/>
              </w:rPr>
              <w:t>Temperature an</w:t>
            </w:r>
            <w:r w:rsidRPr="00014B28">
              <w:rPr>
                <w:rStyle w:val="Hyperlink"/>
                <w:noProof/>
              </w:rPr>
              <w:t>d</w:t>
            </w:r>
            <w:r w:rsidRPr="00014B28">
              <w:rPr>
                <w:rStyle w:val="Hyperlink"/>
                <w:noProof/>
              </w:rPr>
              <w:t xml:space="preserve"> climate change</w:t>
            </w:r>
            <w:r>
              <w:rPr>
                <w:noProof/>
                <w:webHidden/>
              </w:rPr>
              <w:tab/>
            </w:r>
            <w:r>
              <w:rPr>
                <w:noProof/>
                <w:webHidden/>
              </w:rPr>
              <w:fldChar w:fldCharType="begin"/>
            </w:r>
            <w:r>
              <w:rPr>
                <w:noProof/>
                <w:webHidden/>
              </w:rPr>
              <w:instrText xml:space="preserve"> PAGEREF _Toc8293427 \h </w:instrText>
            </w:r>
            <w:r>
              <w:rPr>
                <w:noProof/>
                <w:webHidden/>
              </w:rPr>
            </w:r>
            <w:r>
              <w:rPr>
                <w:noProof/>
                <w:webHidden/>
              </w:rPr>
              <w:fldChar w:fldCharType="separate"/>
            </w:r>
            <w:r>
              <w:rPr>
                <w:noProof/>
                <w:webHidden/>
              </w:rPr>
              <w:t>9</w:t>
            </w:r>
            <w:r>
              <w:rPr>
                <w:noProof/>
                <w:webHidden/>
              </w:rPr>
              <w:fldChar w:fldCharType="end"/>
            </w:r>
          </w:hyperlink>
        </w:p>
        <w:p w14:paraId="7268626A" w14:textId="16C9A5AE" w:rsidR="0034749E" w:rsidRDefault="0034749E">
          <w:pPr>
            <w:pStyle w:val="TOC2"/>
            <w:tabs>
              <w:tab w:val="left" w:pos="960"/>
              <w:tab w:val="right" w:leader="dot" w:pos="9010"/>
            </w:tabs>
            <w:rPr>
              <w:rFonts w:cstheme="minorBidi"/>
              <w:b w:val="0"/>
              <w:bCs w:val="0"/>
              <w:noProof/>
              <w:sz w:val="24"/>
              <w:szCs w:val="24"/>
              <w:lang w:eastAsia="en-US"/>
            </w:rPr>
          </w:pPr>
          <w:hyperlink w:anchor="_Toc8293428" w:history="1">
            <w:r w:rsidRPr="00014B28">
              <w:rPr>
                <w:rStyle w:val="Hyperlink"/>
                <w:noProof/>
              </w:rPr>
              <w:t>1.4</w:t>
            </w:r>
            <w:r>
              <w:rPr>
                <w:rFonts w:cstheme="minorBidi"/>
                <w:b w:val="0"/>
                <w:bCs w:val="0"/>
                <w:noProof/>
                <w:sz w:val="24"/>
                <w:szCs w:val="24"/>
                <w:lang w:eastAsia="en-US"/>
              </w:rPr>
              <w:tab/>
            </w:r>
            <w:r w:rsidRPr="00014B28">
              <w:rPr>
                <w:rStyle w:val="Hyperlink"/>
                <w:noProof/>
              </w:rPr>
              <w:t>Modelling methodology</w:t>
            </w:r>
            <w:r>
              <w:rPr>
                <w:noProof/>
                <w:webHidden/>
              </w:rPr>
              <w:tab/>
            </w:r>
            <w:r>
              <w:rPr>
                <w:noProof/>
                <w:webHidden/>
              </w:rPr>
              <w:fldChar w:fldCharType="begin"/>
            </w:r>
            <w:r>
              <w:rPr>
                <w:noProof/>
                <w:webHidden/>
              </w:rPr>
              <w:instrText xml:space="preserve"> PAGEREF _Toc8293428 \h </w:instrText>
            </w:r>
            <w:r>
              <w:rPr>
                <w:noProof/>
                <w:webHidden/>
              </w:rPr>
            </w:r>
            <w:r>
              <w:rPr>
                <w:noProof/>
                <w:webHidden/>
              </w:rPr>
              <w:fldChar w:fldCharType="separate"/>
            </w:r>
            <w:r>
              <w:rPr>
                <w:noProof/>
                <w:webHidden/>
              </w:rPr>
              <w:t>10</w:t>
            </w:r>
            <w:r>
              <w:rPr>
                <w:noProof/>
                <w:webHidden/>
              </w:rPr>
              <w:fldChar w:fldCharType="end"/>
            </w:r>
          </w:hyperlink>
        </w:p>
        <w:p w14:paraId="299460C3" w14:textId="0EFCED01" w:rsidR="0034749E" w:rsidRDefault="0034749E">
          <w:pPr>
            <w:pStyle w:val="TOC2"/>
            <w:tabs>
              <w:tab w:val="left" w:pos="960"/>
              <w:tab w:val="right" w:leader="dot" w:pos="9010"/>
            </w:tabs>
            <w:rPr>
              <w:rFonts w:cstheme="minorBidi"/>
              <w:b w:val="0"/>
              <w:bCs w:val="0"/>
              <w:noProof/>
              <w:sz w:val="24"/>
              <w:szCs w:val="24"/>
              <w:lang w:eastAsia="en-US"/>
            </w:rPr>
          </w:pPr>
          <w:hyperlink w:anchor="_Toc8293429" w:history="1">
            <w:r w:rsidRPr="00014B28">
              <w:rPr>
                <w:rStyle w:val="Hyperlink"/>
                <w:noProof/>
              </w:rPr>
              <w:t>1.5</w:t>
            </w:r>
            <w:r>
              <w:rPr>
                <w:rFonts w:cstheme="minorBidi"/>
                <w:b w:val="0"/>
                <w:bCs w:val="0"/>
                <w:noProof/>
                <w:sz w:val="24"/>
                <w:szCs w:val="24"/>
                <w:lang w:eastAsia="en-US"/>
              </w:rPr>
              <w:tab/>
            </w:r>
            <w:r w:rsidRPr="00014B28">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_Toc8293429 \h </w:instrText>
            </w:r>
            <w:r>
              <w:rPr>
                <w:noProof/>
                <w:webHidden/>
              </w:rPr>
            </w:r>
            <w:r>
              <w:rPr>
                <w:noProof/>
                <w:webHidden/>
              </w:rPr>
              <w:fldChar w:fldCharType="separate"/>
            </w:r>
            <w:r>
              <w:rPr>
                <w:noProof/>
                <w:webHidden/>
              </w:rPr>
              <w:t>13</w:t>
            </w:r>
            <w:r>
              <w:rPr>
                <w:noProof/>
                <w:webHidden/>
              </w:rPr>
              <w:fldChar w:fldCharType="end"/>
            </w:r>
          </w:hyperlink>
        </w:p>
        <w:p w14:paraId="3C50F42E" w14:textId="58FD5B7F" w:rsidR="0034749E" w:rsidRDefault="0034749E">
          <w:pPr>
            <w:pStyle w:val="TOC2"/>
            <w:tabs>
              <w:tab w:val="left" w:pos="960"/>
              <w:tab w:val="right" w:leader="dot" w:pos="9010"/>
            </w:tabs>
            <w:rPr>
              <w:rFonts w:cstheme="minorBidi"/>
              <w:b w:val="0"/>
              <w:bCs w:val="0"/>
              <w:noProof/>
              <w:sz w:val="24"/>
              <w:szCs w:val="24"/>
              <w:lang w:eastAsia="en-US"/>
            </w:rPr>
          </w:pPr>
          <w:hyperlink w:anchor="_Toc8293430" w:history="1">
            <w:r w:rsidRPr="00014B28">
              <w:rPr>
                <w:rStyle w:val="Hyperlink"/>
                <w:noProof/>
              </w:rPr>
              <w:t>1.6</w:t>
            </w:r>
            <w:r>
              <w:rPr>
                <w:rFonts w:cstheme="minorBidi"/>
                <w:b w:val="0"/>
                <w:bCs w:val="0"/>
                <w:noProof/>
                <w:sz w:val="24"/>
                <w:szCs w:val="24"/>
                <w:lang w:eastAsia="en-US"/>
              </w:rPr>
              <w:tab/>
            </w:r>
            <w:r w:rsidRPr="00014B28">
              <w:rPr>
                <w:rStyle w:val="Hyperlink"/>
                <w:noProof/>
              </w:rPr>
              <w:t>Summary</w:t>
            </w:r>
            <w:r>
              <w:rPr>
                <w:noProof/>
                <w:webHidden/>
              </w:rPr>
              <w:tab/>
            </w:r>
            <w:r>
              <w:rPr>
                <w:noProof/>
                <w:webHidden/>
              </w:rPr>
              <w:fldChar w:fldCharType="begin"/>
            </w:r>
            <w:r>
              <w:rPr>
                <w:noProof/>
                <w:webHidden/>
              </w:rPr>
              <w:instrText xml:space="preserve"> PAGEREF _Toc8293430 \h </w:instrText>
            </w:r>
            <w:r>
              <w:rPr>
                <w:noProof/>
                <w:webHidden/>
              </w:rPr>
            </w:r>
            <w:r>
              <w:rPr>
                <w:noProof/>
                <w:webHidden/>
              </w:rPr>
              <w:fldChar w:fldCharType="separate"/>
            </w:r>
            <w:r>
              <w:rPr>
                <w:noProof/>
                <w:webHidden/>
              </w:rPr>
              <w:t>13</w:t>
            </w:r>
            <w:r>
              <w:rPr>
                <w:noProof/>
                <w:webHidden/>
              </w:rPr>
              <w:fldChar w:fldCharType="end"/>
            </w:r>
          </w:hyperlink>
        </w:p>
        <w:p w14:paraId="08B44C4D" w14:textId="6B33A413" w:rsidR="0034749E" w:rsidRDefault="0034749E">
          <w:pPr>
            <w:pStyle w:val="TOC1"/>
            <w:tabs>
              <w:tab w:val="right" w:leader="dot" w:pos="9010"/>
            </w:tabs>
            <w:rPr>
              <w:rFonts w:cstheme="minorBidi"/>
              <w:b w:val="0"/>
              <w:bCs w:val="0"/>
              <w:i w:val="0"/>
              <w:iCs w:val="0"/>
              <w:noProof/>
              <w:lang w:eastAsia="en-US"/>
            </w:rPr>
          </w:pPr>
          <w:hyperlink w:anchor="_Toc8293431" w:history="1">
            <w:r w:rsidRPr="00014B28">
              <w:rPr>
                <w:rStyle w:val="Hyperlink"/>
                <w:noProof/>
              </w:rPr>
              <w:t>Works cited</w:t>
            </w:r>
            <w:r>
              <w:rPr>
                <w:noProof/>
                <w:webHidden/>
              </w:rPr>
              <w:tab/>
            </w:r>
            <w:r>
              <w:rPr>
                <w:noProof/>
                <w:webHidden/>
              </w:rPr>
              <w:fldChar w:fldCharType="begin"/>
            </w:r>
            <w:r>
              <w:rPr>
                <w:noProof/>
                <w:webHidden/>
              </w:rPr>
              <w:instrText xml:space="preserve"> PAGEREF _Toc8293431 \h </w:instrText>
            </w:r>
            <w:r>
              <w:rPr>
                <w:noProof/>
                <w:webHidden/>
              </w:rPr>
            </w:r>
            <w:r>
              <w:rPr>
                <w:noProof/>
                <w:webHidden/>
              </w:rPr>
              <w:fldChar w:fldCharType="separate"/>
            </w:r>
            <w:r>
              <w:rPr>
                <w:noProof/>
                <w:webHidden/>
              </w:rPr>
              <w:t>14</w:t>
            </w:r>
            <w:r>
              <w:rPr>
                <w:noProof/>
                <w:webHidden/>
              </w:rPr>
              <w:fldChar w:fldCharType="end"/>
            </w:r>
          </w:hyperlink>
        </w:p>
        <w:p w14:paraId="4CE9CF6C" w14:textId="5FA7325F" w:rsidR="00E14922" w:rsidRDefault="00E14922" w:rsidP="00E14922">
          <w:pPr>
            <w:pStyle w:val="Style1"/>
          </w:pPr>
          <w:r w:rsidRPr="00E14922">
            <w:rPr>
              <w:b/>
              <w:bCs/>
              <w:noProof/>
            </w:rPr>
            <w:fldChar w:fldCharType="end"/>
          </w:r>
        </w:p>
      </w:sdtContent>
    </w:sdt>
    <w:p w14:paraId="52D0DB32" w14:textId="77777777" w:rsidR="00B549DF" w:rsidRDefault="00B549DF">
      <w:pPr>
        <w:spacing w:after="0" w:line="240" w:lineRule="auto"/>
        <w:jc w:val="left"/>
        <w:rPr>
          <w:rFonts w:eastAsiaTheme="majorEastAsia" w:cstheme="majorBidi"/>
          <w:b/>
          <w:sz w:val="32"/>
          <w:szCs w:val="32"/>
        </w:rPr>
      </w:pPr>
      <w:r>
        <w:br w:type="page"/>
      </w:r>
    </w:p>
    <w:p w14:paraId="51041B4F" w14:textId="2D989D22" w:rsidR="00785362" w:rsidRPr="00785362" w:rsidRDefault="000858BC" w:rsidP="00785362">
      <w:pPr>
        <w:pStyle w:val="Heading1"/>
      </w:pPr>
      <w:bookmarkStart w:id="2" w:name="_Toc8293424"/>
      <w:r>
        <w:lastRenderedPageBreak/>
        <w:t>Background</w:t>
      </w:r>
      <w:bookmarkEnd w:id="1"/>
      <w:bookmarkEnd w:id="2"/>
    </w:p>
    <w:p w14:paraId="0F42D578" w14:textId="2B4197C6" w:rsidR="00954451" w:rsidRDefault="00EB4E62" w:rsidP="00D551EC">
      <w:pPr>
        <w:pStyle w:val="Heading2"/>
      </w:pPr>
      <w:bookmarkStart w:id="3" w:name="_Toc8293425"/>
      <w:r>
        <w:t>Seasonal</w:t>
      </w:r>
      <w:r w:rsidR="00D551EC">
        <w:t xml:space="preserve">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3B977D17" w14:textId="08BA74DF"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7770F6">
        <w:t>A modern</w:t>
      </w:r>
      <w:r w:rsidR="00250C08">
        <w:t xml:space="preserve"> stud</w:t>
      </w:r>
      <w:r w:rsidR="007770F6">
        <w:t>y has</w:t>
      </w:r>
      <w:r w:rsidR="006D5B32">
        <w:t xml:space="preserve"> also shown that deaths were highly seasonal in ancient Rome </w:t>
      </w:r>
      <w:r w:rsidR="006D5B32">
        <w:fldChar w:fldCharType="begin" w:fldLock="1"/>
      </w:r>
      <w:r w:rsidR="00954AFE">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Rome","type":"article-journal"},"uris":["http://www.mendeley.com/documents/?uuid=ce1f544f-ef79-45d2-b366-0f0014598119"]}],"mendeley":{"formattedCitation":"(Shaw, 2006)","plainTextFormattedCitation":"(Shaw, 2006)","previouslyFormattedCitation":"(Shaw, 2006)"},"properties":{"noteIndex":0},"schema":"https://github.com/citation-style-language/schema/raw/master/csl-citation.json"}</w:instrText>
      </w:r>
      <w:r w:rsidR="006D5B32">
        <w:fldChar w:fldCharType="separate"/>
      </w:r>
      <w:r w:rsidR="006D5B32" w:rsidRPr="006D5B32">
        <w:rPr>
          <w:noProof/>
        </w:rPr>
        <w:t>(Shaw, 2006)</w:t>
      </w:r>
      <w:r w:rsidR="006D5B32">
        <w:fldChar w:fldCharType="end"/>
      </w:r>
      <w:r w:rsidR="006D5B32">
        <w:t xml:space="preserve">. </w:t>
      </w:r>
      <w:r w:rsidR="00056E78">
        <w:t>Death rates also vary within monthly, weekly and daily scales</w:t>
      </w:r>
      <w:r w:rsidR="00B42AD4">
        <w:t xml:space="preserve"> </w:t>
      </w:r>
      <w:r w:rsidR="00B42AD4">
        <w:fldChar w:fldCharType="begin" w:fldLock="1"/>
      </w:r>
      <w:r w:rsidR="006D5B32">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mortality","type":"article-journal"},"uris":["http://www.mendeley.com/documents/?uuid=b1b8ef30-aaa4-459a-9e97-8c3e39097128"]}],"mendeley":{"formattedCitation":"(Rogot, Fabsitz, &amp; Feinleib, 1976)","plainTextFormattedCitation":"(Rogot, Fabsitz, &amp; Feinleib, 1976)","previouslyFormattedCitation":"(Rogot, Fabsitz, &amp; Feinleib, 1976)"},"properties":{"noteIndex":0},"schema":"https://github.com/citation-style-language/schema/raw/master/csl-citation.json"}</w:instrText>
      </w:r>
      <w:r w:rsidR="00B42AD4">
        <w:fldChar w:fldCharType="separate"/>
      </w:r>
      <w:r w:rsidR="00B42AD4" w:rsidRPr="00B42AD4">
        <w:rPr>
          <w:noProof/>
        </w:rPr>
        <w:t>(Rogot, Fabsitz, &amp; Feinleib, 1976)</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53140E">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2007","type":"article-journal"},"uris":["http://www.mendeley.com/documents/?uuid=d4445f2b-98e3-471e-bfbc-d68fe1f93318"]}],"mendeley":{"formattedCitation":"(Brown, Fearn, &amp; Wells, 2010; Healy, 2003; Reichert et al., 2004)","plainTextFormattedCitation":"(Brown, Fearn, &amp; Wells, 2010; Healy, 2003; Reichert et al., 2004)","previouslyFormattedCitation":"(Brown, Fearn, &amp; Wells, 2010; Healy, 2003; Reichert et al., 2004)"},"properties":{"noteIndex":0},"schema":"https://github.com/citation-style-language/schema/raw/master/csl-citation.json"}</w:instrText>
      </w:r>
      <w:r w:rsidR="00AC46FB">
        <w:fldChar w:fldCharType="separate"/>
      </w:r>
      <w:r w:rsidR="0053140E" w:rsidRPr="0053140E">
        <w:rPr>
          <w:noProof/>
        </w:rPr>
        <w:t>(Brown, Fearn, &amp; Wells, 2010; Healy, 2003; Reichert et al., 2004)</w:t>
      </w:r>
      <w:r w:rsidR="00AC46FB">
        <w:fldChar w:fldCharType="end"/>
      </w:r>
      <w:r w:rsidR="004F5E26">
        <w:t>.</w:t>
      </w:r>
      <w:r w:rsidR="00D51CB2">
        <w:t xml:space="preserve"> </w:t>
      </w:r>
      <w:r w:rsidR="00C64389">
        <w:t>This phenomenon is known as e</w:t>
      </w:r>
      <w:r w:rsidR="007E5386">
        <w:t xml:space="preserve">xcess winter </w:t>
      </w:r>
      <w:r w:rsidR="007E5386">
        <w:lastRenderedPageBreak/>
        <w:t>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 xml:space="preserve">on mortality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E3461F">
        <w:t xml:space="preserve"> </w:t>
      </w:r>
      <w:r w:rsidR="004110D5">
        <w:fldChar w:fldCharType="begin" w:fldLock="1"/>
      </w:r>
      <w:r w:rsidR="004110D5">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4110D5">
        <w:fldChar w:fldCharType="separate"/>
      </w:r>
      <w:r w:rsidR="004110D5" w:rsidRPr="00AC46FB">
        <w:rPr>
          <w:noProof/>
        </w:rPr>
        <w:t>(Healy, 2003; Reichert et al., 2004)</w:t>
      </w:r>
      <w:r w:rsidR="004110D5">
        <w:fldChar w:fldCharType="end"/>
      </w:r>
      <w:r w:rsidR="004110D5">
        <w:t>.</w:t>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may also be wrong</w:t>
      </w:r>
      <w:r w:rsidR="008733D9">
        <w:t xml:space="preserve"> for certain age group, sex and location combinations within a cause of death</w:t>
      </w:r>
      <w:r w:rsidR="00BE6523">
        <w:t xml:space="preserve"> </w:t>
      </w:r>
      <w:r w:rsidR="00BE6523">
        <w:fldChar w:fldCharType="begin" w:fldLock="1"/>
      </w:r>
      <w:r w:rsidR="00BE652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BE6523">
        <w:fldChar w:fldCharType="separate"/>
      </w:r>
      <w:r w:rsidR="00BE6523" w:rsidRPr="003306B1">
        <w:rPr>
          <w:noProof/>
        </w:rPr>
        <w:t>(Rau, 2004)</w:t>
      </w:r>
      <w:r w:rsidR="00BE6523">
        <w:fldChar w:fldCharType="end"/>
      </w:r>
      <w:r w:rsidR="008733D9">
        <w:t>.</w:t>
      </w:r>
    </w:p>
    <w:p w14:paraId="5A05B6CC" w14:textId="6159389B"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xml:space="preserve">, some have employed algebraic techniques to examine seasonal mortality by demographic, cause of death and metropolitan areas </w:t>
      </w:r>
      <w:r w:rsidR="00D252CA">
        <w:rPr>
          <w:szCs w:val="24"/>
        </w:rPr>
        <w:fldChar w:fldCharType="begin" w:fldLock="1"/>
      </w:r>
      <w:r w:rsidR="00DF6530">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death","type":"article-journal","volume":"9"},"uris":["http://www.mendeley.com/documents/?uuid=36120b87-b240-460f-aee0-df8d43bc7671"]}],"mendeley":{"formattedCitation":"(Feinstein, 2002; Kalkstein, 2013; Rogot et al., 1976; Rosenwaike, 1966; Trudeau, 1997)","plainTextFormattedCitation":"(Feinstein, 2002; Kalkstein, 2013; Rogot et al., 1976; Rosenwaike, 1966; Trudeau, 1997)","previouslyFormattedCitation":"(Feinstein, 2002; Kalkstein, 2013; Rogot et al., 1976; Rosenwaike, 1966; Trudeau, 1997)"},"properties":{"noteIndex":0},"schema":"https://github.com/citation-style-language/schema/raw/master/csl-citation.json"}</w:instrText>
      </w:r>
      <w:r w:rsidR="00D252CA">
        <w:rPr>
          <w:szCs w:val="24"/>
        </w:rPr>
        <w:fldChar w:fldCharType="separate"/>
      </w:r>
      <w:r w:rsidR="001209A6" w:rsidRPr="001209A6">
        <w:rPr>
          <w:noProof/>
          <w:szCs w:val="24"/>
        </w:rPr>
        <w:t>(Feinstein, 2002; Kalkstein, 2013; Rogot et al., 1976; Rosenwaike, 1966; Trudeau, 1997)</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 </w:t>
      </w:r>
      <w:r w:rsidR="00D252CA">
        <w:rPr>
          <w:szCs w:val="24"/>
        </w:rPr>
        <w:fldChar w:fldCharType="begin" w:fldLock="1"/>
      </w:r>
      <w:r w:rsidR="00AE07E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temperature","type":"article-journal"},"uris":["http://www.mendeley.com/documents/?uuid=93f31ff5-56fb-4ada-b4eb-67d454804a53"]}],"mendeley":{"formattedCitation":"(Gemmell, McLoone, Boddy, Dickinson, &amp; Watt, 2000; Green, Harari, &amp; Kristal-Boneh, 2007; Laake &amp; Sverre, 1996; Mackenbach, Kunst, &amp; Looman, 1992; Marti-Soler et al., 2014)","plainTextFormattedCitation":"(Gemmell, McLoone, Boddy, Dickinson, &amp; Watt, 2000; Green, Harari, &amp; Kristal-Boneh, 2007; Laake &amp; Sverre, 1996; Mackenbach, Kunst, &amp; Looman, 1992; Marti-Soler et al., 2014)","previouslyFormattedCitation":"(Gemmell, McLoone, Boddy, Dickinson, &amp; Watt, 2000; Green, Harari, &amp; Kristal-Boneh, 2007; Laake &amp; Sverre, 1996; Mackenbach, Kunst, &amp; Looman, 1992; Marti-Soler et al., 2014)"},"properties":{"noteIndex":0},"schema":"https://github.com/citation-style-language/schema/raw/master/csl-citation.json"}</w:instrText>
      </w:r>
      <w:r w:rsidR="00D252CA">
        <w:rPr>
          <w:szCs w:val="24"/>
        </w:rPr>
        <w:fldChar w:fldCharType="separate"/>
      </w:r>
      <w:r w:rsidR="00DF6530" w:rsidRPr="00DF6530">
        <w:rPr>
          <w:noProof/>
          <w:szCs w:val="24"/>
        </w:rPr>
        <w:t>(Gemmell, McLoone, Boddy, Dickinson, &amp; Watt, 2000; Green, Harari, &amp; Kristal-Boneh, 2007; Laake &amp; Sverre, 1996; Mackenbach, Kunst, &amp; Looman, 1992; Marti-Soler et al., 2014)</w:t>
      </w:r>
      <w:r w:rsidR="00D252CA">
        <w:rPr>
          <w:szCs w:val="24"/>
        </w:rPr>
        <w:fldChar w:fldCharType="end"/>
      </w:r>
      <w:r w:rsidR="00D252CA">
        <w:rPr>
          <w:szCs w:val="24"/>
        </w:rPr>
        <w:t>.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D252CA">
        <w:rPr>
          <w:szCs w:val="24"/>
        </w:rPr>
        <w:t xml:space="preserve"> </w:t>
      </w:r>
      <w:r w:rsidR="00D252CA">
        <w:rPr>
          <w:szCs w:val="24"/>
        </w:rPr>
        <w:fldChar w:fldCharType="begin" w:fldLock="1"/>
      </w:r>
      <w:r w:rsidR="00D252CA">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Japan","type":"article-journal"},"uris":["http://www.mendeley.com/documents/?uuid=9f8103aa-5c2a-4789-a81c-4a7e1c8f248c"]}],"mendeley":{"formattedCitation":"(Nakaji et al., 2004)","plainTextFormattedCitation":"(Nakaji et al., 2004)","previouslyFormattedCitation":"(Nakaji et al., 2004)"},"properties":{"noteIndex":0},"schema":"https://github.com/citation-style-language/schema/raw/master/csl-citation.json"}</w:instrText>
      </w:r>
      <w:r w:rsidR="00D252CA">
        <w:rPr>
          <w:szCs w:val="24"/>
        </w:rPr>
        <w:fldChar w:fldCharType="separate"/>
      </w:r>
      <w:r w:rsidR="00D252CA" w:rsidRPr="00DE1479">
        <w:rPr>
          <w:noProof/>
          <w:szCs w:val="24"/>
        </w:rPr>
        <w:t>(Nakaji et al., 2004)</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w:t>
      </w:r>
      <w:r w:rsidR="007258BE">
        <w:rPr>
          <w:szCs w:val="24"/>
        </w:rPr>
        <w:lastRenderedPageBreak/>
        <w:t>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3A36B7">
        <w:rPr>
          <w:szCs w:val="24"/>
        </w:rPr>
        <w:t xml:space="preserve"> </w:t>
      </w:r>
      <w:r w:rsidR="007F7162">
        <w:rPr>
          <w:szCs w:val="24"/>
        </w:rPr>
        <w:fldChar w:fldCharType="begin" w:fldLock="1"/>
      </w:r>
      <w:r w:rsidR="00BF0FB4">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Diagram","type":"book"},"uris":["http://www.mendeley.com/documents/?uuid=e0c81d53-6ad6-40c1-935d-e122c89bb8f6"]}],"mendeley":{"formattedCitation":"(Rau, Bohk-Ewald, Muszyńska, &amp; Vaupel, 2018)","plainTextFormattedCitation":"(Rau, Bohk-Ewald, Muszyńska, &amp; Vaupel, 2018)","previouslyFormattedCitation":"(Rau, Bohk-Ewald, Muszyńska, &amp; Vaupel, 2018)"},"properties":{"noteIndex":0},"schema":"https://github.com/citation-style-language/schema/raw/master/csl-citation.json"}</w:instrText>
      </w:r>
      <w:r w:rsidR="007F7162">
        <w:rPr>
          <w:szCs w:val="24"/>
        </w:rPr>
        <w:fldChar w:fldCharType="separate"/>
      </w:r>
      <w:r w:rsidR="007F7162" w:rsidRPr="007F7162">
        <w:rPr>
          <w:noProof/>
          <w:szCs w:val="24"/>
        </w:rPr>
        <w:t>(Rau, Bohk-Ewald, Muszyńska, &amp; Vaupel, 2018)</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 xml:space="preserve">weather phenomena </w:t>
      </w:r>
      <w:r w:rsidR="00D252CA" w:rsidRPr="009738D2">
        <w:rPr>
          <w:szCs w:val="24"/>
        </w:rPr>
        <w:fldChar w:fldCharType="begin" w:fldLock="1"/>
      </w:r>
      <w:r w:rsidR="00D252CA" w:rsidRPr="009738D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D252CA" w:rsidRPr="009738D2">
        <w:rPr>
          <w:szCs w:val="24"/>
        </w:rPr>
        <w:fldChar w:fldCharType="separate"/>
      </w:r>
      <w:r w:rsidR="00D252CA" w:rsidRPr="009738D2">
        <w:rPr>
          <w:noProof/>
          <w:szCs w:val="24"/>
        </w:rPr>
        <w:t>(Moy, Seltzer, Rodbell, &amp; Anderson, 2002)</w:t>
      </w:r>
      <w:r w:rsidR="00D252CA" w:rsidRPr="009738D2">
        <w:rPr>
          <w:szCs w:val="24"/>
        </w:rPr>
        <w:fldChar w:fldCharType="end"/>
      </w:r>
      <w:r w:rsidR="00D252CA" w:rsidRPr="009738D2">
        <w:rPr>
          <w:szCs w:val="24"/>
        </w:rPr>
        <w:t xml:space="preserve"> and infectious diseases </w:t>
      </w:r>
      <w:r w:rsidR="00D252CA" w:rsidRPr="009738D2">
        <w:rPr>
          <w:szCs w:val="24"/>
        </w:rPr>
        <w:fldChar w:fldCharType="begin" w:fldLock="1"/>
      </w:r>
      <w:r w:rsidR="00D252CA" w:rsidRPr="009738D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D252CA" w:rsidRPr="009738D2">
        <w:rPr>
          <w:szCs w:val="24"/>
        </w:rPr>
        <w:fldChar w:fldCharType="separate"/>
      </w:r>
      <w:r w:rsidR="00D252CA" w:rsidRPr="009738D2">
        <w:rPr>
          <w:noProof/>
          <w:szCs w:val="24"/>
        </w:rPr>
        <w:t>(Grenfell, Bjørnstad, &amp; Kappey, 2001)</w:t>
      </w:r>
      <w:r w:rsidR="00D252CA" w:rsidRPr="009738D2">
        <w:rPr>
          <w:szCs w:val="24"/>
        </w:rPr>
        <w:fldChar w:fldCharType="end"/>
      </w:r>
      <w:r w:rsidR="00D252CA">
        <w:rPr>
          <w:szCs w:val="24"/>
        </w:rPr>
        <w:t>.</w:t>
      </w:r>
      <w:r w:rsidR="007F7162">
        <w:rPr>
          <w:szCs w:val="24"/>
        </w:rPr>
        <w:t xml:space="preserve"> </w:t>
      </w:r>
    </w:p>
    <w:p w14:paraId="1C4D2CD1" w14:textId="77777777"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954AFE">
        <w:t xml:space="preserve"> </w:t>
      </w:r>
      <w:r w:rsidR="00954AFE">
        <w:fldChar w:fldCharType="begin" w:fldLock="1"/>
      </w:r>
      <w:r w:rsidR="005D644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954AFE">
        <w:fldChar w:fldCharType="separate"/>
      </w:r>
      <w:r w:rsidR="00954AFE" w:rsidRPr="00954AFE">
        <w:rPr>
          <w:noProof/>
        </w:rPr>
        <w:t>(Rau, 2004)</w:t>
      </w:r>
      <w:r w:rsidR="00954AFE">
        <w:fldChar w:fldCharType="end"/>
      </w:r>
      <w:r w:rsidR="00954AFE">
        <w:t>.</w:t>
      </w:r>
      <w:r w:rsidR="004B349C">
        <w:t xml:space="preserve"> </w:t>
      </w:r>
    </w:p>
    <w:p w14:paraId="3C5DCB89" w14:textId="5E9D2465"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w:t>
      </w:r>
      <w:r w:rsidR="00E00726">
        <w:rPr>
          <w:szCs w:val="24"/>
        </w:rPr>
        <w:lastRenderedPageBreak/>
        <w:t xml:space="preserve">year </w:t>
      </w:r>
      <w:r w:rsidR="00CC26CF">
        <w:rPr>
          <w:szCs w:val="24"/>
        </w:rPr>
        <w:t xml:space="preserve">may experience a deviation from a smooth seasonal cycle. </w:t>
      </w:r>
      <w:r w:rsidR="0045613E">
        <w:rPr>
          <w:szCs w:val="24"/>
        </w:rPr>
        <w:t>Ambient temperature is a major source of interannual variation in mortality.</w:t>
      </w:r>
    </w:p>
    <w:p w14:paraId="5227BBD6" w14:textId="5C6FA947" w:rsidR="004D76D5" w:rsidRDefault="004C7DC5" w:rsidP="002A73E8">
      <w:pPr>
        <w:pStyle w:val="Heading2"/>
      </w:pPr>
      <w:bookmarkStart w:id="4" w:name="_Toc8293426"/>
      <w:r>
        <w:t>Mortality and temperature</w:t>
      </w:r>
      <w:bookmarkEnd w:id="4"/>
    </w:p>
    <w:p w14:paraId="3F93815D" w14:textId="3E420688" w:rsidR="00020C6F" w:rsidRDefault="00505972" w:rsidP="00CA74E1">
      <w:pPr>
        <w:ind w:firstLine="720"/>
        <w:rPr>
          <w:color w:val="000000" w:themeColor="text1"/>
          <w:szCs w:val="24"/>
        </w:rPr>
      </w:pPr>
      <w:r>
        <w:rPr>
          <w:rFonts w:cs="Calibri"/>
          <w:color w:val="000000" w:themeColor="text1"/>
          <w:szCs w:val="24"/>
        </w:rPr>
        <w:t xml:space="preserve">The Intergovernmental Panel on Climate Change (IPCC) defines </w:t>
      </w:r>
      <w:r w:rsidR="00487898">
        <w:rPr>
          <w:rFonts w:cs="Calibri"/>
          <w:color w:val="000000" w:themeColor="text1"/>
          <w:szCs w:val="24"/>
        </w:rPr>
        <w:t xml:space="preserve">climate </w:t>
      </w:r>
      <w:r>
        <w:rPr>
          <w:rFonts w:cs="Calibri"/>
          <w:color w:val="000000" w:themeColor="text1"/>
          <w:szCs w:val="24"/>
        </w:rPr>
        <w:t>adap</w:t>
      </w:r>
      <w:r w:rsidR="001067A9">
        <w:rPr>
          <w:rFonts w:cs="Calibri"/>
          <w:color w:val="000000" w:themeColor="text1"/>
          <w:szCs w:val="24"/>
        </w:rPr>
        <w:t>t</w:t>
      </w:r>
      <w:r>
        <w:rPr>
          <w:rFonts w:cs="Calibri"/>
          <w:color w:val="000000" w:themeColor="text1"/>
          <w:szCs w:val="24"/>
        </w:rPr>
        <w:t xml:space="preserve">ation as </w:t>
      </w:r>
      <w:r w:rsidR="001067A9">
        <w:rPr>
          <w:rFonts w:cs="Calibri"/>
          <w:color w:val="000000" w:themeColor="text1"/>
          <w:szCs w:val="24"/>
        </w:rPr>
        <w:t>‘the process of adjustment to actual or expected climate and its effects</w:t>
      </w:r>
      <w:r w:rsidR="00840858">
        <w:rPr>
          <w:rFonts w:cs="Calibri"/>
          <w:color w:val="000000" w:themeColor="text1"/>
          <w:szCs w:val="24"/>
        </w:rPr>
        <w:t xml:space="preserve">’ </w:t>
      </w:r>
      <w:r w:rsidR="00D128B1">
        <w:rPr>
          <w:rFonts w:cs="Calibri"/>
          <w:color w:val="000000" w:themeColor="text1"/>
          <w:szCs w:val="24"/>
        </w:rPr>
        <w:fldChar w:fldCharType="begin" w:fldLock="1"/>
      </w:r>
      <w:r w:rsidR="005A60EE">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Report.","type":"book"},"uris":["http://www.mendeley.com/documents/?uuid=6e387697-b381-425b-a9ae-c542584056e4"]}],"mendeley":{"formattedCitation":"(IPCC, 2014a)","plainTextFormattedCitation":"(IPCC, 2014a)","previouslyFormattedCitation":"(IPCC, 2014a)"},"properties":{"noteIndex":0},"schema":"https://github.com/citation-style-language/schema/raw/master/csl-citation.json"}</w:instrText>
      </w:r>
      <w:r w:rsidR="00D128B1">
        <w:rPr>
          <w:rFonts w:cs="Calibri"/>
          <w:color w:val="000000" w:themeColor="text1"/>
          <w:szCs w:val="24"/>
        </w:rPr>
        <w:fldChar w:fldCharType="separate"/>
      </w:r>
      <w:r w:rsidR="00E65FE4" w:rsidRPr="00E65FE4">
        <w:rPr>
          <w:rFonts w:cs="Calibri"/>
          <w:noProof/>
          <w:color w:val="000000" w:themeColor="text1"/>
          <w:szCs w:val="24"/>
        </w:rPr>
        <w:t>(IPCC, 2014a)</w:t>
      </w:r>
      <w:r w:rsidR="00D128B1">
        <w:rPr>
          <w:rFonts w:cs="Calibri"/>
          <w:color w:val="000000" w:themeColor="text1"/>
          <w:szCs w:val="24"/>
        </w:rPr>
        <w:fldChar w:fldCharType="end"/>
      </w:r>
      <w:r w:rsidR="001067A9">
        <w:rPr>
          <w:rFonts w:cs="Calibri"/>
          <w:color w:val="000000" w:themeColor="text1"/>
          <w:szCs w:val="24"/>
        </w:rPr>
        <w:t xml:space="preserve">. </w:t>
      </w:r>
      <w:r w:rsidR="00496846">
        <w:rPr>
          <w:rFonts w:cs="Calibri"/>
          <w:color w:val="000000" w:themeColor="text1"/>
          <w:szCs w:val="24"/>
        </w:rPr>
        <w:t>Throughout history, h</w:t>
      </w:r>
      <w:r w:rsidR="00C12284">
        <w:rPr>
          <w:rFonts w:cs="Calibri"/>
          <w:color w:val="000000" w:themeColor="text1"/>
          <w:szCs w:val="24"/>
        </w:rPr>
        <w:t>umans</w:t>
      </w:r>
      <w:r w:rsidR="00D75978" w:rsidRPr="00A60C11">
        <w:rPr>
          <w:rFonts w:cs="Calibri"/>
          <w:color w:val="000000" w:themeColor="text1"/>
          <w:szCs w:val="24"/>
        </w:rPr>
        <w:t xml:space="preserve"> have</w:t>
      </w:r>
      <w:r w:rsidR="00131628">
        <w:rPr>
          <w:rFonts w:cs="Calibri"/>
          <w:color w:val="000000" w:themeColor="text1"/>
          <w:szCs w:val="24"/>
        </w:rPr>
        <w:t xml:space="preserve"> </w:t>
      </w:r>
      <w:r w:rsidR="00D75978" w:rsidRPr="00A60C11">
        <w:rPr>
          <w:rFonts w:cs="Calibri"/>
          <w:color w:val="000000" w:themeColor="text1"/>
          <w:szCs w:val="24"/>
        </w:rPr>
        <w:t xml:space="preserve">biologically and behaviourally adapted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ED057C">
        <w:rPr>
          <w:rFonts w:cs="Calibri"/>
          <w:color w:val="000000" w:themeColor="text1"/>
          <w:szCs w:val="24"/>
        </w:rPr>
        <w:t xml:space="preserve">Biologically the human body takes </w:t>
      </w:r>
      <w:r w:rsidR="00F93FF6">
        <w:rPr>
          <w:rFonts w:cs="Calibri"/>
          <w:color w:val="000000" w:themeColor="text1"/>
          <w:szCs w:val="24"/>
        </w:rPr>
        <w:t xml:space="preserve">several days to adapt to </w:t>
      </w:r>
      <w:r w:rsidR="004A5FF9">
        <w:rPr>
          <w:rFonts w:cs="Calibri"/>
          <w:color w:val="000000" w:themeColor="text1"/>
          <w:szCs w:val="24"/>
        </w:rPr>
        <w:t>ambient temperature within a narrow range</w:t>
      </w:r>
      <w:r w:rsidR="00625880">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 </w:t>
      </w:r>
      <w:r w:rsidR="007A63EE">
        <w:rPr>
          <w:color w:val="000000" w:themeColor="text1"/>
          <w:szCs w:val="24"/>
        </w:rPr>
        <w:fldChar w:fldCharType="begin" w:fldLock="1"/>
      </w:r>
      <w:r w:rsidR="00E65FE4">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mortality.","type":"article-journal"},"uris":["http://www.mendeley.com/documents/?uuid=36d833d1-1737-4ae8-8983-ce4e1c9e580d"]}],"mendeley":{"formattedCitation":"(Garcia-Herrera, Díaz, Trigo, Luterbacher, &amp; Fischer, 2010; Kaiser et al., 2007)","plainTextFormattedCitation":"(Garcia-Herrera, Díaz, Trigo, Luterbacher, &amp; Fischer, 2010; Kaiser et al., 2007)","previouslyFormattedCitation":"(Garcia-Herrera, Díaz, Trigo, Luterbacher, &amp; Fischer, 2010; Kaiser et al., 2007)"},"properties":{"noteIndex":0},"schema":"https://github.com/citation-style-language/schema/raw/master/csl-citation.json"}</w:instrText>
      </w:r>
      <w:r w:rsidR="007A63EE">
        <w:rPr>
          <w:color w:val="000000" w:themeColor="text1"/>
          <w:szCs w:val="24"/>
        </w:rPr>
        <w:fldChar w:fldCharType="separate"/>
      </w:r>
      <w:r w:rsidR="0091101F" w:rsidRPr="0091101F">
        <w:rPr>
          <w:noProof/>
          <w:color w:val="000000" w:themeColor="text1"/>
          <w:szCs w:val="24"/>
        </w:rPr>
        <w:t>(Garcia-Herrera, Díaz, Trigo, Luterbacher, &amp; Fischer, 2010; Kaiser et al., 2007)</w:t>
      </w:r>
      <w:r w:rsidR="007A63EE">
        <w:rPr>
          <w:color w:val="000000" w:themeColor="text1"/>
          <w:szCs w:val="24"/>
        </w:rPr>
        <w:fldChar w:fldCharType="end"/>
      </w:r>
      <w:r w:rsidR="007A63EE">
        <w:rPr>
          <w:color w:val="000000" w:themeColor="text1"/>
          <w:szCs w:val="24"/>
        </w:rPr>
        <w:t>.</w:t>
      </w:r>
      <w:r w:rsidR="00DF6926">
        <w:rPr>
          <w:color w:val="000000" w:themeColor="text1"/>
          <w:szCs w:val="24"/>
        </w:rPr>
        <w:t xml:space="preserve"> </w:t>
      </w:r>
      <w:r w:rsidR="00337ABD">
        <w:rPr>
          <w:color w:val="000000" w:themeColor="text1"/>
          <w:szCs w:val="24"/>
        </w:rPr>
        <w:t xml:space="preserve">In the United States, extreme heat is estimated to cause more deaths than any other weather-related hazard </w:t>
      </w:r>
      <w:r w:rsidR="00E03E8F">
        <w:rPr>
          <w:color w:val="000000" w:themeColor="text1"/>
          <w:szCs w:val="24"/>
        </w:rPr>
        <w:fldChar w:fldCharType="begin" w:fldLock="1"/>
      </w:r>
      <w:r w:rsidR="00892E9A">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States","type":"article-journal"},"uris":["http://www.mendeley.com/documents/?uuid=ece0694e-a051-4310-83ac-190dbab9283f"]}],"mendeley":{"formattedCitation":"(Borden &amp; Cutter, 2008; Department of Homeland Security, 2019)","plainTextFormattedCitation":"(Borden &amp; Cutter, 2008; Department of Homeland Security, 2019)","previouslyFormattedCitation":"(Borden &amp; Cutter, 2008; Department of Homeland Security, 2019)"},"properties":{"noteIndex":0},"schema":"https://github.com/citation-style-language/schema/raw/master/csl-citation.json"}</w:instrText>
      </w:r>
      <w:r w:rsidR="00E03E8F">
        <w:rPr>
          <w:color w:val="000000" w:themeColor="text1"/>
          <w:szCs w:val="24"/>
        </w:rPr>
        <w:fldChar w:fldCharType="separate"/>
      </w:r>
      <w:r w:rsidR="00E03E8F" w:rsidRPr="00E03E8F">
        <w:rPr>
          <w:noProof/>
          <w:color w:val="000000" w:themeColor="text1"/>
          <w:szCs w:val="24"/>
        </w:rPr>
        <w:t>(Borden &amp; Cutter, 2008; Department of Homeland Security, 2019)</w:t>
      </w:r>
      <w:r w:rsidR="00E03E8F">
        <w:rPr>
          <w:color w:val="000000" w:themeColor="text1"/>
          <w:szCs w:val="24"/>
        </w:rPr>
        <w:fldChar w:fldCharType="end"/>
      </w:r>
      <w:r w:rsidR="008911E2">
        <w:rPr>
          <w:color w:val="000000" w:themeColor="text1"/>
          <w:szCs w:val="24"/>
        </w:rPr>
        <w:t>.</w:t>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is </w:t>
      </w:r>
      <w:r w:rsidR="00337ABD" w:rsidRPr="00D94588">
        <w:rPr>
          <w:szCs w:val="24"/>
        </w:rPr>
        <w:t xml:space="preserve">not yet recognized as a natural disaster under the Sendai Framework for Disaster Risk Reduction </w:t>
      </w:r>
      <w:r w:rsidR="00337ABD" w:rsidRPr="00D94588">
        <w:rPr>
          <w:szCs w:val="24"/>
        </w:rPr>
        <w:fldChar w:fldCharType="begin" w:fldLock="1"/>
      </w:r>
      <w:r w:rsidR="00337ABD" w:rsidRPr="00D94588">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337ABD" w:rsidRPr="00D94588">
        <w:rPr>
          <w:szCs w:val="24"/>
        </w:rPr>
        <w:fldChar w:fldCharType="separate"/>
      </w:r>
      <w:r w:rsidR="00337ABD" w:rsidRPr="00D94588">
        <w:rPr>
          <w:noProof/>
          <w:szCs w:val="24"/>
        </w:rPr>
        <w:t>(UNISDR, 2015)</w:t>
      </w:r>
      <w:r w:rsidR="00337ABD" w:rsidRPr="00D94588">
        <w:rPr>
          <w:szCs w:val="24"/>
        </w:rPr>
        <w:fldChar w:fldCharType="end"/>
      </w:r>
      <w:r w:rsidR="008911E2">
        <w:rPr>
          <w:szCs w:val="24"/>
        </w:rPr>
        <w:t>,</w:t>
      </w:r>
      <w:r w:rsidR="00337ABD">
        <w:rPr>
          <w:szCs w:val="24"/>
        </w:rPr>
        <w:t xml:space="preserve"> </w:t>
      </w:r>
      <w:r w:rsidR="00651B40">
        <w:rPr>
          <w:szCs w:val="24"/>
        </w:rPr>
        <w:t>t</w:t>
      </w:r>
      <w:r w:rsidR="00337ABD">
        <w:rPr>
          <w:szCs w:val="24"/>
        </w:rPr>
        <w:t xml:space="preserve">here is a rapidly growing awareness with </w:t>
      </w:r>
      <w:r w:rsidR="00AF605E">
        <w:rPr>
          <w:color w:val="000000" w:themeColor="text1"/>
          <w:szCs w:val="24"/>
        </w:rPr>
        <w:t>t</w:t>
      </w:r>
      <w:r w:rsidR="00072CAE">
        <w:rPr>
          <w:szCs w:val="24"/>
        </w:rPr>
        <w:t xml:space="preserve">he public </w:t>
      </w:r>
      <w:r w:rsidR="00337ABD">
        <w:rPr>
          <w:szCs w:val="24"/>
        </w:rPr>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 </w:t>
      </w:r>
      <w:r w:rsidR="00DF6926">
        <w:rPr>
          <w:color w:val="000000" w:themeColor="text1"/>
          <w:szCs w:val="24"/>
        </w:rPr>
        <w:fldChar w:fldCharType="begin" w:fldLock="1"/>
      </w:r>
      <w:r w:rsidR="00E03E8F">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DF6926">
        <w:rPr>
          <w:color w:val="000000" w:themeColor="text1"/>
          <w:szCs w:val="24"/>
        </w:rPr>
        <w:fldChar w:fldCharType="separate"/>
      </w:r>
      <w:r w:rsidR="00DF6926" w:rsidRPr="00E227E6">
        <w:rPr>
          <w:noProof/>
          <w:color w:val="000000" w:themeColor="text1"/>
          <w:szCs w:val="24"/>
        </w:rPr>
        <w:t>(Kovats &amp; Hajat, 2008)</w:t>
      </w:r>
      <w:r w:rsidR="00DF6926">
        <w:rPr>
          <w:color w:val="000000" w:themeColor="text1"/>
          <w:szCs w:val="24"/>
        </w:rPr>
        <w:fldChar w:fldCharType="end"/>
      </w:r>
      <w:r w:rsidR="00DF6926">
        <w:rPr>
          <w:color w:val="000000" w:themeColor="text1"/>
          <w:szCs w:val="24"/>
        </w:rPr>
        <w:t>.</w:t>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F11926">
        <w:rPr>
          <w:color w:val="000000" w:themeColor="text1"/>
          <w:szCs w:val="24"/>
        </w:rPr>
        <w:t xml:space="preserve"> </w:t>
      </w:r>
      <w:r w:rsidR="009A4D2D">
        <w:rPr>
          <w:color w:val="000000" w:themeColor="text1"/>
          <w:szCs w:val="24"/>
        </w:rPr>
        <w:fldChar w:fldCharType="begin" w:fldLock="1"/>
      </w:r>
      <w:r w:rsidR="004A0635">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Europe","type":"article-journal","volume":"349"},"uris":["http://www.mendeley.com/documents/?uuid=f6889fcb-209f-4436-baf2-9ae3768f2d65"]}],"mendeley":{"formattedCitation":"(The Eurowinter Group, 1997)","plainTextFormattedCitation":"(The Eurowinter Group, 1997)","previouslyFormattedCitation":"(The Eurowinter Group, 1997)"},"properties":{"noteIndex":0},"schema":"https://github.com/citation-style-language/schema/raw/master/csl-citation.json"}</w:instrText>
      </w:r>
      <w:r w:rsidR="009A4D2D">
        <w:rPr>
          <w:color w:val="000000" w:themeColor="text1"/>
          <w:szCs w:val="24"/>
        </w:rPr>
        <w:fldChar w:fldCharType="separate"/>
      </w:r>
      <w:r w:rsidR="009A4D2D" w:rsidRPr="009A4D2D">
        <w:rPr>
          <w:noProof/>
          <w:color w:val="000000" w:themeColor="text1"/>
          <w:szCs w:val="24"/>
        </w:rPr>
        <w:t>(The Eurowinter Group, 1997)</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 xml:space="preserve">stronger and more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5276F5">
        <w:rPr>
          <w:rFonts w:cs="Calibri"/>
          <w:szCs w:val="24"/>
        </w:rPr>
        <w:t xml:space="preserve"> </w:t>
      </w:r>
      <w:r w:rsidR="00E65FE4">
        <w:rPr>
          <w:rFonts w:cs="Calibri"/>
          <w:szCs w:val="24"/>
        </w:rPr>
        <w:fldChar w:fldCharType="begin" w:fldLock="1"/>
      </w:r>
      <w:r w:rsidR="005A60EE">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Report","type":"book"},"uris":["http://www.mendeley.com/documents/?uuid=17cf5203-8818-4d61-96d9-3addeae2f64e"]}],"mendeley":{"formattedCitation":"(IPCC, 2014b)","plainTextFormattedCitation":"(IPCC, 2014b)","previouslyFormattedCitation":"(IPCC, 2014b)"},"properties":{"noteIndex":0},"schema":"https://github.com/citation-style-language/schema/raw/master/csl-citation.json"}</w:instrText>
      </w:r>
      <w:r w:rsidR="00E65FE4">
        <w:rPr>
          <w:rFonts w:cs="Calibri"/>
          <w:szCs w:val="24"/>
        </w:rPr>
        <w:fldChar w:fldCharType="separate"/>
      </w:r>
      <w:r w:rsidR="00E65FE4" w:rsidRPr="00E65FE4">
        <w:rPr>
          <w:rFonts w:cs="Calibri"/>
          <w:noProof/>
          <w:szCs w:val="24"/>
        </w:rPr>
        <w:t>(IPCC, 2014b)</w:t>
      </w:r>
      <w:r w:rsidR="00E65FE4">
        <w:rPr>
          <w:rFonts w:cs="Calibri"/>
          <w:szCs w:val="24"/>
        </w:rPr>
        <w:fldChar w:fldCharType="end"/>
      </w:r>
      <w:r w:rsidR="00F03415">
        <w:rPr>
          <w:color w:val="000000" w:themeColor="text1"/>
          <w:szCs w:val="24"/>
        </w:rPr>
        <w:t>.</w:t>
      </w:r>
    </w:p>
    <w:p w14:paraId="50124F24" w14:textId="02DA1F8C" w:rsidR="00CA6258" w:rsidRDefault="001C274A" w:rsidP="00CF1882">
      <w:pPr>
        <w:ind w:firstLine="720"/>
        <w:rPr>
          <w:szCs w:val="24"/>
        </w:rPr>
      </w:pPr>
      <w:r>
        <w:rPr>
          <w:color w:val="000000" w:themeColor="text1"/>
          <w:szCs w:val="24"/>
        </w:rPr>
        <w:lastRenderedPageBreak/>
        <w:t xml:space="preserve">The effect of elevated temperature on </w:t>
      </w:r>
      <w:r w:rsidR="006E1AD9">
        <w:rPr>
          <w:color w:val="000000" w:themeColor="text1"/>
          <w:szCs w:val="24"/>
        </w:rPr>
        <w:t>humans is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 </w:t>
      </w:r>
      <w:r w:rsidR="005A60EE">
        <w:rPr>
          <w:szCs w:val="24"/>
        </w:rPr>
        <w:fldChar w:fldCharType="begin" w:fldLock="1"/>
      </w:r>
      <w:r w:rsidR="00AB1419">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5A60EE">
        <w:rPr>
          <w:szCs w:val="24"/>
        </w:rPr>
        <w:fldChar w:fldCharType="separate"/>
      </w:r>
      <w:r w:rsidR="005A60EE" w:rsidRPr="005A60EE">
        <w:rPr>
          <w:noProof/>
          <w:szCs w:val="24"/>
        </w:rPr>
        <w:t>(Kovats &amp; Hajat, 2008)</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heat syncope and heat cramps can </w:t>
      </w:r>
      <w:r w:rsidR="00C3100A" w:rsidRPr="00A60C11">
        <w:rPr>
          <w:szCs w:val="24"/>
        </w:rPr>
        <w:t>arise</w:t>
      </w:r>
      <w:r w:rsidR="00AB1419">
        <w:rPr>
          <w:szCs w:val="24"/>
        </w:rPr>
        <w:t xml:space="preserve"> </w:t>
      </w:r>
      <w:r w:rsidR="00AB1419">
        <w:rPr>
          <w:szCs w:val="24"/>
        </w:rPr>
        <w:fldChar w:fldCharType="begin" w:fldLock="1"/>
      </w:r>
      <w:r w:rsidR="002D3397">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disasters","id":"ITEM-1","issued":{"date-parts":[["1997"]]},"title":"Heat Waves and Hot Environments","type":"article-journal"},"uris":["http://www.mendeley.com/documents/?uuid=2426471c-f6c2-47fa-84a5-ff9983ed4241"]}],"mendeley":{"formattedCitation":"(Kilbourne, 1997)","plainTextFormattedCitation":"(Kilbourne, 1997)","previouslyFormattedCitation":"(Kilbourne, 1997)"},"properties":{"noteIndex":0},"schema":"https://github.com/citation-style-language/schema/raw/master/csl-citation.json"}</w:instrText>
      </w:r>
      <w:r w:rsidR="00AB1419">
        <w:rPr>
          <w:szCs w:val="24"/>
        </w:rPr>
        <w:fldChar w:fldCharType="separate"/>
      </w:r>
      <w:r w:rsidR="00AB1419" w:rsidRPr="00AB1419">
        <w:rPr>
          <w:noProof/>
          <w:szCs w:val="24"/>
        </w:rPr>
        <w:t>(Kilbourne, 1997)</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 </w:t>
      </w:r>
      <w:r w:rsidR="00C3100A" w:rsidRPr="00A60C11">
        <w:rPr>
          <w:szCs w:val="24"/>
        </w:rPr>
        <w:fldChar w:fldCharType="begin" w:fldLock="1"/>
      </w:r>
      <w:r w:rsidR="00C3100A">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C3100A" w:rsidRPr="00A60C11">
        <w:rPr>
          <w:szCs w:val="24"/>
        </w:rPr>
        <w:fldChar w:fldCharType="separate"/>
      </w:r>
      <w:r w:rsidR="00C3100A" w:rsidRPr="006B7E8C">
        <w:rPr>
          <w:noProof/>
          <w:szCs w:val="24"/>
        </w:rPr>
        <w:t>(Kovats &amp; Hajat, 2008)</w:t>
      </w:r>
      <w:r w:rsidR="00C3100A" w:rsidRPr="00A60C11">
        <w:rPr>
          <w:szCs w:val="24"/>
        </w:rPr>
        <w:fldChar w:fldCharType="end"/>
      </w:r>
      <w:r w:rsidR="00C3100A">
        <w:rPr>
          <w:szCs w:val="24"/>
        </w:rPr>
        <w:t>.</w:t>
      </w:r>
      <w:r w:rsidR="00075402">
        <w:rPr>
          <w:szCs w:val="24"/>
        </w:rPr>
        <w:t xml:space="preserve"> </w:t>
      </w:r>
      <w:r w:rsidR="00095503">
        <w:rPr>
          <w:szCs w:val="24"/>
        </w:rPr>
        <w:t xml:space="preserve">Direct </w:t>
      </w:r>
      <w:r w:rsidR="006905D6">
        <w:rPr>
          <w:szCs w:val="24"/>
        </w:rPr>
        <w:t xml:space="preserve">causes of death from extreme heat stress </w:t>
      </w:r>
      <w:r w:rsidR="00FF4130">
        <w:rPr>
          <w:szCs w:val="24"/>
        </w:rPr>
        <w:t xml:space="preserve">only make up a small proportion of deaths </w:t>
      </w:r>
      <w:r w:rsidR="00033175">
        <w:rPr>
          <w:szCs w:val="24"/>
        </w:rPr>
        <w:t xml:space="preserve">attributable to </w:t>
      </w:r>
      <w:r w:rsidR="007659C1">
        <w:rPr>
          <w:szCs w:val="24"/>
        </w:rPr>
        <w:t xml:space="preserve">daily </w:t>
      </w:r>
      <w:r w:rsidR="00033175">
        <w:rPr>
          <w:szCs w:val="24"/>
        </w:rPr>
        <w:t xml:space="preserve">elevated </w:t>
      </w:r>
      <w:r w:rsidR="000721B3">
        <w:rPr>
          <w:szCs w:val="24"/>
        </w:rPr>
        <w:t>temperatures</w:t>
      </w:r>
      <w:r w:rsidR="002D3397">
        <w:rPr>
          <w:szCs w:val="24"/>
        </w:rPr>
        <w:t xml:space="preserve"> </w:t>
      </w:r>
      <w:r w:rsidR="002D3397">
        <w:rPr>
          <w:szCs w:val="24"/>
        </w:rPr>
        <w:fldChar w:fldCharType="begin" w:fldLock="1"/>
      </w:r>
      <w:r w:rsidR="00567F88">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002D3397">
        <w:rPr>
          <w:szCs w:val="24"/>
        </w:rPr>
        <w:fldChar w:fldCharType="separate"/>
      </w:r>
      <w:r w:rsidR="002D3397" w:rsidRPr="002D3397">
        <w:rPr>
          <w:noProof/>
          <w:szCs w:val="24"/>
        </w:rPr>
        <w:t>(Antonio Gasparrini et al., 2015)</w:t>
      </w:r>
      <w:r w:rsidR="002D3397">
        <w:rPr>
          <w:szCs w:val="24"/>
        </w:rPr>
        <w:fldChar w:fldCharType="end"/>
      </w:r>
      <w:r w:rsidR="000721B3">
        <w:rPr>
          <w:szCs w:val="24"/>
        </w:rPr>
        <w:t>.</w:t>
      </w:r>
      <w:r w:rsidR="00003680">
        <w:rPr>
          <w:szCs w:val="24"/>
        </w:rPr>
        <w:t xml:space="preserve"> </w:t>
      </w:r>
    </w:p>
    <w:p w14:paraId="4665E141" w14:textId="32E4EE34" w:rsidR="002551CF" w:rsidRPr="00CF1882" w:rsidRDefault="00D07474" w:rsidP="00CF1882">
      <w:pPr>
        <w:ind w:firstLine="720"/>
        <w:rPr>
          <w:szCs w:val="24"/>
        </w:rPr>
      </w:pPr>
      <w:r>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 xml:space="preserve">which suggests other direct and indirect pathways exist </w:t>
      </w:r>
      <w:r w:rsidR="00075402" w:rsidRPr="00075402">
        <w:rPr>
          <w:szCs w:val="24"/>
        </w:rPr>
        <w:fldChar w:fldCharType="begin" w:fldLock="1"/>
      </w:r>
      <w:r w:rsidR="00075402" w:rsidRPr="0007540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075402" w:rsidRPr="00075402">
        <w:rPr>
          <w:szCs w:val="24"/>
        </w:rPr>
        <w:fldChar w:fldCharType="separate"/>
      </w:r>
      <w:r w:rsidR="00075402" w:rsidRPr="00075402">
        <w:rPr>
          <w:noProof/>
          <w:szCs w:val="24"/>
        </w:rPr>
        <w:t>(Basu, 2009; Antonio Gasparrini et al., 2015; Ye et al., 2012)</w:t>
      </w:r>
      <w:r w:rsidR="00075402" w:rsidRPr="00075402">
        <w:rPr>
          <w:szCs w:val="24"/>
        </w:rPr>
        <w:fldChar w:fldCharType="end"/>
      </w:r>
      <w:r w:rsidR="00075402" w:rsidRPr="00075402">
        <w:rPr>
          <w:szCs w:val="24"/>
        </w:rPr>
        <w:t xml:space="preserve">. </w:t>
      </w:r>
      <w:r w:rsidR="00E126BB">
        <w:rPr>
          <w:szCs w:val="24"/>
        </w:rPr>
        <w:t xml:space="preserve">Elevated </w:t>
      </w:r>
      <w:r w:rsidR="00A63B13">
        <w:rPr>
          <w:szCs w:val="24"/>
        </w:rPr>
        <w:t xml:space="preserve">daily </w:t>
      </w:r>
      <w:r w:rsidR="00E126BB">
        <w:rPr>
          <w:szCs w:val="24"/>
        </w:rPr>
        <w:t xml:space="preserve">temperatures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9C39AB">
        <w:rPr>
          <w:szCs w:val="24"/>
        </w:rPr>
        <w:t xml:space="preserve"> </w:t>
      </w:r>
      <w:r w:rsidR="00DC35F5">
        <w:rPr>
          <w:szCs w:val="24"/>
        </w:rPr>
        <w:fldChar w:fldCharType="begin" w:fldLock="1"/>
      </w:r>
      <w:r w:rsidR="0011086C">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Wales","type":"article-journal","volume":"4"},"uris":["http://www.mendeley.com/documents/?uuid=5f34f7af-83b0-4896-a914-0daa32211ebb"]},{"id":"ITEM-4","itemData":{"DOI":"10.1097/EDE.0b013e318190ee08","abstract":"Background—Many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Mass.)","id":"ITEM-4","issue":"2","issued":{"date-parts":[["2009"]]},"page":"205","title":"Weather-related mortality: how heat, cold, and heat waves affect mortality in the United States","type":"article-journal","volume":"20"},"uris":["http://www.mendeley.com/documents/?uuid=5fe7563e-b493-41ad-a49d-689ded5488ac"]},{"id":"ITEM-5","itemData":{"DOI":"10.1186/1476-069X-8-40","ISBN":"1476-069X","ISSN":"1476069X","PMID":"19758453","abstract":"BACKGROUND: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perspectives","id":"ITEM-6","issue":"1","issued":{"date-parts":[["2012"]]},"page":"19-28","title":"Ambient temperature and morbidity: a review of epidemiological evidence.","type":"article-journal","volume":"120"},"uris":["http://www.mendeley.com/documents/?uuid=f019dc8d-900c-43aa-962b-b66d8768a4af"]}],"mendeley":{"formattedCitation":"(Anderson &amp; Bell, 2009; Basu, 2009; Bennett, Blangiardo, Fecht, Elliott, &amp; Ezzati, 2014; Antonio Gasparrini et al., 2015; Antonio Gasparrini, Armstrong, Kovats, &amp; Wilkinson, 2012; Ye et al., 2012)","plainTextFormattedCitation":"(Anderson &amp; Bell, 2009; Basu, 2009; Bennett, Blangiardo, Fecht, Elliott, &amp; Ezzati, 2014; Antonio Gasparrini et al., 2015; Antonio Gasparrini, Armstrong, Kovats, &amp; Wilkinson, 2012; Ye et al., 2012)","previouslyFormattedCitation":"(Anderson &amp; Bell, 2009; Basu, 2009; Bennett, Blangiardo, Fecht, Elliott, &amp; Ezzati, 2014; Antonio Gasparrini et al., 2015; Antonio Gasparrini, Armstrong, Kovats, &amp; Wilkinson, 2012; Ye et al., 2012)"},"properties":{"noteIndex":0},"schema":"https://github.com/citation-style-language/schema/raw/master/csl-citation.json"}</w:instrText>
      </w:r>
      <w:r w:rsidR="00DC35F5">
        <w:rPr>
          <w:szCs w:val="24"/>
        </w:rPr>
        <w:fldChar w:fldCharType="separate"/>
      </w:r>
      <w:r w:rsidR="00DC35F5" w:rsidRPr="00DC35F5">
        <w:rPr>
          <w:noProof/>
          <w:szCs w:val="24"/>
        </w:rPr>
        <w:t>(Anderson &amp; Bell, 2009; Basu, 2009; Bennett, Blangiardo, Fecht, Elliott, &amp; Ezzati, 2014; Antonio Gasparrini et al., 2015; Antonio Gasparrini, Armstrong, Kovats, &amp; Wilkinson, 2012; Ye et al., 2012)</w:t>
      </w:r>
      <w:r w:rsidR="00DC35F5">
        <w:rPr>
          <w:szCs w:val="24"/>
        </w:rPr>
        <w:fldChar w:fldCharType="end"/>
      </w:r>
      <w:r w:rsidR="00CC0EAF">
        <w:rPr>
          <w:szCs w:val="24"/>
        </w:rPr>
        <w:t xml:space="preserve"> </w:t>
      </w:r>
      <w:r w:rsidR="008D19CA">
        <w:rPr>
          <w:szCs w:val="24"/>
        </w:rPr>
        <w:t xml:space="preserve"> Association of injur</w:t>
      </w:r>
      <w:r w:rsidR="00EF08C5">
        <w:rPr>
          <w:szCs w:val="24"/>
        </w:rPr>
        <w:t>y</w:t>
      </w:r>
      <w:r w:rsidR="008D19CA">
        <w:rPr>
          <w:szCs w:val="24"/>
        </w:rPr>
        <w:t xml:space="preserve"> deaths with temperature </w:t>
      </w:r>
      <w:r w:rsidR="00857B94">
        <w:rPr>
          <w:szCs w:val="24"/>
        </w:rPr>
        <w:t>have to date been</w:t>
      </w:r>
      <w:r w:rsidR="008D19CA">
        <w:rPr>
          <w:szCs w:val="24"/>
        </w:rPr>
        <w:t xml:space="preserve"> less examined</w:t>
      </w:r>
      <w:r w:rsidR="005A6AE5">
        <w:rPr>
          <w:szCs w:val="24"/>
        </w:rPr>
        <w:t xml:space="preserve"> </w:t>
      </w:r>
      <w:r w:rsidR="00CF1882" w:rsidRPr="00A60C11">
        <w:rPr>
          <w:szCs w:val="24"/>
        </w:rPr>
        <w:fldChar w:fldCharType="begin" w:fldLock="1"/>
      </w:r>
      <w:r w:rsidR="00B2490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2003","type":"article-journal"},"uris":["http://www.mendeley.com/documents/?uuid=f08b8300-dd86-4397-bc7e-ce4846cba185"]}],"mendeley":{"formattedCitation":"(Burke et al., 2018; Antonio Gasparrini et al., 2012; Orru &amp; Åström, 2017; Rey et al., 2007)","plainTextFormattedCitation":"(Burke et al., 2018; Antonio Gasparrini et al., 2012; Orru &amp; Åström, 2017; Rey et al., 2007)","previouslyFormattedCitation":"(Burke et al., 2018; Antonio Gasparrini et al., 2012; Orru &amp; Åström, 2017; Rey et al., 2007)"},"properties":{"noteIndex":0},"schema":"https://github.com/citation-style-language/schema/raw/master/csl-citation.json"}</w:instrText>
      </w:r>
      <w:r w:rsidR="00CF1882" w:rsidRPr="00A60C11">
        <w:rPr>
          <w:szCs w:val="24"/>
        </w:rPr>
        <w:fldChar w:fldCharType="separate"/>
      </w:r>
      <w:r w:rsidR="0054464C" w:rsidRPr="0054464C">
        <w:rPr>
          <w:noProof/>
          <w:szCs w:val="24"/>
        </w:rPr>
        <w:t>(Burke et al., 2018; Antonio Gasparrini et al., 2012; Orru &amp; Åström, 2017; Rey et al., 2007)</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 xml:space="preserve">for many high-profile temperature-mortality studies </w:t>
      </w:r>
      <w:r w:rsidR="004703D8">
        <w:rPr>
          <w:szCs w:val="24"/>
        </w:rPr>
        <w:fldChar w:fldCharType="begin" w:fldLock="1"/>
      </w:r>
      <w:r w:rsidR="00C45D6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States","type":"article-journal","volume":"20"},"uris":["http://www.mendeley.com/documents/?uuid=5fe7563e-b493-41ad-a49d-689ded5488ac"]}],"mendeley":{"formattedCitation":"(Anderson &amp; Bell, 2009; Antonio Gasparrini et al., 2015)","plainTextFormattedCitation":"(Anderson &amp; Bell, 2009; Antonio Gasparrini et al., 2015)","previouslyFormattedCitation":"(Anderson &amp; Bell, 2009; Antonio Gasparrini et al., 2015)"},"properties":{"noteIndex":0},"schema":"https://github.com/citation-style-language/schema/raw/master/csl-citation.json"}</w:instrText>
      </w:r>
      <w:r w:rsidR="004703D8">
        <w:rPr>
          <w:szCs w:val="24"/>
        </w:rPr>
        <w:fldChar w:fldCharType="separate"/>
      </w:r>
      <w:r w:rsidR="004703D8" w:rsidRPr="004703D8">
        <w:rPr>
          <w:noProof/>
          <w:szCs w:val="24"/>
        </w:rPr>
        <w:t>(Anderson &amp; Bell, 2009; Antonio Gasparrini et al., 2015)</w:t>
      </w:r>
      <w:r w:rsidR="004703D8">
        <w:rPr>
          <w:szCs w:val="24"/>
        </w:rPr>
        <w:fldChar w:fldCharType="end"/>
      </w:r>
      <w:r w:rsidR="00BF0AC0">
        <w:rPr>
          <w:szCs w:val="24"/>
        </w:rPr>
        <w:t>.</w:t>
      </w:r>
      <w:r w:rsidR="00CF1882">
        <w:rPr>
          <w:szCs w:val="24"/>
        </w:rPr>
        <w:t xml:space="preserve"> </w:t>
      </w:r>
      <w:r w:rsidR="007D3A9C">
        <w:rPr>
          <w:szCs w:val="24"/>
        </w:rPr>
        <w:t xml:space="preserve">Gasparrini et al. examined a few </w:t>
      </w:r>
      <w:r w:rsidR="00AB4409">
        <w:rPr>
          <w:szCs w:val="24"/>
        </w:rPr>
        <w:t>o</w:t>
      </w:r>
      <w:r w:rsidR="00BF0AC0">
        <w:rPr>
          <w:szCs w:val="24"/>
        </w:rPr>
        <w:t>ther causes of death</w:t>
      </w:r>
      <w:r w:rsidR="001E7996">
        <w:rPr>
          <w:szCs w:val="24"/>
        </w:rPr>
        <w:t>, such as cancers, endocrine diseases, diabetes mellitus, genitourinary disease</w:t>
      </w:r>
      <w:r w:rsidR="00C45D6B">
        <w:rPr>
          <w:szCs w:val="24"/>
        </w:rPr>
        <w:t xml:space="preserve"> </w:t>
      </w:r>
      <w:r w:rsidR="007D3A9C">
        <w:rPr>
          <w:szCs w:val="24"/>
        </w:rPr>
        <w:t>for</w:t>
      </w:r>
      <w:r w:rsidR="00C45D6B">
        <w:rPr>
          <w:szCs w:val="24"/>
        </w:rPr>
        <w:t xml:space="preserve"> summer month</w:t>
      </w:r>
      <w:r w:rsidR="00B66038">
        <w:rPr>
          <w:szCs w:val="24"/>
        </w:rPr>
        <w:t>s</w:t>
      </w:r>
      <w:r w:rsidR="001E7996">
        <w:rPr>
          <w:szCs w:val="24"/>
        </w:rPr>
        <w:t xml:space="preserve"> </w:t>
      </w:r>
      <w:r w:rsidR="007D3A9C">
        <w:rPr>
          <w:szCs w:val="24"/>
        </w:rPr>
        <w:t>in England and Wales</w:t>
      </w:r>
      <w:r w:rsidR="00F94B5E">
        <w:rPr>
          <w:szCs w:val="24"/>
        </w:rPr>
        <w:t xml:space="preserve"> </w:t>
      </w:r>
      <w:r w:rsidR="002551CF" w:rsidRPr="00A60C11">
        <w:rPr>
          <w:szCs w:val="24"/>
        </w:rPr>
        <w:fldChar w:fldCharType="begin" w:fldLock="1"/>
      </w:r>
      <w:r w:rsidR="00610641">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Wales","type":"article-journal"},"uris":["http://www.mendeley.com/documents/?uuid=282525fb-21fc-43e2-900c-3add322572de"]}],"mendeley":{"formattedCitation":"(Antonio Gasparrini et al., 2012; Newell &amp; Waggoner, 1970)","plainTextFormattedCitation":"(Antonio Gasparrini et al., 2012; Newell &amp; Waggoner, 1970)","previouslyFormattedCitation":"(Antonio Gasparrini et al., 2012; Newell &amp; Waggoner, 1970)"},"properties":{"noteIndex":0},"schema":"https://github.com/citation-style-language/schema/raw/master/csl-citation.json"}</w:instrText>
      </w:r>
      <w:r w:rsidR="002551CF" w:rsidRPr="00A60C11">
        <w:rPr>
          <w:szCs w:val="24"/>
        </w:rPr>
        <w:fldChar w:fldCharType="separate"/>
      </w:r>
      <w:r w:rsidR="00C45D6B" w:rsidRPr="00C45D6B">
        <w:rPr>
          <w:noProof/>
          <w:szCs w:val="24"/>
        </w:rPr>
        <w:t>(Antonio Gasparrini et al., 2012; Newell &amp; Waggoner, 1970)</w:t>
      </w:r>
      <w:r w:rsidR="002551CF" w:rsidRPr="00A60C11">
        <w:rPr>
          <w:szCs w:val="24"/>
        </w:rPr>
        <w:fldChar w:fldCharType="end"/>
      </w:r>
      <w:r w:rsidR="002551CF">
        <w:rPr>
          <w:szCs w:val="24"/>
        </w:rPr>
        <w:t>.</w:t>
      </w:r>
      <w:r w:rsidR="002551CF" w:rsidRPr="00A60C11">
        <w:rPr>
          <w:szCs w:val="24"/>
        </w:rPr>
        <w:t xml:space="preserve"> </w:t>
      </w:r>
      <w:r w:rsidR="00610641">
        <w:rPr>
          <w:szCs w:val="24"/>
        </w:rPr>
        <w:t xml:space="preserve">Studies to </w:t>
      </w:r>
      <w:r w:rsidR="00362961">
        <w:rPr>
          <w:szCs w:val="24"/>
        </w:rPr>
        <w:t>a</w:t>
      </w:r>
      <w:r w:rsidR="002B7B9B">
        <w:rPr>
          <w:szCs w:val="24"/>
        </w:rPr>
        <w:t>ssociat</w:t>
      </w:r>
      <w:r w:rsidR="00610641">
        <w:rPr>
          <w:szCs w:val="24"/>
        </w:rPr>
        <w:t>e</w:t>
      </w:r>
      <w:r w:rsidR="002B7B9B">
        <w:rPr>
          <w:szCs w:val="24"/>
        </w:rPr>
        <w:t xml:space="preserve"> monthly </w:t>
      </w:r>
      <w:r w:rsidR="006231C1">
        <w:rPr>
          <w:szCs w:val="24"/>
        </w:rPr>
        <w:t xml:space="preserve">average </w:t>
      </w:r>
      <w:r w:rsidR="002B7B9B">
        <w:rPr>
          <w:szCs w:val="24"/>
        </w:rPr>
        <w:t xml:space="preserve">temperatures with mortality </w:t>
      </w:r>
      <w:r w:rsidR="006231C1">
        <w:rPr>
          <w:szCs w:val="24"/>
        </w:rPr>
        <w:t>exist</w:t>
      </w:r>
      <w:r w:rsidR="00610641">
        <w:rPr>
          <w:szCs w:val="24"/>
        </w:rPr>
        <w:t xml:space="preserve"> </w:t>
      </w:r>
      <w:r w:rsidR="00610641">
        <w:rPr>
          <w:szCs w:val="24"/>
        </w:rPr>
        <w:fldChar w:fldCharType="begin" w:fldLock="1"/>
      </w:r>
      <w:r w:rsidR="00675D69">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evidence","type":"article","volume":"24"},"uris":["http://www.mendeley.com/documents/?uuid=8c8cd126-6856-41d0-9232-6508902ee696"]}],"mendeley":{"formattedCitation":"(Basu &amp; Samet, 2002; Burke et al., 2018)","plainTextFormattedCitation":"(Basu &amp; Samet, 2002; Burke et al., 2018)","previouslyFormattedCitation":"(Burke et al., 2018)"},"properties":{"noteIndex":0},"schema":"https://github.com/citation-style-language/schema/raw/master/csl-citation.json"}</w:instrText>
      </w:r>
      <w:r w:rsidR="00610641">
        <w:rPr>
          <w:szCs w:val="24"/>
        </w:rPr>
        <w:fldChar w:fldCharType="separate"/>
      </w:r>
      <w:r w:rsidR="00675D69" w:rsidRPr="00675D69">
        <w:rPr>
          <w:noProof/>
          <w:szCs w:val="24"/>
        </w:rPr>
        <w:t>(Basu &amp; Samet, 2002; Burke et al., 2018)</w:t>
      </w:r>
      <w:r w:rsidR="00610641">
        <w:rPr>
          <w:szCs w:val="24"/>
        </w:rPr>
        <w:fldChar w:fldCharType="end"/>
      </w:r>
      <w:r w:rsidR="00610641">
        <w:rPr>
          <w:szCs w:val="24"/>
        </w:rPr>
        <w:t>,</w:t>
      </w:r>
      <w:r w:rsidR="006231C1">
        <w:rPr>
          <w:szCs w:val="24"/>
        </w:rPr>
        <w:t xml:space="preserve"> though are less </w:t>
      </w:r>
      <w:r w:rsidR="006231C1">
        <w:rPr>
          <w:szCs w:val="24"/>
        </w:rPr>
        <w:lastRenderedPageBreak/>
        <w:t>common than association with daily temperature,</w:t>
      </w:r>
      <w:r w:rsidR="00675D69">
        <w:rPr>
          <w:szCs w:val="24"/>
        </w:rPr>
        <w:t xml:space="preserve"> even</w:t>
      </w:r>
      <w:r w:rsidR="006231C1">
        <w:rPr>
          <w:szCs w:val="24"/>
        </w:rPr>
        <w:t xml:space="preserve"> though shifts in monthly mean temperatures away from long-term norms </w:t>
      </w:r>
      <w:r w:rsidR="00D12C2D">
        <w:rPr>
          <w:szCs w:val="24"/>
        </w:rPr>
        <w:t>is a</w:t>
      </w:r>
      <w:r w:rsidR="006D6775">
        <w:rPr>
          <w:szCs w:val="24"/>
        </w:rPr>
        <w:t xml:space="preserve"> good representation of</w:t>
      </w:r>
      <w:r w:rsidR="006231C1">
        <w:rPr>
          <w:szCs w:val="24"/>
        </w:rPr>
        <w:t xml:space="preserve"> future </w:t>
      </w:r>
      <w:r w:rsidR="006D6775">
        <w:rPr>
          <w:szCs w:val="24"/>
        </w:rPr>
        <w:t xml:space="preserve">climate change. </w:t>
      </w:r>
    </w:p>
    <w:p w14:paraId="691998B5" w14:textId="487CF366" w:rsidR="007F4729" w:rsidRPr="009C39AB" w:rsidRDefault="00A71C62" w:rsidP="00351B6E">
      <w:pPr>
        <w:ind w:firstLine="720"/>
        <w:rPr>
          <w:color w:val="000000" w:themeColor="text1"/>
          <w:szCs w:val="24"/>
        </w:rPr>
      </w:pPr>
      <w:r w:rsidRPr="00A60C11">
        <w:rPr>
          <w:color w:val="000000" w:themeColor="text1"/>
          <w:szCs w:val="24"/>
        </w:rPr>
        <w:t xml:space="preserve">Differing age groups and sexes can possess varying </w:t>
      </w:r>
      <w:r w:rsidR="00483E58">
        <w:rPr>
          <w:color w:val="000000" w:themeColor="text1"/>
          <w:szCs w:val="24"/>
        </w:rPr>
        <w:t>degrees</w:t>
      </w:r>
      <w:r w:rsidRPr="00A60C11">
        <w:rPr>
          <w:color w:val="000000" w:themeColor="text1"/>
          <w:szCs w:val="24"/>
        </w:rPr>
        <w:t xml:space="preserve"> of </w:t>
      </w:r>
      <w:r w:rsidR="00777F5C">
        <w:rPr>
          <w:color w:val="000000" w:themeColor="text1"/>
          <w:szCs w:val="24"/>
        </w:rPr>
        <w:t xml:space="preserve">relative </w:t>
      </w:r>
      <w:r w:rsidR="00B24909">
        <w:rPr>
          <w:color w:val="000000" w:themeColor="text1"/>
          <w:szCs w:val="24"/>
        </w:rPr>
        <w:t>risk</w:t>
      </w:r>
      <w:r w:rsidRPr="00A60C11">
        <w:rPr>
          <w:color w:val="000000" w:themeColor="text1"/>
          <w:szCs w:val="24"/>
        </w:rPr>
        <w:t xml:space="preserve"> to temperature anomalies</w:t>
      </w:r>
      <w:r>
        <w:rPr>
          <w:color w:val="000000" w:themeColor="text1"/>
          <w:szCs w:val="24"/>
        </w:rPr>
        <w:t xml:space="preserve"> </w:t>
      </w:r>
      <w:r w:rsidRPr="00A60C11">
        <w:rPr>
          <w:color w:val="000000" w:themeColor="text1"/>
          <w:szCs w:val="24"/>
        </w:rPr>
        <w:fldChar w:fldCharType="begin" w:fldLock="1"/>
      </w:r>
      <w:r w:rsidR="00B24909">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Wales","type":"article-journal"},"uris":["http://www.mendeley.com/documents/?uuid=282525fb-21fc-43e2-900c-3add322572de"]}],"mendeley":{"formattedCitation":"(Basu, 2009; Bennett et al., 2014; Antonio Gasparrini et al., 2012; S. Hajat, Kovats, &amp; Lachowycz, 2007; Li et al., 2016; Song et al., 2017; Ye et al., 2012; Zanobetti, O’Neill, Gronlund, &amp; Schwartz, 2012)","plainTextFormattedCitation":"(Basu, 2009; Bennett et al., 2014; Antonio Gasparrini et al., 2012; S. Hajat, Kovats, &amp; Lachowycz, 2007; Li et al., 2016; Song et al., 2017; Ye et al., 2012; Zanobetti, O’Neill, Gronlund, &amp; Schwartz, 2012)","previouslyFormattedCitation":"(Basu, 2009; Bennett et al., 2014; Antonio Gasparrini et al., 2012;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A33CF3" w:rsidRPr="00A33CF3">
        <w:rPr>
          <w:noProof/>
          <w:color w:val="000000" w:themeColor="text1"/>
          <w:szCs w:val="24"/>
        </w:rPr>
        <w:t>(Basu, 2009; Bennett et al., 2014; Antonio Gasparrini et al., 2012;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w:t>
      </w:r>
      <w:r w:rsidR="00D66462">
        <w:rPr>
          <w:color w:val="000000" w:themeColor="text1"/>
          <w:szCs w:val="24"/>
        </w:rPr>
        <w:t xml:space="preserve">While many studies already mentioned will variously create a study design </w:t>
      </w:r>
      <w:proofErr w:type="gramStart"/>
      <w:r w:rsidR="00D66462">
        <w:rPr>
          <w:color w:val="000000" w:themeColor="text1"/>
          <w:szCs w:val="24"/>
        </w:rPr>
        <w:t>by</w:t>
      </w:r>
      <w:r w:rsidR="00351B6E">
        <w:rPr>
          <w:color w:val="000000" w:themeColor="text1"/>
          <w:szCs w:val="24"/>
        </w:rPr>
        <w:t>..</w:t>
      </w:r>
      <w:proofErr w:type="gramEnd"/>
      <w:r w:rsidR="00D66462">
        <w:rPr>
          <w:color w:val="000000" w:themeColor="text1"/>
          <w:szCs w:val="24"/>
        </w:rPr>
        <w:t xml:space="preserve"> </w:t>
      </w:r>
      <w:r w:rsidRPr="00A60C11">
        <w:rPr>
          <w:color w:val="000000" w:themeColor="text1"/>
          <w:szCs w:val="24"/>
        </w:rPr>
        <w:t xml:space="preserve">There is currently no detailed information on how different types of mortality respond with temperature in relation to age group and sex in the </w:t>
      </w:r>
      <w:r w:rsidR="00B453B1">
        <w:rPr>
          <w:color w:val="000000" w:themeColor="text1"/>
          <w:szCs w:val="24"/>
        </w:rPr>
        <w:t>United States</w:t>
      </w:r>
      <w:r w:rsidRPr="00A60C11">
        <w:rPr>
          <w:color w:val="000000" w:themeColor="text1"/>
          <w:szCs w:val="24"/>
        </w:rPr>
        <w:t>. As such, it is important to build an analysis distinguishing by these features of a population.</w:t>
      </w:r>
      <w:r w:rsidR="00CA74E1">
        <w:rPr>
          <w:color w:val="000000" w:themeColor="text1"/>
          <w:szCs w:val="24"/>
        </w:rPr>
        <w:t xml:space="preserve"> </w:t>
      </w:r>
      <w:r w:rsidR="00294F37"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w:t>
      </w:r>
      <w:r w:rsidR="00294F37">
        <w:rPr>
          <w:szCs w:val="24"/>
        </w:rPr>
        <w:t>United States</w:t>
      </w:r>
      <w:r w:rsidR="00294F37" w:rsidRPr="00A60C11">
        <w:rPr>
          <w:szCs w:val="24"/>
        </w:rPr>
        <w:t xml:space="preserve"> in different cities have looked at similar stratification of a population. These previous studies have also mostly examined single or multi-day episodes. As such, a large part of the gap in the research here is to understand how vulnerability will vary between age groups and sexes for a population by cause of death.</w:t>
      </w:r>
    </w:p>
    <w:p w14:paraId="16045796" w14:textId="2C5BF782" w:rsidR="007F4729" w:rsidRDefault="007F4729" w:rsidP="007F4729">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 impact of extreme heat on mortality from natural causes has also attracted interest</w:t>
      </w:r>
      <w:r>
        <w:rPr>
          <w:color w:val="000000" w:themeColor="text1"/>
          <w:szCs w:val="24"/>
        </w:rPr>
        <w:t xml:space="preserve"> </w:t>
      </w:r>
      <w:r w:rsidRPr="00A60C11">
        <w:rPr>
          <w:color w:val="000000" w:themeColor="text1"/>
          <w:szCs w:val="24"/>
        </w:rPr>
        <w:lastRenderedPageBreak/>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(Anderson &amp; Bell, 2009; Brooke Anderson &amp; Bell, 2011; Carmona et al., 2016; Le Tertre et al., 2006; Lowe et al., 2015; Semenza et al., 1996)</w:t>
      </w:r>
      <w:r w:rsidRPr="00A60C11">
        <w:rPr>
          <w:color w:val="000000" w:themeColor="text1"/>
          <w:szCs w:val="24"/>
        </w:rPr>
        <w:fldChar w:fldCharType="end"/>
      </w:r>
      <w:r>
        <w:rPr>
          <w:color w:val="000000" w:themeColor="text1"/>
          <w:szCs w:val="24"/>
        </w:rPr>
        <w:t>.</w:t>
      </w:r>
    </w:p>
    <w:p w14:paraId="14A771D9" w14:textId="342CD9EF" w:rsidR="007F4729" w:rsidRPr="004C7DC5" w:rsidRDefault="007F4729" w:rsidP="004C7DC5">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24663658" w14:textId="6A48B2BE" w:rsidR="000B6A17" w:rsidRDefault="00BA5A74" w:rsidP="00F21E10">
      <w:pPr>
        <w:pStyle w:val="Heading2"/>
      </w:pPr>
      <w:bookmarkStart w:id="5" w:name="_Toc7079050"/>
      <w:bookmarkStart w:id="6" w:name="_Toc8293428"/>
      <w:r>
        <w:t xml:space="preserve">Modelling </w:t>
      </w:r>
      <w:r w:rsidR="00BB36BA">
        <w:t>methodology</w:t>
      </w:r>
      <w:bookmarkEnd w:id="5"/>
      <w:bookmarkEnd w:id="6"/>
    </w:p>
    <w:p w14:paraId="01FE05C8" w14:textId="28E314A1" w:rsidR="00222524" w:rsidRPr="001E1EEA" w:rsidRDefault="00222524" w:rsidP="001E1EEA">
      <w:pPr>
        <w:spacing w:after="0"/>
        <w:ind w:firstLine="720"/>
        <w:rPr>
          <w:szCs w:val="24"/>
        </w:rPr>
      </w:pPr>
      <w:r>
        <w:rPr>
          <w:color w:val="000000" w:themeColor="text1"/>
          <w:szCs w:val="24"/>
        </w:rPr>
        <w:t xml:space="preserve">A large body of modern scientific work focuses on the association of daily mortality and morbidity with periods of extreme heat lasting up to a few days. Armstrong summarises various methodologies of fitting temperature-mortality relationships with linear, polynomial and cubic spline curves with </w:t>
      </w:r>
      <w:r>
        <w:rPr>
          <w:szCs w:val="24"/>
        </w:rPr>
        <w:t xml:space="preserve">have been several methodologies developed to quantify the association.  [[[Case crossover, conditional Poisson models, more Ben Armstrong models, look at J Bennett’s Nature CC paper]]] Gasparrini and Armstrong have also produced research which questions the added effect of a heat wave in comparison to a series of individual elevated temperature days </w:t>
      </w:r>
      <w:r>
        <w:rPr>
          <w:szCs w:val="24"/>
        </w:rPr>
        <w:fldChar w:fldCharType="begin" w:fldLock="1"/>
      </w:r>
      <w:r>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Pr>
          <w:szCs w:val="24"/>
        </w:rPr>
        <w:fldChar w:fldCharType="separate"/>
      </w:r>
      <w:r w:rsidRPr="00892E9A">
        <w:rPr>
          <w:noProof/>
          <w:szCs w:val="24"/>
        </w:rPr>
        <w:t>(A Gasparrini &amp; Armstrong, 2011)</w:t>
      </w:r>
      <w:r>
        <w:rPr>
          <w:szCs w:val="24"/>
        </w:rPr>
        <w:fldChar w:fldCharType="end"/>
      </w:r>
      <w:r>
        <w:rPr>
          <w:szCs w:val="24"/>
        </w:rPr>
        <w:t>.</w:t>
      </w:r>
    </w:p>
    <w:p w14:paraId="13F54120" w14:textId="526C6B89" w:rsidR="00F21E10" w:rsidRPr="00A60C11" w:rsidRDefault="00F21E10" w:rsidP="00F21E10">
      <w:pPr>
        <w:rPr>
          <w:color w:val="000000" w:themeColor="text1"/>
          <w:szCs w:val="24"/>
        </w:rPr>
      </w:pPr>
      <w:r>
        <w:rPr>
          <w:color w:val="000000" w:themeColor="text1"/>
          <w:szCs w:val="24"/>
        </w:rPr>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lastRenderedPageBreak/>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w:t>
      </w:r>
      <w:r w:rsidR="00AF2371" w:rsidRPr="00A2572A">
        <w:rPr>
          <w:color w:val="000000" w:themeColor="text1"/>
          <w:szCs w:val="24"/>
          <w:lang w:val="en-US"/>
        </w:rPr>
        <w:lastRenderedPageBreak/>
        <w:t xml:space="preserve">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11E97CD2" w14:textId="0CEB61E9"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Imperial Colle</w:t>
      </w:r>
      <w:r w:rsidR="000A0BD8">
        <w:rPr>
          <w:color w:val="000000" w:themeColor="text1"/>
          <w:szCs w:val="24"/>
          <w:lang w:val="en-US"/>
        </w:rPr>
        <w:t>g</w:t>
      </w:r>
      <w:r w:rsidR="00101AAE" w:rsidRPr="001E6D66">
        <w:rPr>
          <w:color w:val="000000" w:themeColor="text1"/>
          <w:szCs w:val="24"/>
          <w:lang w:val="en-US"/>
        </w:rPr>
        <w:t>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lastRenderedPageBreak/>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3FAD43C" w14:textId="77777777" w:rsidR="00A80221" w:rsidRDefault="00A80221" w:rsidP="00A80221">
      <w:pPr>
        <w:pStyle w:val="Heading2"/>
      </w:pPr>
      <w:bookmarkStart w:id="7" w:name="_Toc8293427"/>
      <w:r>
        <w:t>T</w:t>
      </w:r>
      <w:r w:rsidRPr="00306A2A">
        <w:t>emperature</w:t>
      </w:r>
      <w:r>
        <w:t xml:space="preserve"> and climate change</w:t>
      </w:r>
      <w:bookmarkEnd w:id="7"/>
      <w:r>
        <w:t xml:space="preserve"> </w:t>
      </w:r>
    </w:p>
    <w:p w14:paraId="18ACB50D" w14:textId="77777777" w:rsidR="00A80221" w:rsidRPr="00E03E8F" w:rsidRDefault="00A80221" w:rsidP="00A80221">
      <w:pPr>
        <w:spacing w:after="0"/>
        <w:jc w:val="left"/>
        <w:rPr>
          <w:rFonts w:eastAsia="Times New Roman" w:cs="Times New Roman"/>
          <w:szCs w:val="24"/>
          <w:lang w:eastAsia="en-US"/>
        </w:rPr>
      </w:pPr>
      <w:r>
        <w:rPr>
          <w:rFonts w:eastAsia="Times New Roman" w:cs="Times New Roman"/>
          <w:szCs w:val="24"/>
          <w:lang w:eastAsia="en-US"/>
        </w:rPr>
        <w:t>Refer to ‘</w:t>
      </w:r>
      <w:r w:rsidRPr="00A57D9B">
        <w:rPr>
          <w:rFonts w:eastAsia="Times New Roman" w:cs="Times New Roman"/>
          <w:szCs w:val="24"/>
          <w:lang w:eastAsia="en-US"/>
        </w:rPr>
        <w:t>Rising Temperatures, Human Health, and the Role of Adaptation</w:t>
      </w:r>
      <w:r>
        <w:rPr>
          <w:rFonts w:eastAsia="Times New Roman" w:cs="Times New Roman"/>
          <w:szCs w:val="24"/>
          <w:lang w:eastAsia="en-US"/>
        </w:rPr>
        <w:t>’</w:t>
      </w:r>
    </w:p>
    <w:p w14:paraId="34AA707E" w14:textId="77777777" w:rsidR="00A80221" w:rsidRPr="002A08CC" w:rsidRDefault="00A80221" w:rsidP="00A80221">
      <w:pPr>
        <w:rPr>
          <w:szCs w:val="24"/>
        </w:rPr>
      </w:pPr>
      <w:r w:rsidRPr="002A08CC">
        <w:tab/>
      </w:r>
      <w:r w:rsidRPr="002A08CC">
        <w:rPr>
          <w:szCs w:val="24"/>
        </w:rPr>
        <w:t xml:space="preserve">Temperature data is also essential to an assessment of the impact of anomalous temperature. Tree rings and ice cores can give an accurate indirect reading of the temperature of the earth thousands and hundreds of thousands of years back. [ref] Direct records, however, began more recently. In the UK, direct temperature records began in the middle of the 1800s and continue uninterrupted to the present day. [ref] Temperature records in the United States go back to 1895 in some areas </w:t>
      </w:r>
      <w:r w:rsidRPr="002A08CC">
        <w:rPr>
          <w:szCs w:val="24"/>
        </w:rPr>
        <w:fldChar w:fldCharType="begin" w:fldLock="1"/>
      </w:r>
      <w:r w:rsidRPr="002A08CC">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Pr="002A08CC">
        <w:rPr>
          <w:szCs w:val="24"/>
        </w:rPr>
        <w:fldChar w:fldCharType="separate"/>
      </w:r>
      <w:r w:rsidRPr="002A08CC">
        <w:rPr>
          <w:noProof/>
          <w:szCs w:val="24"/>
        </w:rPr>
        <w:t>(Vose et al., 2014)</w:t>
      </w:r>
      <w:r w:rsidRPr="002A08CC">
        <w:rPr>
          <w:szCs w:val="24"/>
        </w:rPr>
        <w:fldChar w:fldCharType="end"/>
      </w:r>
      <w:r w:rsidRPr="002A08CC">
        <w:rPr>
          <w:szCs w:val="24"/>
        </w:rPr>
        <w:t xml:space="preserve">. Land-based weather stations in the United States are widespread </w:t>
      </w:r>
      <w:r w:rsidRPr="002A08CC">
        <w:rPr>
          <w:szCs w:val="24"/>
        </w:rPr>
        <w:fldChar w:fldCharType="begin" w:fldLock="1"/>
      </w:r>
      <w:r w:rsidRPr="002A08CC">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Pr="002A08CC">
        <w:rPr>
          <w:szCs w:val="24"/>
        </w:rPr>
        <w:fldChar w:fldCharType="separate"/>
      </w:r>
      <w:r w:rsidRPr="002A08CC">
        <w:rPr>
          <w:noProof/>
          <w:szCs w:val="24"/>
        </w:rPr>
        <w:t>(NOAA, 2014)</w:t>
      </w:r>
      <w:r w:rsidRPr="002A08CC">
        <w:rPr>
          <w:szCs w:val="24"/>
        </w:rPr>
        <w:fldChar w:fldCharType="end"/>
      </w:r>
      <w:r w:rsidRPr="002A08CC">
        <w:rPr>
          <w:szCs w:val="24"/>
        </w:rPr>
        <w:t xml:space="preserve">. However, functionality of weather stations is unreliable without pause throughout time, and coverage is at times sparse outside of major metropolitan areas. As such, for national a climate risk assessment, including beyond areas with good weather station coverage, requires an augmented method. ERA-Interim, which combines predictions from a physical model with ground-based and satellite measurements, provides worldwide uninterrupted coverage of an exhaustive list climate variables </w:t>
      </w:r>
      <w:r w:rsidRPr="002A08CC">
        <w:rPr>
          <w:szCs w:val="24"/>
        </w:rPr>
        <w:fldChar w:fldCharType="begin" w:fldLock="1"/>
      </w:r>
      <w:r w:rsidRPr="002A08CC">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2A08CC">
        <w:rPr>
          <w:szCs w:val="24"/>
        </w:rPr>
        <w:fldChar w:fldCharType="separate"/>
      </w:r>
      <w:r w:rsidRPr="002A08CC">
        <w:rPr>
          <w:noProof/>
          <w:szCs w:val="24"/>
        </w:rPr>
        <w:t>(Dee et al., 2011)</w:t>
      </w:r>
      <w:r w:rsidRPr="002A08CC">
        <w:rPr>
          <w:szCs w:val="24"/>
        </w:rPr>
        <w:fldChar w:fldCharType="end"/>
      </w:r>
      <w:r w:rsidRPr="002A08CC">
        <w:rPr>
          <w:szCs w:val="24"/>
        </w:rPr>
        <w:t>.</w:t>
      </w:r>
    </w:p>
    <w:p w14:paraId="09AA512B" w14:textId="77777777" w:rsidR="00A80221" w:rsidRPr="00A60C11" w:rsidRDefault="00A80221" w:rsidP="00A80221">
      <w:pPr>
        <w:ind w:firstLine="720"/>
        <w:rPr>
          <w:szCs w:val="24"/>
        </w:rPr>
      </w:pPr>
      <w:r w:rsidRPr="00A60C11">
        <w:rPr>
          <w:szCs w:val="24"/>
        </w:rPr>
        <w:t>A heat wave, or an extended period of elevated temperatures, has no standardized definition. The World Meteorological Organization (WMO) guidance defines a heat wave as ‘a marked unusual hot weather (max, min and daily average) over a region persisting at least two consecutive days during the hot period of the year based on local climatological conditions, with thermal conditions recorded above given thresholds’</w:t>
      </w:r>
      <w:r>
        <w:rPr>
          <w:szCs w:val="24"/>
        </w:rPr>
        <w:t xml:space="preserve"> </w:t>
      </w:r>
      <w:r w:rsidRPr="00A60C11">
        <w:rPr>
          <w:szCs w:val="24"/>
        </w:rPr>
        <w:fldChar w:fldCharType="begin" w:fldLock="1"/>
      </w:r>
      <w:r>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Pr="00A60C11">
        <w:rPr>
          <w:szCs w:val="24"/>
        </w:rPr>
        <w:fldChar w:fldCharType="separate"/>
      </w:r>
      <w:r w:rsidRPr="006B7E8C">
        <w:rPr>
          <w:noProof/>
          <w:szCs w:val="24"/>
        </w:rPr>
        <w:t>(WMO, 2016)</w:t>
      </w:r>
      <w:r w:rsidRPr="00A60C11">
        <w:rPr>
          <w:szCs w:val="24"/>
        </w:rPr>
        <w:fldChar w:fldCharType="end"/>
      </w:r>
      <w:r>
        <w:rPr>
          <w:szCs w:val="24"/>
        </w:rPr>
        <w:t>.</w:t>
      </w:r>
      <w:r w:rsidRPr="00A60C11">
        <w:rPr>
          <w:szCs w:val="24"/>
        </w:rPr>
        <w:t xml:space="preserve"> Some other definitions, for example, will define a heat wave by a set of days over an absolute threshold, </w:t>
      </w:r>
      <w:r w:rsidRPr="00A60C11">
        <w:rPr>
          <w:szCs w:val="24"/>
        </w:rPr>
        <w:lastRenderedPageBreak/>
        <w:t xml:space="preserve">rather than a relative (e.g., percentile-based) threshold. Some research and guidance </w:t>
      </w:r>
      <w:proofErr w:type="gramStart"/>
      <w:r w:rsidRPr="00A60C11">
        <w:rPr>
          <w:szCs w:val="24"/>
        </w:rPr>
        <w:t>recommends</w:t>
      </w:r>
      <w:proofErr w:type="gramEnd"/>
      <w:r w:rsidRPr="00A60C11">
        <w:rPr>
          <w:szCs w:val="24"/>
        </w:rPr>
        <w:t xml:space="preserve"> that heat waves can compound the deadly effect of heat stress by the fact that the elevated temperatures are over consecutive days. [ref]</w:t>
      </w:r>
    </w:p>
    <w:p w14:paraId="65F8855B" w14:textId="77777777" w:rsidR="00A80221" w:rsidRPr="00A60C11" w:rsidRDefault="00A80221" w:rsidP="00A80221">
      <w:pPr>
        <w:rPr>
          <w:szCs w:val="24"/>
        </w:rPr>
      </w:pPr>
      <w:r>
        <w:rPr>
          <w:szCs w:val="24"/>
        </w:rPr>
        <w:tab/>
      </w:r>
      <w:r w:rsidRPr="00A60C11">
        <w:rPr>
          <w:szCs w:val="24"/>
        </w:rPr>
        <w:t>However, studies have shown a lack of consistency over the value of examining heat waves as a modifier to the deadly effect of heat stress, finding, for example, that the total risk of consecutive days of elevated temperature is very similar to summarizing the independent effects of individual days’ temperatures</w:t>
      </w:r>
      <w:r>
        <w:rPr>
          <w:szCs w:val="24"/>
        </w:rPr>
        <w:t xml:space="preserve"> </w:t>
      </w:r>
      <w:r w:rsidRPr="00A60C11">
        <w:rPr>
          <w:szCs w:val="24"/>
        </w:rPr>
        <w:fldChar w:fldCharType="begin" w:fldLock="1"/>
      </w:r>
      <w:r>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Pr="00A60C11">
        <w:rPr>
          <w:szCs w:val="24"/>
        </w:rPr>
        <w:fldChar w:fldCharType="separate"/>
      </w:r>
      <w:r w:rsidRPr="006B7E8C">
        <w:rPr>
          <w:noProof/>
          <w:szCs w:val="24"/>
        </w:rPr>
        <w:t>(A Gasparrini &amp; Armstrong, 2011)</w:t>
      </w:r>
      <w:r w:rsidRPr="00A60C11">
        <w:rPr>
          <w:szCs w:val="24"/>
        </w:rPr>
        <w:fldChar w:fldCharType="end"/>
      </w:r>
      <w:r>
        <w:rPr>
          <w:szCs w:val="24"/>
        </w:rPr>
        <w:t>.</w:t>
      </w:r>
      <w:r w:rsidRPr="00A60C11">
        <w:rPr>
          <w:szCs w:val="24"/>
        </w:rPr>
        <w:t xml:space="preserve"> </w:t>
      </w:r>
    </w:p>
    <w:p w14:paraId="0A20F0BE" w14:textId="77777777" w:rsidR="00A80221" w:rsidRPr="00A60C11" w:rsidRDefault="00A80221" w:rsidP="00A80221">
      <w:pPr>
        <w:rPr>
          <w:szCs w:val="24"/>
        </w:rPr>
      </w:pPr>
      <w:r w:rsidRPr="00A60C11">
        <w:rPr>
          <w:szCs w:val="24"/>
        </w:rPr>
        <w:tab/>
        <w:t>Furthermore, previous work has examined single or multi-day episodes. [ref] Less work has looked at how deviations in temperature over a longer period, such as a month, result in outcomes for mortality. [ref]</w:t>
      </w:r>
    </w:p>
    <w:p w14:paraId="2CC06617" w14:textId="77777777" w:rsidR="00A80221" w:rsidRPr="00A60C11" w:rsidRDefault="00A80221" w:rsidP="00A80221">
      <w:pPr>
        <w:rPr>
          <w:color w:val="000000" w:themeColor="text1"/>
          <w:szCs w:val="24"/>
        </w:rPr>
      </w:pPr>
      <w:r w:rsidRPr="00A60C11">
        <w:rPr>
          <w:szCs w:val="24"/>
        </w:rPr>
        <w:tab/>
      </w:r>
      <w:r w:rsidRPr="00A60C11">
        <w:rPr>
          <w:color w:val="000000" w:themeColor="text1"/>
          <w:szCs w:val="24"/>
        </w:rPr>
        <w:t>Climate change, however, will fundamentally modify weather compared to long-term experiences, and hence change seasonal weather patterns, which can disrupt long-term adaptation. To overcome this gap requires data on temperature and health in a large number of places over a long period of time, and methodology that uses these data to understand how deviations from long-term norm weather may impact population health.</w:t>
      </w:r>
    </w:p>
    <w:p w14:paraId="6C195B9E" w14:textId="11441D22" w:rsidR="00A80221" w:rsidRDefault="004A7EFA" w:rsidP="00A80221">
      <w:bookmarkStart w:id="8" w:name="_Toc7079045"/>
      <w:r>
        <w:t>[[[</w:t>
      </w:r>
      <w:r w:rsidR="00A80221">
        <w:t>Temperature trends in the United States</w:t>
      </w:r>
      <w:bookmarkEnd w:id="8"/>
      <w:r>
        <w:t>]]]</w:t>
      </w:r>
    </w:p>
    <w:p w14:paraId="45FAC855" w14:textId="77777777" w:rsidR="00E76643" w:rsidRPr="00522FCC" w:rsidRDefault="00E76643" w:rsidP="00E76643">
      <w:pPr>
        <w:pStyle w:val="Heading2"/>
      </w:pPr>
      <w:bookmarkStart w:id="9" w:name="_Toc7079055"/>
      <w:bookmarkStart w:id="10" w:name="_Toc8293429"/>
      <w:r>
        <w:t>From research to action: The Global Heat Health Information Network</w:t>
      </w:r>
      <w:bookmarkEnd w:id="9"/>
      <w:bookmarkEnd w:id="10"/>
    </w:p>
    <w:p w14:paraId="40E4355A" w14:textId="77777777" w:rsidR="00E76643" w:rsidRPr="001E6D66" w:rsidRDefault="00E76643" w:rsidP="00E76643">
      <w:pPr>
        <w:rPr>
          <w:szCs w:val="24"/>
        </w:rPr>
      </w:pPr>
      <w:r>
        <w:rPr>
          <w:szCs w:val="24"/>
        </w:rPr>
        <w:tab/>
      </w:r>
      <w:r w:rsidRPr="001E6D66">
        <w:rPr>
          <w:szCs w:val="24"/>
        </w:rPr>
        <w:t xml:space="preserve">The scientific community have long recognised the importance of implementing the knowledge gained from their research into shaping policy. This is especially urgent in the context of climate change and the potential for heat to cause changes in health outcomes globally. Heat health is the state of a human’s health during periods of heat stress.   </w:t>
      </w:r>
    </w:p>
    <w:p w14:paraId="0DDF9AAF" w14:textId="77777777" w:rsidR="00E76643" w:rsidRPr="001E6D66" w:rsidRDefault="00E76643" w:rsidP="00E76643">
      <w:pPr>
        <w:rPr>
          <w:szCs w:val="24"/>
        </w:rPr>
      </w:pPr>
      <w:r w:rsidRPr="001E6D66">
        <w:rPr>
          <w:szCs w:val="24"/>
        </w:rPr>
        <w:lastRenderedPageBreak/>
        <w:tab/>
        <w:t>There are many good examples of building heat resilience, especially in the summer months. One excellent example is the Ahmedabad heat health action plan, active in Ahmedabad, India, where the measures invoked included [[[some special but easy techniques]]]</w:t>
      </w:r>
    </w:p>
    <w:p w14:paraId="0475408A" w14:textId="2A9B21DB" w:rsidR="00A80221" w:rsidRPr="001E6D66" w:rsidRDefault="00E76643" w:rsidP="56D10C38">
      <w:pPr>
        <w:rPr>
          <w:szCs w:val="24"/>
        </w:rPr>
      </w:pPr>
      <w:r w:rsidRPr="001E6D66">
        <w:rPr>
          <w:szCs w:val="24"/>
        </w:rPr>
        <w:tab/>
        <w:t>In the summer of 2017, I spent three months interning at the World Meteorological Organization (WMO), working with Joy Shumake-Guillemot. There, I was a founding member of the Global Heat Health Information Network (GHHIN)</w:t>
      </w:r>
      <w:bookmarkStart w:id="11" w:name="_GoBack"/>
      <w:bookmarkEnd w:id="11"/>
    </w:p>
    <w:p w14:paraId="342E0FA9" w14:textId="1E4C1521" w:rsidR="00C817A6" w:rsidRPr="001174F6" w:rsidRDefault="007C719B" w:rsidP="56D10C38">
      <w:pPr>
        <w:pStyle w:val="Heading2"/>
        <w:rPr>
          <w:szCs w:val="24"/>
        </w:rPr>
      </w:pPr>
      <w:bookmarkStart w:id="12" w:name="_Toc7079056"/>
      <w:bookmarkStart w:id="13" w:name="_Toc8293430"/>
      <w:r w:rsidRPr="56D10C38">
        <w:t>Summary</w:t>
      </w:r>
      <w:bookmarkEnd w:id="12"/>
      <w:bookmarkEnd w:id="13"/>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14" w:name="_Toc8293431"/>
      <w:r w:rsidR="00522FCC">
        <w:lastRenderedPageBreak/>
        <w:t>Works cited</w:t>
      </w:r>
      <w:bookmarkEnd w:id="14"/>
    </w:p>
    <w:p w14:paraId="6A5E7E17" w14:textId="03D362AC" w:rsidR="00675D69" w:rsidRPr="00675D69" w:rsidRDefault="00A55581" w:rsidP="00675D69">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675D69" w:rsidRPr="00675D69">
        <w:rPr>
          <w:rFonts w:cs="Times New Roman"/>
          <w:noProof/>
          <w:lang w:val="en-US"/>
        </w:rPr>
        <w:t xml:space="preserve">Anderson, B. G., &amp; Bell, M. L. (2009). Weather-related mortality: how heat, cold, and heat waves affect mortality in the United States. </w:t>
      </w:r>
      <w:r w:rsidR="00675D69" w:rsidRPr="00675D69">
        <w:rPr>
          <w:rFonts w:cs="Times New Roman"/>
          <w:i/>
          <w:iCs/>
          <w:noProof/>
          <w:lang w:val="en-US"/>
        </w:rPr>
        <w:t>Epidemiology (Cambridge, Mass.)</w:t>
      </w:r>
      <w:r w:rsidR="00675D69" w:rsidRPr="00675D69">
        <w:rPr>
          <w:rFonts w:cs="Times New Roman"/>
          <w:noProof/>
          <w:lang w:val="en-US"/>
        </w:rPr>
        <w:t xml:space="preserve">, </w:t>
      </w:r>
      <w:r w:rsidR="00675D69" w:rsidRPr="00675D69">
        <w:rPr>
          <w:rFonts w:cs="Times New Roman"/>
          <w:i/>
          <w:iCs/>
          <w:noProof/>
          <w:lang w:val="en-US"/>
        </w:rPr>
        <w:t>20</w:t>
      </w:r>
      <w:r w:rsidR="00675D69" w:rsidRPr="00675D69">
        <w:rPr>
          <w:rFonts w:cs="Times New Roman"/>
          <w:noProof/>
          <w:lang w:val="en-US"/>
        </w:rPr>
        <w:t>(2), 205. https://doi.org/10.1097/EDE.0b013e318190ee08</w:t>
      </w:r>
    </w:p>
    <w:p w14:paraId="4618169D"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Basu, R. (2009). High ambient temperature and mortality: A review of epidemiologic studies from 2001 to 2008. </w:t>
      </w:r>
      <w:r w:rsidRPr="00675D69">
        <w:rPr>
          <w:rFonts w:cs="Times New Roman"/>
          <w:i/>
          <w:iCs/>
          <w:noProof/>
          <w:lang w:val="en-US"/>
        </w:rPr>
        <w:t>Environmental Health: A Global Access Science Source</w:t>
      </w:r>
      <w:r w:rsidRPr="00675D69">
        <w:rPr>
          <w:rFonts w:cs="Times New Roman"/>
          <w:noProof/>
          <w:lang w:val="en-US"/>
        </w:rPr>
        <w:t xml:space="preserve">, </w:t>
      </w:r>
      <w:r w:rsidRPr="00675D69">
        <w:rPr>
          <w:rFonts w:cs="Times New Roman"/>
          <w:i/>
          <w:iCs/>
          <w:noProof/>
          <w:lang w:val="en-US"/>
        </w:rPr>
        <w:t>8</w:t>
      </w:r>
      <w:r w:rsidRPr="00675D69">
        <w:rPr>
          <w:rFonts w:cs="Times New Roman"/>
          <w:noProof/>
          <w:lang w:val="en-US"/>
        </w:rPr>
        <w:t>(1), 40. https://doi.org/10.1186/1476-069X-8-40</w:t>
      </w:r>
    </w:p>
    <w:p w14:paraId="25287235"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Basu, R., &amp; Samet, J. M. (2002). Relation between elevated ambient temperature and mortality: A review of the epidemiologic evidence. </w:t>
      </w:r>
      <w:r w:rsidRPr="00675D69">
        <w:rPr>
          <w:rFonts w:cs="Times New Roman"/>
          <w:i/>
          <w:iCs/>
          <w:noProof/>
          <w:lang w:val="en-US"/>
        </w:rPr>
        <w:t>Epidemiologic Reviews</w:t>
      </w:r>
      <w:r w:rsidRPr="00675D69">
        <w:rPr>
          <w:rFonts w:cs="Times New Roman"/>
          <w:noProof/>
          <w:lang w:val="en-US"/>
        </w:rPr>
        <w:t>. https://doi.org/10.1093/epirev/mxf007</w:t>
      </w:r>
    </w:p>
    <w:p w14:paraId="1BB227AF"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Bennett, J. E., Blangiardo, M., Fecht, D., Elliott, P., &amp; Ezzati, M. (2014). Vulnerability to the mortality effects of warm temperature in the districts of England and Wales. </w:t>
      </w:r>
      <w:r w:rsidRPr="00675D69">
        <w:rPr>
          <w:rFonts w:cs="Times New Roman"/>
          <w:i/>
          <w:iCs/>
          <w:noProof/>
          <w:lang w:val="en-US"/>
        </w:rPr>
        <w:t>Nature Climate Change</w:t>
      </w:r>
      <w:r w:rsidRPr="00675D69">
        <w:rPr>
          <w:rFonts w:cs="Times New Roman"/>
          <w:noProof/>
          <w:lang w:val="en-US"/>
        </w:rPr>
        <w:t xml:space="preserve">, </w:t>
      </w:r>
      <w:r w:rsidRPr="00675D69">
        <w:rPr>
          <w:rFonts w:cs="Times New Roman"/>
          <w:i/>
          <w:iCs/>
          <w:noProof/>
          <w:lang w:val="en-US"/>
        </w:rPr>
        <w:t>4</w:t>
      </w:r>
      <w:r w:rsidRPr="00675D69">
        <w:rPr>
          <w:rFonts w:cs="Times New Roman"/>
          <w:noProof/>
          <w:lang w:val="en-US"/>
        </w:rPr>
        <w:t>(4), 269–273. https://doi.org/10.1038/nclimate2123</w:t>
      </w:r>
    </w:p>
    <w:p w14:paraId="1CA9228B"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Borden, K. A., &amp; Cutter, S. L. (2008). Spatial patterns of natural hazards mortality in the United States. </w:t>
      </w:r>
      <w:r w:rsidRPr="00675D69">
        <w:rPr>
          <w:rFonts w:cs="Times New Roman"/>
          <w:i/>
          <w:iCs/>
          <w:noProof/>
          <w:lang w:val="en-US"/>
        </w:rPr>
        <w:t>International Journal of Health Geographics</w:t>
      </w:r>
      <w:r w:rsidRPr="00675D69">
        <w:rPr>
          <w:rFonts w:cs="Times New Roman"/>
          <w:noProof/>
          <w:lang w:val="en-US"/>
        </w:rPr>
        <w:t>. https://doi.org/10.1186/1476-072X-7-64</w:t>
      </w:r>
    </w:p>
    <w:p w14:paraId="1F9EEA4B"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Brooke Anderson, G., &amp; Bell, M. L. (2011). Heat waves in the United States: Mortality risk during heat waves and effect modification by heat wave characteristics in 43 U.S. communities. </w:t>
      </w:r>
      <w:r w:rsidRPr="00675D69">
        <w:rPr>
          <w:rFonts w:cs="Times New Roman"/>
          <w:i/>
          <w:iCs/>
          <w:noProof/>
          <w:lang w:val="en-US"/>
        </w:rPr>
        <w:t>Environmental Health Perspectives</w:t>
      </w:r>
      <w:r w:rsidRPr="00675D69">
        <w:rPr>
          <w:rFonts w:cs="Times New Roman"/>
          <w:noProof/>
          <w:lang w:val="en-US"/>
        </w:rPr>
        <w:t>. https://doi.org/10.1289/ehp.1002313</w:t>
      </w:r>
    </w:p>
    <w:p w14:paraId="2E8EF0C6"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Brown, G., Fearn, V., &amp; Wells, C. (2010). Exploratory analysis of seasonal mortality in England and Wales, 1998 to 2007. </w:t>
      </w:r>
      <w:r w:rsidRPr="00675D69">
        <w:rPr>
          <w:rFonts w:cs="Times New Roman"/>
          <w:i/>
          <w:iCs/>
          <w:noProof/>
          <w:lang w:val="en-US"/>
        </w:rPr>
        <w:t>Health Statistics Quarterly</w:t>
      </w:r>
      <w:r w:rsidRPr="00675D69">
        <w:rPr>
          <w:rFonts w:cs="Times New Roman"/>
          <w:noProof/>
          <w:lang w:val="en-US"/>
        </w:rPr>
        <w:t>. https://doi.org/10.1057/hsq.2010.21</w:t>
      </w:r>
    </w:p>
    <w:p w14:paraId="3CB7B83E"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Burke, M., González, F., Baylis, P., Heft-Neal, S., Baysan, C., Basu, S., &amp; Hsiang, S. (2018). Higher temperatures increase suicide rates in the United States and Mexico. </w:t>
      </w:r>
      <w:r w:rsidRPr="00675D69">
        <w:rPr>
          <w:rFonts w:cs="Times New Roman"/>
          <w:i/>
          <w:iCs/>
          <w:noProof/>
          <w:lang w:val="en-US"/>
        </w:rPr>
        <w:t>Nature Climate Change</w:t>
      </w:r>
      <w:r w:rsidRPr="00675D69">
        <w:rPr>
          <w:rFonts w:cs="Times New Roman"/>
          <w:noProof/>
          <w:lang w:val="en-US"/>
        </w:rPr>
        <w:t>. https://doi.org/10.1038/s41558-018-0222-x</w:t>
      </w:r>
    </w:p>
    <w:p w14:paraId="6F23F3F8"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Carmona, R., Díaz, J., Mirón, I. J., Ortiz, C., Luna, M. Y., &amp; Linares, C. (2016). Mortality attributable to extreme temperatures in Spain: A comparative analysis by city. </w:t>
      </w:r>
      <w:r w:rsidRPr="00675D69">
        <w:rPr>
          <w:rFonts w:cs="Times New Roman"/>
          <w:i/>
          <w:iCs/>
          <w:noProof/>
          <w:lang w:val="en-US"/>
        </w:rPr>
        <w:t>Environment International</w:t>
      </w:r>
      <w:r w:rsidRPr="00675D69">
        <w:rPr>
          <w:rFonts w:cs="Times New Roman"/>
          <w:noProof/>
          <w:lang w:val="en-US"/>
        </w:rPr>
        <w:t>. https://doi.org/10.1016/j.envint.2016.02.018</w:t>
      </w:r>
    </w:p>
    <w:p w14:paraId="51535BF1"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Dee, D. P., Uppala, S. M., Simmons, A. J., Berrisford, P., Poli, P., Kobayashi, S., … Vitart, F. (2011). The ERA-Interim reanalysis: configuration and performance of the data assimilation system. </w:t>
      </w:r>
      <w:r w:rsidRPr="00675D69">
        <w:rPr>
          <w:rFonts w:cs="Times New Roman"/>
          <w:i/>
          <w:iCs/>
          <w:noProof/>
          <w:lang w:val="en-US"/>
        </w:rPr>
        <w:t>Quarterly Journal of the Royal Meteorological Society</w:t>
      </w:r>
      <w:r w:rsidRPr="00675D69">
        <w:rPr>
          <w:rFonts w:cs="Times New Roman"/>
          <w:noProof/>
          <w:lang w:val="en-US"/>
        </w:rPr>
        <w:t xml:space="preserve">, </w:t>
      </w:r>
      <w:r w:rsidRPr="00675D69">
        <w:rPr>
          <w:rFonts w:cs="Times New Roman"/>
          <w:i/>
          <w:iCs/>
          <w:noProof/>
          <w:lang w:val="en-US"/>
        </w:rPr>
        <w:t>137</w:t>
      </w:r>
      <w:r w:rsidRPr="00675D69">
        <w:rPr>
          <w:rFonts w:cs="Times New Roman"/>
          <w:noProof/>
          <w:lang w:val="en-US"/>
        </w:rPr>
        <w:t>(656), 553–597. https://doi.org/10.1002/qj.828</w:t>
      </w:r>
    </w:p>
    <w:p w14:paraId="05FB074B"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Department of Homeland Security. (2019). Extreme heat. Retrieved May 8, 2019, from https://www.ready.gov/heat</w:t>
      </w:r>
    </w:p>
    <w:p w14:paraId="0A537A74"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lastRenderedPageBreak/>
        <w:t xml:space="preserve">Feinstein, C. A. (2002). Seasonality of deaths in the US by age and cause. </w:t>
      </w:r>
      <w:r w:rsidRPr="00675D69">
        <w:rPr>
          <w:rFonts w:cs="Times New Roman"/>
          <w:i/>
          <w:iCs/>
          <w:noProof/>
          <w:lang w:val="en-US"/>
        </w:rPr>
        <w:t>Demographic Research</w:t>
      </w:r>
      <w:r w:rsidRPr="00675D69">
        <w:rPr>
          <w:rFonts w:cs="Times New Roman"/>
          <w:noProof/>
          <w:lang w:val="en-US"/>
        </w:rPr>
        <w:t xml:space="preserve">, </w:t>
      </w:r>
      <w:r w:rsidRPr="00675D69">
        <w:rPr>
          <w:rFonts w:cs="Times New Roman"/>
          <w:i/>
          <w:iCs/>
          <w:noProof/>
          <w:lang w:val="en-US"/>
        </w:rPr>
        <w:t>6</w:t>
      </w:r>
      <w:r w:rsidRPr="00675D69">
        <w:rPr>
          <w:rFonts w:cs="Times New Roman"/>
          <w:noProof/>
          <w:lang w:val="en-US"/>
        </w:rPr>
        <w:t>, 469–486. https://doi.org/10.4054/DemRes.2002.6.17</w:t>
      </w:r>
    </w:p>
    <w:p w14:paraId="3F8D5C14"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Garcia-Herrera, R., Díaz, J., Trigo, R. M., Luterbacher, J., &amp; Fischer, E. M. (2010). A review of the european summer heat wave of 2003. </w:t>
      </w:r>
      <w:r w:rsidRPr="00675D69">
        <w:rPr>
          <w:rFonts w:cs="Times New Roman"/>
          <w:i/>
          <w:iCs/>
          <w:noProof/>
          <w:lang w:val="en-US"/>
        </w:rPr>
        <w:t>Critical Reviews in Environmental Science and Technology</w:t>
      </w:r>
      <w:r w:rsidRPr="00675D69">
        <w:rPr>
          <w:rFonts w:cs="Times New Roman"/>
          <w:noProof/>
          <w:lang w:val="en-US"/>
        </w:rPr>
        <w:t>. https://doi.org/10.1080/10643380802238137</w:t>
      </w:r>
    </w:p>
    <w:p w14:paraId="2D123DFD"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Gasparrini, A., &amp; Armstrong, B. (2011). The impact of heat waves on mortality. </w:t>
      </w:r>
      <w:r w:rsidRPr="00675D69">
        <w:rPr>
          <w:rFonts w:cs="Times New Roman"/>
          <w:i/>
          <w:iCs/>
          <w:noProof/>
          <w:lang w:val="en-US"/>
        </w:rPr>
        <w:t>Epidemiol</w:t>
      </w:r>
      <w:r w:rsidRPr="00675D69">
        <w:rPr>
          <w:rFonts w:cs="Times New Roman"/>
          <w:noProof/>
          <w:lang w:val="en-US"/>
        </w:rPr>
        <w:t>. https://doi.org/10.1097/EDE.0b013e3181fdcd99</w:t>
      </w:r>
    </w:p>
    <w:p w14:paraId="2FE0DAC5"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Gasparrini, A., Armstrong, B., Kovats, S., &amp; Wilkinson, P. (2012). The effect of high temperatures on cause-specific mortality in England and Wales. </w:t>
      </w:r>
      <w:r w:rsidRPr="00675D69">
        <w:rPr>
          <w:rFonts w:cs="Times New Roman"/>
          <w:i/>
          <w:iCs/>
          <w:noProof/>
          <w:lang w:val="en-US"/>
        </w:rPr>
        <w:t>Occupational and Environmental Medicine</w:t>
      </w:r>
      <w:r w:rsidRPr="00675D69">
        <w:rPr>
          <w:rFonts w:cs="Times New Roman"/>
          <w:noProof/>
          <w:lang w:val="en-US"/>
        </w:rPr>
        <w:t>. https://doi.org/10.1136/oem.2010.059782</w:t>
      </w:r>
    </w:p>
    <w:p w14:paraId="60357275"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675D69">
        <w:rPr>
          <w:rFonts w:cs="Times New Roman"/>
          <w:i/>
          <w:iCs/>
          <w:noProof/>
          <w:lang w:val="en-US"/>
        </w:rPr>
        <w:t>The Lancet</w:t>
      </w:r>
      <w:r w:rsidRPr="00675D69">
        <w:rPr>
          <w:rFonts w:cs="Times New Roman"/>
          <w:noProof/>
          <w:lang w:val="en-US"/>
        </w:rPr>
        <w:t xml:space="preserve">, </w:t>
      </w:r>
      <w:r w:rsidRPr="00675D69">
        <w:rPr>
          <w:rFonts w:cs="Times New Roman"/>
          <w:i/>
          <w:iCs/>
          <w:noProof/>
          <w:lang w:val="en-US"/>
        </w:rPr>
        <w:t>386</w:t>
      </w:r>
      <w:r w:rsidRPr="00675D69">
        <w:rPr>
          <w:rFonts w:cs="Times New Roman"/>
          <w:noProof/>
          <w:lang w:val="en-US"/>
        </w:rPr>
        <w:t>(9991), 369–375. https://doi.org/10.1016/S0140-6736(14)62114-0</w:t>
      </w:r>
    </w:p>
    <w:p w14:paraId="7D74E9DC"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Gemmell, I., McLoone, P., Boddy, F. A., Dickinson, G. J., &amp; Watt, G. C. M. (2000). Seasonal variation in mortality in Scotland. </w:t>
      </w:r>
      <w:r w:rsidRPr="00675D69">
        <w:rPr>
          <w:rFonts w:cs="Times New Roman"/>
          <w:i/>
          <w:iCs/>
          <w:noProof/>
          <w:lang w:val="en-US"/>
        </w:rPr>
        <w:t>International Journal of Epidemiology</w:t>
      </w:r>
      <w:r w:rsidRPr="00675D69">
        <w:rPr>
          <w:rFonts w:cs="Times New Roman"/>
          <w:noProof/>
          <w:lang w:val="en-US"/>
        </w:rPr>
        <w:t>. https://doi.org/10.1093/ije/29.2.274</w:t>
      </w:r>
    </w:p>
    <w:p w14:paraId="093CAAB1"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Great Britain. (1876). Weekly return of births and deaths in London and in other great towns. </w:t>
      </w:r>
      <w:r w:rsidRPr="00675D69">
        <w:rPr>
          <w:rFonts w:cs="Times New Roman"/>
          <w:i/>
          <w:iCs/>
          <w:noProof/>
          <w:lang w:val="en-US"/>
        </w:rPr>
        <w:t>General Register Office</w:t>
      </w:r>
      <w:r w:rsidRPr="00675D69">
        <w:rPr>
          <w:rFonts w:cs="Times New Roman"/>
          <w:noProof/>
          <w:lang w:val="en-US"/>
        </w:rPr>
        <w:t>.</w:t>
      </w:r>
    </w:p>
    <w:p w14:paraId="776CEEE3"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Green, M. S., Harari, G., &amp; Kristal-Boneh, E. (2007). Excess winter mortality from ischaemic heart disease and stroke during colder and warmer years in Israel: An evaluation and review of the role of environmental temperature. </w:t>
      </w:r>
      <w:r w:rsidRPr="00675D69">
        <w:rPr>
          <w:rFonts w:cs="Times New Roman"/>
          <w:i/>
          <w:iCs/>
          <w:noProof/>
          <w:lang w:val="en-US"/>
        </w:rPr>
        <w:t>The European Journal of Public Health</w:t>
      </w:r>
      <w:r w:rsidRPr="00675D69">
        <w:rPr>
          <w:rFonts w:cs="Times New Roman"/>
          <w:noProof/>
          <w:lang w:val="en-US"/>
        </w:rPr>
        <w:t>. https://doi.org/10.1093/eurpub/4.1.3</w:t>
      </w:r>
    </w:p>
    <w:p w14:paraId="29156936"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Grenfell, B. T., Bjørnstad, O. N., &amp; Kappey, J. (2001). Travelling waves and spatial hierarchies in measles epidemics. </w:t>
      </w:r>
      <w:r w:rsidRPr="00675D69">
        <w:rPr>
          <w:rFonts w:cs="Times New Roman"/>
          <w:i/>
          <w:iCs/>
          <w:noProof/>
          <w:lang w:val="en-US"/>
        </w:rPr>
        <w:t>Nature</w:t>
      </w:r>
      <w:r w:rsidRPr="00675D69">
        <w:rPr>
          <w:rFonts w:cs="Times New Roman"/>
          <w:noProof/>
          <w:lang w:val="en-US"/>
        </w:rPr>
        <w:t xml:space="preserve">, </w:t>
      </w:r>
      <w:r w:rsidRPr="00675D69">
        <w:rPr>
          <w:rFonts w:cs="Times New Roman"/>
          <w:i/>
          <w:iCs/>
          <w:noProof/>
          <w:lang w:val="en-US"/>
        </w:rPr>
        <w:t>414</w:t>
      </w:r>
      <w:r w:rsidRPr="00675D69">
        <w:rPr>
          <w:rFonts w:cs="Times New Roman"/>
          <w:noProof/>
          <w:lang w:val="en-US"/>
        </w:rPr>
        <w:t>(6865), 716–723. https://doi.org/10.1038/414716a</w:t>
      </w:r>
    </w:p>
    <w:p w14:paraId="35720214"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675D69">
        <w:rPr>
          <w:rFonts w:cs="Times New Roman"/>
          <w:i/>
          <w:iCs/>
          <w:noProof/>
          <w:lang w:val="en-US"/>
        </w:rPr>
        <w:t>Journal of the Statistical Society of London</w:t>
      </w:r>
      <w:r w:rsidRPr="00675D69">
        <w:rPr>
          <w:rFonts w:cs="Times New Roman"/>
          <w:noProof/>
          <w:lang w:val="en-US"/>
        </w:rPr>
        <w:t>. https://doi.org/10.2307/2338211</w:t>
      </w:r>
    </w:p>
    <w:p w14:paraId="71C67B5A"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Guy, W. A. (1881). On temperature and its relation to mortality: An illustration of the application of the numerical method to the discovery of truth. </w:t>
      </w:r>
      <w:r w:rsidRPr="00675D69">
        <w:rPr>
          <w:rFonts w:cs="Times New Roman"/>
          <w:i/>
          <w:iCs/>
          <w:noProof/>
          <w:lang w:val="en-US"/>
        </w:rPr>
        <w:t>Journal of the Statistical Society of London</w:t>
      </w:r>
      <w:r w:rsidRPr="00675D69">
        <w:rPr>
          <w:rFonts w:cs="Times New Roman"/>
          <w:noProof/>
          <w:lang w:val="en-US"/>
        </w:rPr>
        <w:t>. https://doi.org/10.2307/2339225</w:t>
      </w:r>
    </w:p>
    <w:p w14:paraId="66770D7A"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Hajat, S., &amp; Gasparrini, A. (2016). The excess winter deaths measure: Why its use is misleading for public health understanding of cold-related health impacts. </w:t>
      </w:r>
      <w:r w:rsidRPr="00675D69">
        <w:rPr>
          <w:rFonts w:cs="Times New Roman"/>
          <w:i/>
          <w:iCs/>
          <w:noProof/>
          <w:lang w:val="en-US"/>
        </w:rPr>
        <w:t>Epidemiology</w:t>
      </w:r>
      <w:r w:rsidRPr="00675D69">
        <w:rPr>
          <w:rFonts w:cs="Times New Roman"/>
          <w:noProof/>
          <w:lang w:val="en-US"/>
        </w:rPr>
        <w:t>. https://doi.org/10.1097/EDE.0000000000000479</w:t>
      </w:r>
    </w:p>
    <w:p w14:paraId="004CDCD0"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lastRenderedPageBreak/>
        <w:t xml:space="preserve">Hajat, S., Kovats, R. S., &amp; Lachowycz, K. (2007). Heat-related and cold-related deaths in England and Wales: Who is at risk? </w:t>
      </w:r>
      <w:r w:rsidRPr="00675D69">
        <w:rPr>
          <w:rFonts w:cs="Times New Roman"/>
          <w:i/>
          <w:iCs/>
          <w:noProof/>
          <w:lang w:val="en-US"/>
        </w:rPr>
        <w:t>Occupational and Environmental Medicine</w:t>
      </w:r>
      <w:r w:rsidRPr="00675D69">
        <w:rPr>
          <w:rFonts w:cs="Times New Roman"/>
          <w:noProof/>
          <w:lang w:val="en-US"/>
        </w:rPr>
        <w:t>. https://doi.org/10.1136/oem.2006.029017</w:t>
      </w:r>
    </w:p>
    <w:p w14:paraId="1FBFC2B9"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Healy, J. D. (2003). Excess winter mortality in Europe: A cross country analysis identifying key risk factors. </w:t>
      </w:r>
      <w:r w:rsidRPr="00675D69">
        <w:rPr>
          <w:rFonts w:cs="Times New Roman"/>
          <w:i/>
          <w:iCs/>
          <w:noProof/>
          <w:lang w:val="en-US"/>
        </w:rPr>
        <w:t>Journal of Epidemiology and Community Health</w:t>
      </w:r>
      <w:r w:rsidRPr="00675D69">
        <w:rPr>
          <w:rFonts w:cs="Times New Roman"/>
          <w:noProof/>
          <w:lang w:val="en-US"/>
        </w:rPr>
        <w:t xml:space="preserve">, </w:t>
      </w:r>
      <w:r w:rsidRPr="00675D69">
        <w:rPr>
          <w:rFonts w:cs="Times New Roman"/>
          <w:i/>
          <w:iCs/>
          <w:noProof/>
          <w:lang w:val="en-US"/>
        </w:rPr>
        <w:t>57</w:t>
      </w:r>
      <w:r w:rsidRPr="00675D69">
        <w:rPr>
          <w:rFonts w:cs="Times New Roman"/>
          <w:noProof/>
          <w:lang w:val="en-US"/>
        </w:rPr>
        <w:t>(10), 784–789. https://doi.org/10.1136/jech.57.10.784</w:t>
      </w:r>
    </w:p>
    <w:p w14:paraId="1A9DFEAA"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IPCC. (2014a). </w:t>
      </w:r>
      <w:r w:rsidRPr="00675D69">
        <w:rPr>
          <w:rFonts w:cs="Times New Roman"/>
          <w:i/>
          <w:iCs/>
          <w:noProof/>
          <w:lang w:val="en-US"/>
        </w:rPr>
        <w:t>Climate Change 2014 – Impacts, Adaptation and Vulnerability: Part B: Regional Aspects: Working Group II Contribution to the IPCC Fifth Assessment Report.</w:t>
      </w:r>
      <w:r w:rsidRPr="00675D69">
        <w:rPr>
          <w:rFonts w:cs="Times New Roman"/>
          <w:noProof/>
          <w:lang w:val="en-US"/>
        </w:rPr>
        <w:t xml:space="preserve"> Cambridge University Press. https://doi.org/doi:10.1017/CBO9781107415386</w:t>
      </w:r>
    </w:p>
    <w:p w14:paraId="3A3F7E40"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IPCC. (2014b). </w:t>
      </w:r>
      <w:r w:rsidRPr="00675D69">
        <w:rPr>
          <w:rFonts w:cs="Times New Roman"/>
          <w:i/>
          <w:iCs/>
          <w:noProof/>
          <w:lang w:val="en-US"/>
        </w:rPr>
        <w:t>Climate Change 2014 Synthesis Report</w:t>
      </w:r>
      <w:r w:rsidRPr="00675D69">
        <w:rPr>
          <w:rFonts w:cs="Times New Roman"/>
          <w:noProof/>
          <w:lang w:val="en-US"/>
        </w:rPr>
        <w:t xml:space="preserve">. </w:t>
      </w:r>
      <w:r w:rsidRPr="00675D69">
        <w:rPr>
          <w:rFonts w:cs="Times New Roman"/>
          <w:i/>
          <w:iCs/>
          <w:noProof/>
          <w:lang w:val="en-US"/>
        </w:rPr>
        <w:t>IPCC Fifth Assessment Report</w:t>
      </w:r>
      <w:r w:rsidRPr="00675D69">
        <w:rPr>
          <w:rFonts w:cs="Times New Roman"/>
          <w:noProof/>
          <w:lang w:val="en-US"/>
        </w:rPr>
        <w:t>.</w:t>
      </w:r>
    </w:p>
    <w:p w14:paraId="30DB2376"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Kaiser, R., Le Tertre, A., Schwartz, J., Gotway, C. A., Daley, W. R., &amp; Rubin, C. H. (2007). The effect of the 1995 heat wave in Chicago on all-cause and cause-specific mortality. </w:t>
      </w:r>
      <w:r w:rsidRPr="00675D69">
        <w:rPr>
          <w:rFonts w:cs="Times New Roman"/>
          <w:i/>
          <w:iCs/>
          <w:noProof/>
          <w:lang w:val="en-US"/>
        </w:rPr>
        <w:t>American Journal of Public Health</w:t>
      </w:r>
      <w:r w:rsidRPr="00675D69">
        <w:rPr>
          <w:rFonts w:cs="Times New Roman"/>
          <w:noProof/>
          <w:lang w:val="en-US"/>
        </w:rPr>
        <w:t>. https://doi.org/10.2105/AJPH.2006.100081</w:t>
      </w:r>
    </w:p>
    <w:p w14:paraId="61EC20E9"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Kalkstein, A. J. (2013). Regional Similarities in Seasonal Mortality across the United States: An Examination of 28 Metropolitan Statistical Areas. </w:t>
      </w:r>
      <w:r w:rsidRPr="00675D69">
        <w:rPr>
          <w:rFonts w:cs="Times New Roman"/>
          <w:i/>
          <w:iCs/>
          <w:noProof/>
          <w:lang w:val="en-US"/>
        </w:rPr>
        <w:t>PLoS ONE</w:t>
      </w:r>
      <w:r w:rsidRPr="00675D69">
        <w:rPr>
          <w:rFonts w:cs="Times New Roman"/>
          <w:noProof/>
          <w:lang w:val="en-US"/>
        </w:rPr>
        <w:t xml:space="preserve">, </w:t>
      </w:r>
      <w:r w:rsidRPr="00675D69">
        <w:rPr>
          <w:rFonts w:cs="Times New Roman"/>
          <w:i/>
          <w:iCs/>
          <w:noProof/>
          <w:lang w:val="en-US"/>
        </w:rPr>
        <w:t>8</w:t>
      </w:r>
      <w:r w:rsidRPr="00675D69">
        <w:rPr>
          <w:rFonts w:cs="Times New Roman"/>
          <w:noProof/>
          <w:lang w:val="en-US"/>
        </w:rPr>
        <w:t>(5). https://doi.org/10.1371/journal.pone.0063971</w:t>
      </w:r>
    </w:p>
    <w:p w14:paraId="3AB76994"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Kilbourne, E. M. (1997). Heat Waves and Hot Environments. </w:t>
      </w:r>
      <w:r w:rsidRPr="00675D69">
        <w:rPr>
          <w:rFonts w:cs="Times New Roman"/>
          <w:i/>
          <w:iCs/>
          <w:noProof/>
          <w:lang w:val="en-US"/>
        </w:rPr>
        <w:t>The Public Health Consequence of Disasters</w:t>
      </w:r>
      <w:r w:rsidRPr="00675D69">
        <w:rPr>
          <w:rFonts w:cs="Times New Roman"/>
          <w:noProof/>
          <w:lang w:val="en-US"/>
        </w:rPr>
        <w:t>.</w:t>
      </w:r>
    </w:p>
    <w:p w14:paraId="295A31ED"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Kinney, P. L., Schwartz, J., Pascal, M., Petkova, E., Tertre, A. Le, Medina, S., &amp; Vautard, R. (2015). Winter season mortality: Will climate warming bring benefits? </w:t>
      </w:r>
      <w:r w:rsidRPr="00675D69">
        <w:rPr>
          <w:rFonts w:cs="Times New Roman"/>
          <w:i/>
          <w:iCs/>
          <w:noProof/>
          <w:lang w:val="en-US"/>
        </w:rPr>
        <w:t>Environmental Research Letters</w:t>
      </w:r>
      <w:r w:rsidRPr="00675D69">
        <w:rPr>
          <w:rFonts w:cs="Times New Roman"/>
          <w:noProof/>
          <w:lang w:val="en-US"/>
        </w:rPr>
        <w:t xml:space="preserve">, </w:t>
      </w:r>
      <w:r w:rsidRPr="00675D69">
        <w:rPr>
          <w:rFonts w:cs="Times New Roman"/>
          <w:i/>
          <w:iCs/>
          <w:noProof/>
          <w:lang w:val="en-US"/>
        </w:rPr>
        <w:t>10</w:t>
      </w:r>
      <w:r w:rsidRPr="00675D69">
        <w:rPr>
          <w:rFonts w:cs="Times New Roman"/>
          <w:noProof/>
          <w:lang w:val="en-US"/>
        </w:rPr>
        <w:t>(6). https://doi.org/10.1088/1748-9326/10/6/064016</w:t>
      </w:r>
    </w:p>
    <w:p w14:paraId="043A1ECD"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Kovats, R. S., &amp; Hajat, S. (2008). Heat Stress and Public Health: A Critical Review. </w:t>
      </w:r>
      <w:r w:rsidRPr="00675D69">
        <w:rPr>
          <w:rFonts w:cs="Times New Roman"/>
          <w:i/>
          <w:iCs/>
          <w:noProof/>
          <w:lang w:val="en-US"/>
        </w:rPr>
        <w:t>Annual Review of Public Health</w:t>
      </w:r>
      <w:r w:rsidRPr="00675D69">
        <w:rPr>
          <w:rFonts w:cs="Times New Roman"/>
          <w:noProof/>
          <w:lang w:val="en-US"/>
        </w:rPr>
        <w:t>. https://doi.org/10.1146/annurev.publhealth.29.020907.090843</w:t>
      </w:r>
    </w:p>
    <w:p w14:paraId="44BC5FCF"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Laake, K., &amp; Sverre, J. M. (1996). Winter excess mortality: A comparison between Norway and England plus Wales. </w:t>
      </w:r>
      <w:r w:rsidRPr="00675D69">
        <w:rPr>
          <w:rFonts w:cs="Times New Roman"/>
          <w:i/>
          <w:iCs/>
          <w:noProof/>
          <w:lang w:val="en-US"/>
        </w:rPr>
        <w:t>Age and Ageing</w:t>
      </w:r>
      <w:r w:rsidRPr="00675D69">
        <w:rPr>
          <w:rFonts w:cs="Times New Roman"/>
          <w:noProof/>
          <w:lang w:val="en-US"/>
        </w:rPr>
        <w:t>. https://doi.org/10.1093/ageing/25.5.343</w:t>
      </w:r>
    </w:p>
    <w:p w14:paraId="09B47107"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Le Tertre, A., Lefranc, A. A., Eilstein, D., Declercq, C., Medina, S., Blanchard, M., … Ledrans, M. (2006). Impact of the 2003 Heatwave on All-Cause Mortality in 9 French Cities. </w:t>
      </w:r>
      <w:r w:rsidRPr="00675D69">
        <w:rPr>
          <w:rFonts w:cs="Times New Roman"/>
          <w:i/>
          <w:iCs/>
          <w:noProof/>
          <w:lang w:val="en-US"/>
        </w:rPr>
        <w:t>Epidemiology</w:t>
      </w:r>
      <w:r w:rsidRPr="00675D69">
        <w:rPr>
          <w:rFonts w:cs="Times New Roman"/>
          <w:noProof/>
          <w:lang w:val="en-US"/>
        </w:rPr>
        <w:t xml:space="preserve">, </w:t>
      </w:r>
      <w:r w:rsidRPr="00675D69">
        <w:rPr>
          <w:rFonts w:cs="Times New Roman"/>
          <w:i/>
          <w:iCs/>
          <w:noProof/>
          <w:lang w:val="en-US"/>
        </w:rPr>
        <w:t>17</w:t>
      </w:r>
      <w:r w:rsidRPr="00675D69">
        <w:rPr>
          <w:rFonts w:cs="Times New Roman"/>
          <w:noProof/>
          <w:lang w:val="en-US"/>
        </w:rPr>
        <w:t>(1), 75–79. https://doi.org/10.1097/01.ede.0000187650.36636.1f</w:t>
      </w:r>
    </w:p>
    <w:p w14:paraId="6A60D170"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675D69">
        <w:rPr>
          <w:rFonts w:cs="Times New Roman"/>
          <w:i/>
          <w:iCs/>
          <w:noProof/>
          <w:lang w:val="en-US"/>
        </w:rPr>
        <w:t>Scientific Reports</w:t>
      </w:r>
      <w:r w:rsidRPr="00675D69">
        <w:rPr>
          <w:rFonts w:cs="Times New Roman"/>
          <w:noProof/>
          <w:lang w:val="en-US"/>
        </w:rPr>
        <w:t>. https://doi.org/10.1038/srep28161</w:t>
      </w:r>
    </w:p>
    <w:p w14:paraId="1F4FA2DC"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Lowe, R., Ballester, J., Creswick, J., Robine, J. M., Herrmann, F. R., &amp; Rodó, X. (2015). Evaluating the performance of a climate-driven mortality model during heat waves and </w:t>
      </w:r>
      <w:r w:rsidRPr="00675D69">
        <w:rPr>
          <w:rFonts w:cs="Times New Roman"/>
          <w:noProof/>
          <w:lang w:val="en-US"/>
        </w:rPr>
        <w:lastRenderedPageBreak/>
        <w:t xml:space="preserve">cold spells in Europe. </w:t>
      </w:r>
      <w:r w:rsidRPr="00675D69">
        <w:rPr>
          <w:rFonts w:cs="Times New Roman"/>
          <w:i/>
          <w:iCs/>
          <w:noProof/>
          <w:lang w:val="en-US"/>
        </w:rPr>
        <w:t>International Journal of Environmental Research and Public Health</w:t>
      </w:r>
      <w:r w:rsidRPr="00675D69">
        <w:rPr>
          <w:rFonts w:cs="Times New Roman"/>
          <w:noProof/>
          <w:lang w:val="en-US"/>
        </w:rPr>
        <w:t>. https://doi.org/10.3390/ijerph120201279</w:t>
      </w:r>
    </w:p>
    <w:p w14:paraId="4D279E59"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Luterbacher, J., Dietrich, D., Xoplaki, E., Grosjean, M., &amp; Wanner, H. (2004). European Seasonal and Annual Temperature Variability, Trends, and Extremes since 1500. </w:t>
      </w:r>
      <w:r w:rsidRPr="00675D69">
        <w:rPr>
          <w:rFonts w:cs="Times New Roman"/>
          <w:i/>
          <w:iCs/>
          <w:noProof/>
          <w:lang w:val="en-US"/>
        </w:rPr>
        <w:t>Science</w:t>
      </w:r>
      <w:r w:rsidRPr="00675D69">
        <w:rPr>
          <w:rFonts w:cs="Times New Roman"/>
          <w:noProof/>
          <w:lang w:val="en-US"/>
        </w:rPr>
        <w:t>. https://doi.org/10.1126/science.1093877</w:t>
      </w:r>
    </w:p>
    <w:p w14:paraId="03F2A0AA"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Ma, J., Ward, E. M., Siegel, R. L., &amp; Jemal, A. (2015). Temporal trends in mortality in the United States, 1969-2013. </w:t>
      </w:r>
      <w:r w:rsidRPr="00675D69">
        <w:rPr>
          <w:rFonts w:cs="Times New Roman"/>
          <w:i/>
          <w:iCs/>
          <w:noProof/>
          <w:lang w:val="en-US"/>
        </w:rPr>
        <w:t>JAMA - Journal of the American Medical Association</w:t>
      </w:r>
      <w:r w:rsidRPr="00675D69">
        <w:rPr>
          <w:rFonts w:cs="Times New Roman"/>
          <w:noProof/>
          <w:lang w:val="en-US"/>
        </w:rPr>
        <w:t>. https://doi.org/10.1001/jama.2015.12319</w:t>
      </w:r>
    </w:p>
    <w:p w14:paraId="0E0A558E"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Mackenbach, J. P., Kunst, A. E., &amp; Looman, C. W. N. (1992). Seasonal variation in mortality in The Netherlands. </w:t>
      </w:r>
      <w:r w:rsidRPr="00675D69">
        <w:rPr>
          <w:rFonts w:cs="Times New Roman"/>
          <w:i/>
          <w:iCs/>
          <w:noProof/>
          <w:lang w:val="en-US"/>
        </w:rPr>
        <w:t>Journal of Epidemiology and Community Health</w:t>
      </w:r>
      <w:r w:rsidRPr="00675D69">
        <w:rPr>
          <w:rFonts w:cs="Times New Roman"/>
          <w:noProof/>
          <w:lang w:val="en-US"/>
        </w:rPr>
        <w:t xml:space="preserve">, </w:t>
      </w:r>
      <w:r w:rsidRPr="00675D69">
        <w:rPr>
          <w:rFonts w:cs="Times New Roman"/>
          <w:i/>
          <w:iCs/>
          <w:noProof/>
          <w:lang w:val="en-US"/>
        </w:rPr>
        <w:t>46</w:t>
      </w:r>
      <w:r w:rsidRPr="00675D69">
        <w:rPr>
          <w:rFonts w:cs="Times New Roman"/>
          <w:noProof/>
          <w:lang w:val="en-US"/>
        </w:rPr>
        <w:t>(3), 261–265. https://doi.org/10.1136/jech.46.3.261</w:t>
      </w:r>
    </w:p>
    <w:p w14:paraId="3D80DA1D"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Marti-Soler, H., Gonseth, S., Gubelmann, C., Stringhini, S., Bovet, P., Chen, P. C., … Marques-Vidal, P. (2014). Seasonal variation of overall and cardiovascular mortality: A study in 19 countries from different geographic locations. </w:t>
      </w:r>
      <w:r w:rsidRPr="00675D69">
        <w:rPr>
          <w:rFonts w:cs="Times New Roman"/>
          <w:i/>
          <w:iCs/>
          <w:noProof/>
          <w:lang w:val="en-US"/>
        </w:rPr>
        <w:t>PLoS ONE</w:t>
      </w:r>
      <w:r w:rsidRPr="00675D69">
        <w:rPr>
          <w:rFonts w:cs="Times New Roman"/>
          <w:noProof/>
          <w:lang w:val="en-US"/>
        </w:rPr>
        <w:t>. https://doi.org/10.1371/journal.pone.0113500</w:t>
      </w:r>
    </w:p>
    <w:p w14:paraId="133C66DA"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Miller, G. (1962). “Airs, waters, and places” in history. </w:t>
      </w:r>
      <w:r w:rsidRPr="00675D69">
        <w:rPr>
          <w:rFonts w:cs="Times New Roman"/>
          <w:i/>
          <w:iCs/>
          <w:noProof/>
          <w:lang w:val="en-US"/>
        </w:rPr>
        <w:t>Journal of the History of Medicine and Allied Sciences</w:t>
      </w:r>
      <w:r w:rsidRPr="00675D69">
        <w:rPr>
          <w:rFonts w:cs="Times New Roman"/>
          <w:noProof/>
          <w:lang w:val="en-US"/>
        </w:rPr>
        <w:t>. https://doi.org/10.1093/jhmas/XVII.1.129</w:t>
      </w:r>
    </w:p>
    <w:p w14:paraId="0F426448"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Moy, C. M., Seltzer, G. O., Rodbell, D. T., &amp; Anderson, D. M. (2002). Variability of El Niño/Southern Oscillation activity at millennial timescales during the Holocene epoch. </w:t>
      </w:r>
      <w:r w:rsidRPr="00675D69">
        <w:rPr>
          <w:rFonts w:cs="Times New Roman"/>
          <w:i/>
          <w:iCs/>
          <w:noProof/>
          <w:lang w:val="en-US"/>
        </w:rPr>
        <w:t>Nature</w:t>
      </w:r>
      <w:r w:rsidRPr="00675D69">
        <w:rPr>
          <w:rFonts w:cs="Times New Roman"/>
          <w:noProof/>
          <w:lang w:val="en-US"/>
        </w:rPr>
        <w:t xml:space="preserve">, </w:t>
      </w:r>
      <w:r w:rsidRPr="00675D69">
        <w:rPr>
          <w:rFonts w:cs="Times New Roman"/>
          <w:i/>
          <w:iCs/>
          <w:noProof/>
          <w:lang w:val="en-US"/>
        </w:rPr>
        <w:t>420</w:t>
      </w:r>
      <w:r w:rsidRPr="00675D69">
        <w:rPr>
          <w:rFonts w:cs="Times New Roman"/>
          <w:noProof/>
          <w:lang w:val="en-US"/>
        </w:rPr>
        <w:t>(6912), 162–165. https://doi.org/10.1038/nature01194</w:t>
      </w:r>
    </w:p>
    <w:p w14:paraId="010DE2A5"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675D69">
        <w:rPr>
          <w:rFonts w:cs="Times New Roman"/>
          <w:i/>
          <w:iCs/>
          <w:noProof/>
          <w:lang w:val="en-US"/>
        </w:rPr>
        <w:t>PLoS Medicine</w:t>
      </w:r>
      <w:r w:rsidRPr="00675D69">
        <w:rPr>
          <w:rFonts w:cs="Times New Roman"/>
          <w:noProof/>
          <w:lang w:val="en-US"/>
        </w:rPr>
        <w:t>. https://doi.org/10.1371/journal.pmed.0030260</w:t>
      </w:r>
    </w:p>
    <w:p w14:paraId="0CBC882B"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Nakaji, S., Parodi, S., Fontana, V., Umeda, T., Suzuki, K., Sakamoto, J., … Sugawara, K. (2004). Seasonal changes in mortality rates from main causes of death in Japan. </w:t>
      </w:r>
      <w:r w:rsidRPr="00675D69">
        <w:rPr>
          <w:rFonts w:cs="Times New Roman"/>
          <w:i/>
          <w:iCs/>
          <w:noProof/>
          <w:lang w:val="en-US"/>
        </w:rPr>
        <w:t>European Journal of Epidemiology</w:t>
      </w:r>
      <w:r w:rsidRPr="00675D69">
        <w:rPr>
          <w:rFonts w:cs="Times New Roman"/>
          <w:noProof/>
          <w:lang w:val="en-US"/>
        </w:rPr>
        <w:t>. https://doi.org/10.1007/s10654-004-4695-8</w:t>
      </w:r>
    </w:p>
    <w:p w14:paraId="37C0A440"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Newell, G. R., &amp; Waggoner, D. E. (1970). Cancer mortality and environmental temperature in the United States. </w:t>
      </w:r>
      <w:r w:rsidRPr="00675D69">
        <w:rPr>
          <w:rFonts w:cs="Times New Roman"/>
          <w:i/>
          <w:iCs/>
          <w:noProof/>
          <w:lang w:val="en-US"/>
        </w:rPr>
        <w:t>The Lancet</w:t>
      </w:r>
      <w:r w:rsidRPr="00675D69">
        <w:rPr>
          <w:rFonts w:cs="Times New Roman"/>
          <w:noProof/>
          <w:lang w:val="en-US"/>
        </w:rPr>
        <w:t>. https://doi.org/10.1016/S0140-6736(70)90988-8</w:t>
      </w:r>
    </w:p>
    <w:p w14:paraId="746A0D4A"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NOAA. (2014). NOAA Weather Stations. Retrieved January 8, 2019, from https://www.arcgis.com/home/webmap/viewer.html?webmap=fa40207019de41bc9a37ea1f5235ae0c</w:t>
      </w:r>
    </w:p>
    <w:p w14:paraId="238CD6E8"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6D1D420B"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lastRenderedPageBreak/>
        <w:t xml:space="preserve">Orru, H., &amp; Åström, D. O. (2017). Increases in external cause mortality due to high and low temperatures: evidence from northeastern Europe. </w:t>
      </w:r>
      <w:r w:rsidRPr="00675D69">
        <w:rPr>
          <w:rFonts w:cs="Times New Roman"/>
          <w:i/>
          <w:iCs/>
          <w:noProof/>
          <w:lang w:val="en-US"/>
        </w:rPr>
        <w:t>International Journal of Biometeorology</w:t>
      </w:r>
      <w:r w:rsidRPr="00675D69">
        <w:rPr>
          <w:rFonts w:cs="Times New Roman"/>
          <w:noProof/>
          <w:lang w:val="en-US"/>
        </w:rPr>
        <w:t>. https://doi.org/10.1007/s00484-016-1270-4</w:t>
      </w:r>
    </w:p>
    <w:p w14:paraId="167B8FF1"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Pfister, C., Brázdil, R., Glaser, R., Barriendos, M., Camuffo, D., Deutsch, M., … Rodrigo, F. S. (1999). Documentary evidence on climate in sixteenth-century Europe. </w:t>
      </w:r>
      <w:r w:rsidRPr="00675D69">
        <w:rPr>
          <w:rFonts w:cs="Times New Roman"/>
          <w:i/>
          <w:iCs/>
          <w:noProof/>
          <w:lang w:val="en-US"/>
        </w:rPr>
        <w:t>Climatic Change</w:t>
      </w:r>
      <w:r w:rsidRPr="00675D69">
        <w:rPr>
          <w:rFonts w:cs="Times New Roman"/>
          <w:noProof/>
          <w:lang w:val="en-US"/>
        </w:rPr>
        <w:t>. https://doi.org/10.1023/A:1005540707792</w:t>
      </w:r>
    </w:p>
    <w:p w14:paraId="1D4DD26A"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Rau, R. (2004). Seasonality in human mortality. A demographic approach. </w:t>
      </w:r>
      <w:r w:rsidRPr="00675D69">
        <w:rPr>
          <w:rFonts w:cs="Times New Roman"/>
          <w:i/>
          <w:iCs/>
          <w:noProof/>
          <w:lang w:val="en-US"/>
        </w:rPr>
        <w:t>Wirtschafts- Und Sozialwissenschaftlichen Fakultät</w:t>
      </w:r>
      <w:r w:rsidRPr="00675D69">
        <w:rPr>
          <w:rFonts w:cs="Times New Roman"/>
          <w:noProof/>
          <w:lang w:val="en-US"/>
        </w:rPr>
        <w:t xml:space="preserve">, </w:t>
      </w:r>
      <w:r w:rsidRPr="00675D69">
        <w:rPr>
          <w:rFonts w:cs="Times New Roman"/>
          <w:i/>
          <w:iCs/>
          <w:noProof/>
          <w:lang w:val="en-US"/>
        </w:rPr>
        <w:t>PhD</w:t>
      </w:r>
      <w:r w:rsidRPr="00675D69">
        <w:rPr>
          <w:rFonts w:cs="Times New Roman"/>
          <w:noProof/>
          <w:lang w:val="en-US"/>
        </w:rPr>
        <w:t>, 361. https://doi.org/10.1007/978-3-540-44902-7</w:t>
      </w:r>
    </w:p>
    <w:p w14:paraId="4D8DF962"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Rau, R., Bohk-Ewald, C., Muszyńska, M. M., &amp; Vaupel, J. W. (2018). </w:t>
      </w:r>
      <w:r w:rsidRPr="00675D69">
        <w:rPr>
          <w:rFonts w:cs="Times New Roman"/>
          <w:i/>
          <w:iCs/>
          <w:noProof/>
          <w:lang w:val="en-US"/>
        </w:rPr>
        <w:t>Visualizing Mortality Dynamics in the Lexis Diagram</w:t>
      </w:r>
      <w:r w:rsidRPr="00675D69">
        <w:rPr>
          <w:rFonts w:cs="Times New Roman"/>
          <w:noProof/>
          <w:lang w:val="en-US"/>
        </w:rPr>
        <w:t>. https://doi.org/10.1007/978-3-319-64820-0</w:t>
      </w:r>
    </w:p>
    <w:p w14:paraId="5AA50C60"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Reichert, T. A., Simonsen, L., Sharma, A., Pardo, S. A., Fedson, D. S., &amp; Miller, M. A. (2004). Influenza and the winter increase in mortality in the United States, 1959-1999. </w:t>
      </w:r>
      <w:r w:rsidRPr="00675D69">
        <w:rPr>
          <w:rFonts w:cs="Times New Roman"/>
          <w:i/>
          <w:iCs/>
          <w:noProof/>
          <w:lang w:val="en-US"/>
        </w:rPr>
        <w:t>American Journal of Epidemiology</w:t>
      </w:r>
      <w:r w:rsidRPr="00675D69">
        <w:rPr>
          <w:rFonts w:cs="Times New Roman"/>
          <w:noProof/>
          <w:lang w:val="en-US"/>
        </w:rPr>
        <w:t>. https://doi.org/10.1093/aje/kwh227</w:t>
      </w:r>
    </w:p>
    <w:p w14:paraId="08D8AEAC"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Rey, G., Jougla, E., Fouillet, A., Pavillon, G., Bessemoulin, P., Frayssinet, P., … Hémon, D. (2007). The impact of major heat waves on all-cause and cause-specific mortality in France from 1971 to 2003. </w:t>
      </w:r>
      <w:r w:rsidRPr="00675D69">
        <w:rPr>
          <w:rFonts w:cs="Times New Roman"/>
          <w:i/>
          <w:iCs/>
          <w:noProof/>
          <w:lang w:val="en-US"/>
        </w:rPr>
        <w:t>International Archives of Occupational and Environmental Health</w:t>
      </w:r>
      <w:r w:rsidRPr="00675D69">
        <w:rPr>
          <w:rFonts w:cs="Times New Roman"/>
          <w:noProof/>
          <w:lang w:val="en-US"/>
        </w:rPr>
        <w:t>. https://doi.org/10.1007/s00420-007-0173-4</w:t>
      </w:r>
    </w:p>
    <w:p w14:paraId="7BB1B042"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Rogot, E., Fabsitz, R., &amp; Feinleib, M. (1976). Daily variation In USA mortality. </w:t>
      </w:r>
      <w:r w:rsidRPr="00675D69">
        <w:rPr>
          <w:rFonts w:cs="Times New Roman"/>
          <w:i/>
          <w:iCs/>
          <w:noProof/>
          <w:lang w:val="en-US"/>
        </w:rPr>
        <w:t>American Journal of Epidemiology</w:t>
      </w:r>
      <w:r w:rsidRPr="00675D69">
        <w:rPr>
          <w:rFonts w:cs="Times New Roman"/>
          <w:noProof/>
          <w:lang w:val="en-US"/>
        </w:rPr>
        <w:t>. https://doi.org/10.1093/oxfordjournals.aje.a112218</w:t>
      </w:r>
    </w:p>
    <w:p w14:paraId="6AC3C185"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Rosenwaike, I. (1966). Seasonal Variation of Deaths in the United States, 1951–1960. </w:t>
      </w:r>
      <w:r w:rsidRPr="00675D69">
        <w:rPr>
          <w:rFonts w:cs="Times New Roman"/>
          <w:i/>
          <w:iCs/>
          <w:noProof/>
          <w:lang w:val="en-US"/>
        </w:rPr>
        <w:t>Journal of the American Statistical Association</w:t>
      </w:r>
      <w:r w:rsidRPr="00675D69">
        <w:rPr>
          <w:rFonts w:cs="Times New Roman"/>
          <w:noProof/>
          <w:lang w:val="en-US"/>
        </w:rPr>
        <w:t xml:space="preserve">, </w:t>
      </w:r>
      <w:r w:rsidRPr="00675D69">
        <w:rPr>
          <w:rFonts w:cs="Times New Roman"/>
          <w:i/>
          <w:iCs/>
          <w:noProof/>
          <w:lang w:val="en-US"/>
        </w:rPr>
        <w:t>61</w:t>
      </w:r>
      <w:r w:rsidRPr="00675D69">
        <w:rPr>
          <w:rFonts w:cs="Times New Roman"/>
          <w:noProof/>
          <w:lang w:val="en-US"/>
        </w:rPr>
        <w:t>(315), 706–719. https://doi.org/10.1080/01621459.1966.10480899</w:t>
      </w:r>
    </w:p>
    <w:p w14:paraId="72E3FABB"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Rue, H., Martino, S., &amp; Chopin, N. (2009). Approximate Bayesian inference for latent Gaussian models by using integrated nested Laplace approximations. </w:t>
      </w:r>
      <w:r w:rsidRPr="00675D69">
        <w:rPr>
          <w:rFonts w:cs="Times New Roman"/>
          <w:i/>
          <w:iCs/>
          <w:noProof/>
          <w:lang w:val="en-US"/>
        </w:rPr>
        <w:t>Journal of the Royal Statistical Society. Series B: Statistical Methodology</w:t>
      </w:r>
      <w:r w:rsidRPr="00675D69">
        <w:rPr>
          <w:rFonts w:cs="Times New Roman"/>
          <w:noProof/>
          <w:lang w:val="en-US"/>
        </w:rPr>
        <w:t>. https://doi.org/10.1111/j.1467-9868.2008.00700.x</w:t>
      </w:r>
    </w:p>
    <w:p w14:paraId="2F16DBF5"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Semenza, J. C., Rubin, C. H., Falter, K. H., Selanikio, J. D., Flanders, W. D., Howe, H. L., &amp; Wilhelm, J. L. (1996). Heat-Related Deaths during the July 1995 Heat Wave in Chicago. </w:t>
      </w:r>
      <w:r w:rsidRPr="00675D69">
        <w:rPr>
          <w:rFonts w:cs="Times New Roman"/>
          <w:i/>
          <w:iCs/>
          <w:noProof/>
          <w:lang w:val="en-US"/>
        </w:rPr>
        <w:t>New England Journal of Medicine</w:t>
      </w:r>
      <w:r w:rsidRPr="00675D69">
        <w:rPr>
          <w:rFonts w:cs="Times New Roman"/>
          <w:noProof/>
          <w:lang w:val="en-US"/>
        </w:rPr>
        <w:t>. https://doi.org/10.1056/NEJM199607113350203</w:t>
      </w:r>
    </w:p>
    <w:p w14:paraId="1B0121F2"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Shaw, B. D. (2006). Seasons of death: aspects of mortality in Imperial Rome. </w:t>
      </w:r>
      <w:r w:rsidRPr="00675D69">
        <w:rPr>
          <w:rFonts w:cs="Times New Roman"/>
          <w:i/>
          <w:iCs/>
          <w:noProof/>
          <w:lang w:val="en-US"/>
        </w:rPr>
        <w:t>The Journal of Roman Studies</w:t>
      </w:r>
      <w:r w:rsidRPr="00675D69">
        <w:rPr>
          <w:rFonts w:cs="Times New Roman"/>
          <w:noProof/>
          <w:lang w:val="en-US"/>
        </w:rPr>
        <w:t>. https://doi.org/10.2307/300425</w:t>
      </w:r>
    </w:p>
    <w:p w14:paraId="157FEF86"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Song, X., Wang, S., Hu, Y., Yue, M., Zhang, T., Liu, Y., … Shang, K. (2017). Impact of ambient temperature on morbidity and mortality: An overview of reviews. </w:t>
      </w:r>
      <w:r w:rsidRPr="00675D69">
        <w:rPr>
          <w:rFonts w:cs="Times New Roman"/>
          <w:i/>
          <w:iCs/>
          <w:noProof/>
          <w:lang w:val="en-US"/>
        </w:rPr>
        <w:t>Science of The Total Environment</w:t>
      </w:r>
      <w:r w:rsidRPr="00675D69">
        <w:rPr>
          <w:rFonts w:cs="Times New Roman"/>
          <w:noProof/>
          <w:lang w:val="en-US"/>
        </w:rPr>
        <w:t xml:space="preserve">, </w:t>
      </w:r>
      <w:r w:rsidRPr="00675D69">
        <w:rPr>
          <w:rFonts w:cs="Times New Roman"/>
          <w:i/>
          <w:iCs/>
          <w:noProof/>
          <w:lang w:val="en-US"/>
        </w:rPr>
        <w:t>586</w:t>
      </w:r>
      <w:r w:rsidRPr="00675D69">
        <w:rPr>
          <w:rFonts w:cs="Times New Roman"/>
          <w:noProof/>
          <w:lang w:val="en-US"/>
        </w:rPr>
        <w:t>, 241–254. Retrieved from internal-pdf://121.226.169.224/1-s2.0-S0048969717302292-main.pdf</w:t>
      </w:r>
    </w:p>
    <w:p w14:paraId="68149A67"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lastRenderedPageBreak/>
        <w:t xml:space="preserve">The Eurowinter Group. (1997). Cold exposure and winter mortality from ischaemic heart disease, cerebrovascular disease, respiratory disease, and all causes in warm and cold regions of Europe. </w:t>
      </w:r>
      <w:r w:rsidRPr="00675D69">
        <w:rPr>
          <w:rFonts w:cs="Times New Roman"/>
          <w:i/>
          <w:iCs/>
          <w:noProof/>
          <w:lang w:val="en-US"/>
        </w:rPr>
        <w:t>Lancet</w:t>
      </w:r>
      <w:r w:rsidRPr="00675D69">
        <w:rPr>
          <w:rFonts w:cs="Times New Roman"/>
          <w:noProof/>
          <w:lang w:val="en-US"/>
        </w:rPr>
        <w:t xml:space="preserve">, </w:t>
      </w:r>
      <w:r w:rsidRPr="00675D69">
        <w:rPr>
          <w:rFonts w:cs="Times New Roman"/>
          <w:i/>
          <w:iCs/>
          <w:noProof/>
          <w:lang w:val="en-US"/>
        </w:rPr>
        <w:t>349</w:t>
      </w:r>
      <w:r w:rsidRPr="00675D69">
        <w:rPr>
          <w:rFonts w:cs="Times New Roman"/>
          <w:noProof/>
          <w:lang w:val="en-US"/>
        </w:rPr>
        <w:t>, 1341–46. https://doi.org/S0140673696123382 [pii]</w:t>
      </w:r>
    </w:p>
    <w:p w14:paraId="7974607E"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Trudeau, R. (1997). Monthly and daily patterns of death. </w:t>
      </w:r>
      <w:r w:rsidRPr="00675D69">
        <w:rPr>
          <w:rFonts w:cs="Times New Roman"/>
          <w:i/>
          <w:iCs/>
          <w:noProof/>
          <w:lang w:val="en-US"/>
        </w:rPr>
        <w:t>Statistics Canada</w:t>
      </w:r>
      <w:r w:rsidRPr="00675D69">
        <w:rPr>
          <w:rFonts w:cs="Times New Roman"/>
          <w:noProof/>
          <w:lang w:val="en-US"/>
        </w:rPr>
        <w:t xml:space="preserve">, </w:t>
      </w:r>
      <w:r w:rsidRPr="00675D69">
        <w:rPr>
          <w:rFonts w:cs="Times New Roman"/>
          <w:i/>
          <w:iCs/>
          <w:noProof/>
          <w:lang w:val="en-US"/>
        </w:rPr>
        <w:t>9</w:t>
      </w:r>
      <w:r w:rsidRPr="00675D69">
        <w:rPr>
          <w:rFonts w:cs="Times New Roman"/>
          <w:noProof/>
          <w:lang w:val="en-US"/>
        </w:rPr>
        <w:t>(1).</w:t>
      </w:r>
    </w:p>
    <w:p w14:paraId="00A6C461"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UNISDR. (2015). Sendai Framework for Disaster Risk Reduction 2015 - 2030. </w:t>
      </w:r>
      <w:r w:rsidRPr="00675D69">
        <w:rPr>
          <w:rFonts w:cs="Times New Roman"/>
          <w:i/>
          <w:iCs/>
          <w:noProof/>
          <w:lang w:val="en-US"/>
        </w:rPr>
        <w:t>Third World Conference on Disaster Risk Reduction, Sendai, Japan, 14-18 March 2015.</w:t>
      </w:r>
      <w:r w:rsidRPr="00675D69">
        <w:rPr>
          <w:rFonts w:cs="Times New Roman"/>
          <w:noProof/>
          <w:lang w:val="en-US"/>
        </w:rPr>
        <w:t>, (March), 1–25. https://doi.org/A/CONF.224/CRP.1</w:t>
      </w:r>
    </w:p>
    <w:p w14:paraId="18C8616E"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Vose, R. S., Applequist, S., Squires, M., Durre, I., Menne, C. J., Williams, C. N., … Arndt, D. (2014). Improved historical temperature and precipitation time series for U.S. climate divisions. </w:t>
      </w:r>
      <w:r w:rsidRPr="00675D69">
        <w:rPr>
          <w:rFonts w:cs="Times New Roman"/>
          <w:i/>
          <w:iCs/>
          <w:noProof/>
          <w:lang w:val="en-US"/>
        </w:rPr>
        <w:t>Journal of Applied Meteorology and Climatology</w:t>
      </w:r>
      <w:r w:rsidRPr="00675D69">
        <w:rPr>
          <w:rFonts w:cs="Times New Roman"/>
          <w:noProof/>
          <w:lang w:val="en-US"/>
        </w:rPr>
        <w:t>. https://doi.org/10.1175/JAMC-D-13-0248.1</w:t>
      </w:r>
    </w:p>
    <w:p w14:paraId="5A4E8889"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WHO. (2016). </w:t>
      </w:r>
      <w:r w:rsidRPr="00675D69">
        <w:rPr>
          <w:rFonts w:cs="Times New Roman"/>
          <w:i/>
          <w:iCs/>
          <w:noProof/>
          <w:lang w:val="en-US"/>
        </w:rPr>
        <w:t>World Health Statistics 2016 Monitoring Health for the SDGs</w:t>
      </w:r>
      <w:r w:rsidRPr="00675D69">
        <w:rPr>
          <w:rFonts w:cs="Times New Roman"/>
          <w:noProof/>
          <w:lang w:val="en-US"/>
        </w:rPr>
        <w:t xml:space="preserve">. </w:t>
      </w:r>
      <w:r w:rsidRPr="00675D69">
        <w:rPr>
          <w:rFonts w:cs="Times New Roman"/>
          <w:i/>
          <w:iCs/>
          <w:noProof/>
          <w:lang w:val="en-US"/>
        </w:rPr>
        <w:t>WHO Library Cataloguing-in-Publication Data World</w:t>
      </w:r>
      <w:r w:rsidRPr="00675D69">
        <w:rPr>
          <w:rFonts w:cs="Times New Roman"/>
          <w:noProof/>
          <w:lang w:val="en-US"/>
        </w:rPr>
        <w:t>.</w:t>
      </w:r>
    </w:p>
    <w:p w14:paraId="11D8D15E"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WHO. (2018a). WHO Methods and Data Sources for Country-Level Cause of Death 2000-2016, (March), 1–51. https://doi.org/ISBN 9789241564854</w:t>
      </w:r>
    </w:p>
    <w:p w14:paraId="45E4B9FF"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WHO. (2018b). WHO methods and data sources for life tables 1990-2016. Retrieved from http://www.who.int/healthinfo/statistics/LT_method.pdf</w:t>
      </w:r>
    </w:p>
    <w:p w14:paraId="72C043F9"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WMO. (2016). Guidelines on the Defintion and Monitoring of Extreme Weather and Climate Events. </w:t>
      </w:r>
      <w:r w:rsidRPr="00675D69">
        <w:rPr>
          <w:rFonts w:cs="Times New Roman"/>
          <w:i/>
          <w:iCs/>
          <w:noProof/>
          <w:lang w:val="en-US"/>
        </w:rPr>
        <w:t>Task Team on the Definition of Extreme Weather and Climate Events</w:t>
      </w:r>
      <w:r w:rsidRPr="00675D69">
        <w:rPr>
          <w:rFonts w:cs="Times New Roman"/>
          <w:noProof/>
          <w:lang w:val="en-US"/>
        </w:rPr>
        <w:t>, (December 2015), 62. https://doi.org/http://dx.doi.org/10.1016/j.corsci.2014.12.017</w:t>
      </w:r>
    </w:p>
    <w:p w14:paraId="54FCAD94" w14:textId="77777777" w:rsidR="00675D69" w:rsidRPr="00675D69" w:rsidRDefault="00675D69" w:rsidP="00675D69">
      <w:pPr>
        <w:widowControl w:val="0"/>
        <w:autoSpaceDE w:val="0"/>
        <w:autoSpaceDN w:val="0"/>
        <w:adjustRightInd w:val="0"/>
        <w:spacing w:line="240" w:lineRule="auto"/>
        <w:ind w:left="480" w:hanging="480"/>
        <w:rPr>
          <w:rFonts w:cs="Times New Roman"/>
          <w:noProof/>
          <w:lang w:val="en-US"/>
        </w:rPr>
      </w:pPr>
      <w:r w:rsidRPr="00675D69">
        <w:rPr>
          <w:rFonts w:cs="Times New Roman"/>
          <w:noProof/>
          <w:lang w:val="en-US"/>
        </w:rPr>
        <w:t xml:space="preserve">Ye, X., Wolff, R., Yu, W., Vaneckova, P., Pan, X., &amp; Tong, S. (2012). Ambient temperature and morbidity: a review of epidemiological evidence. </w:t>
      </w:r>
      <w:r w:rsidRPr="00675D69">
        <w:rPr>
          <w:rFonts w:cs="Times New Roman"/>
          <w:i/>
          <w:iCs/>
          <w:noProof/>
          <w:lang w:val="en-US"/>
        </w:rPr>
        <w:t>Environmental Health Perspectives</w:t>
      </w:r>
      <w:r w:rsidRPr="00675D69">
        <w:rPr>
          <w:rFonts w:cs="Times New Roman"/>
          <w:noProof/>
          <w:lang w:val="en-US"/>
        </w:rPr>
        <w:t xml:space="preserve">, </w:t>
      </w:r>
      <w:r w:rsidRPr="00675D69">
        <w:rPr>
          <w:rFonts w:cs="Times New Roman"/>
          <w:i/>
          <w:iCs/>
          <w:noProof/>
          <w:lang w:val="en-US"/>
        </w:rPr>
        <w:t>120</w:t>
      </w:r>
      <w:r w:rsidRPr="00675D69">
        <w:rPr>
          <w:rFonts w:cs="Times New Roman"/>
          <w:noProof/>
          <w:lang w:val="en-US"/>
        </w:rPr>
        <w:t>(1), 19–28. https://doi.org/10.1289/ehp.1003198</w:t>
      </w:r>
    </w:p>
    <w:p w14:paraId="7C9BE5FF" w14:textId="77777777" w:rsidR="00675D69" w:rsidRPr="00675D69" w:rsidRDefault="00675D69" w:rsidP="00675D69">
      <w:pPr>
        <w:widowControl w:val="0"/>
        <w:autoSpaceDE w:val="0"/>
        <w:autoSpaceDN w:val="0"/>
        <w:adjustRightInd w:val="0"/>
        <w:spacing w:line="240" w:lineRule="auto"/>
        <w:ind w:left="480" w:hanging="480"/>
        <w:rPr>
          <w:rFonts w:cs="Times New Roman"/>
          <w:noProof/>
        </w:rPr>
      </w:pPr>
      <w:r w:rsidRPr="00675D69">
        <w:rPr>
          <w:rFonts w:cs="Times New Roman"/>
          <w:noProof/>
          <w:lang w:val="en-US"/>
        </w:rPr>
        <w:t xml:space="preserve">Zanobetti, A., O’Neill, M. S., Gronlund, C. J., &amp; Schwartz, J. D. (2012). Summer temperature variability and long-term survival among elderly people with chronic disease. </w:t>
      </w:r>
      <w:r w:rsidRPr="00675D69">
        <w:rPr>
          <w:rFonts w:cs="Times New Roman"/>
          <w:i/>
          <w:iCs/>
          <w:noProof/>
          <w:lang w:val="en-US"/>
        </w:rPr>
        <w:t>Proceedings of the National Academy of Sciences</w:t>
      </w:r>
      <w:r w:rsidRPr="00675D69">
        <w:rPr>
          <w:rFonts w:cs="Times New Roman"/>
          <w:noProof/>
          <w:lang w:val="en-US"/>
        </w:rPr>
        <w:t>. https://doi.org/10.1073/pnas.1113070109</w:t>
      </w:r>
    </w:p>
    <w:p w14:paraId="14D0E6E5" w14:textId="41994AD5" w:rsidR="009011C5" w:rsidRPr="00636C9B" w:rsidRDefault="00A55581" w:rsidP="00675D69">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7086D2" w14:textId="77777777" w:rsidR="00261676" w:rsidRDefault="00261676">
      <w:pPr>
        <w:spacing w:after="0" w:line="240" w:lineRule="auto"/>
      </w:pPr>
      <w:r>
        <w:separator/>
      </w:r>
    </w:p>
  </w:endnote>
  <w:endnote w:type="continuationSeparator" w:id="0">
    <w:p w14:paraId="78232938" w14:textId="77777777" w:rsidR="00261676" w:rsidRDefault="002616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10641" w:rsidRDefault="0061064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10641" w:rsidRDefault="0061064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A38784" w14:textId="77777777" w:rsidR="00261676" w:rsidRDefault="00261676">
      <w:pPr>
        <w:spacing w:after="0" w:line="240" w:lineRule="auto"/>
      </w:pPr>
      <w:r>
        <w:separator/>
      </w:r>
    </w:p>
  </w:footnote>
  <w:footnote w:type="continuationSeparator" w:id="0">
    <w:p w14:paraId="0F461F1D" w14:textId="77777777" w:rsidR="00261676" w:rsidRDefault="002616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7"/>
  </w:num>
  <w:num w:numId="2">
    <w:abstractNumId w:val="16"/>
  </w:num>
  <w:num w:numId="3">
    <w:abstractNumId w:val="13"/>
  </w:num>
  <w:num w:numId="4">
    <w:abstractNumId w:val="15"/>
  </w:num>
  <w:num w:numId="5">
    <w:abstractNumId w:val="3"/>
  </w:num>
  <w:num w:numId="6">
    <w:abstractNumId w:val="4"/>
  </w:num>
  <w:num w:numId="7">
    <w:abstractNumId w:val="2"/>
  </w:num>
  <w:num w:numId="8">
    <w:abstractNumId w:val="10"/>
  </w:num>
  <w:num w:numId="9">
    <w:abstractNumId w:val="14"/>
  </w:num>
  <w:num w:numId="10">
    <w:abstractNumId w:val="9"/>
  </w:num>
  <w:num w:numId="11">
    <w:abstractNumId w:val="11"/>
  </w:num>
  <w:num w:numId="12">
    <w:abstractNumId w:val="8"/>
  </w:num>
  <w:num w:numId="13">
    <w:abstractNumId w:val="6"/>
  </w:num>
  <w:num w:numId="14">
    <w:abstractNumId w:val="5"/>
  </w:num>
  <w:num w:numId="15">
    <w:abstractNumId w:val="12"/>
  </w:num>
  <w:num w:numId="16">
    <w:abstractNumId w:val="12"/>
  </w:num>
  <w:num w:numId="17">
    <w:abstractNumId w:val="12"/>
  </w:num>
  <w:num w:numId="18">
    <w:abstractNumId w:val="12"/>
  </w:num>
  <w:num w:numId="19">
    <w:abstractNumId w:val="12"/>
  </w:num>
  <w:num w:numId="20">
    <w:abstractNumId w:val="0"/>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62B"/>
    <w:rsid w:val="00016713"/>
    <w:rsid w:val="00016E6B"/>
    <w:rsid w:val="0001712A"/>
    <w:rsid w:val="000177DB"/>
    <w:rsid w:val="00017B34"/>
    <w:rsid w:val="00020C6F"/>
    <w:rsid w:val="000210D1"/>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24"/>
    <w:rsid w:val="0003317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175B"/>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951"/>
    <w:rsid w:val="00071F79"/>
    <w:rsid w:val="000721B3"/>
    <w:rsid w:val="00072C38"/>
    <w:rsid w:val="00072CAE"/>
    <w:rsid w:val="000732FB"/>
    <w:rsid w:val="00073ADC"/>
    <w:rsid w:val="00073B07"/>
    <w:rsid w:val="00073C2A"/>
    <w:rsid w:val="00073F1B"/>
    <w:rsid w:val="000752A7"/>
    <w:rsid w:val="00075402"/>
    <w:rsid w:val="00075501"/>
    <w:rsid w:val="0007648C"/>
    <w:rsid w:val="000765BB"/>
    <w:rsid w:val="00077792"/>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915"/>
    <w:rsid w:val="00095F25"/>
    <w:rsid w:val="000962A3"/>
    <w:rsid w:val="00097348"/>
    <w:rsid w:val="00097EE3"/>
    <w:rsid w:val="000A084D"/>
    <w:rsid w:val="000A0A5E"/>
    <w:rsid w:val="000A0BD8"/>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6649"/>
    <w:rsid w:val="000D7491"/>
    <w:rsid w:val="000D7718"/>
    <w:rsid w:val="000E0A8A"/>
    <w:rsid w:val="000E0B58"/>
    <w:rsid w:val="000E0B8D"/>
    <w:rsid w:val="000E1812"/>
    <w:rsid w:val="000E1B12"/>
    <w:rsid w:val="000E1DDA"/>
    <w:rsid w:val="000E2FBB"/>
    <w:rsid w:val="000E4433"/>
    <w:rsid w:val="000E4726"/>
    <w:rsid w:val="000E48D7"/>
    <w:rsid w:val="000E49E0"/>
    <w:rsid w:val="000E60FC"/>
    <w:rsid w:val="000E6236"/>
    <w:rsid w:val="000E665B"/>
    <w:rsid w:val="000F0627"/>
    <w:rsid w:val="000F0913"/>
    <w:rsid w:val="000F09F9"/>
    <w:rsid w:val="000F0C79"/>
    <w:rsid w:val="000F1035"/>
    <w:rsid w:val="000F1DF7"/>
    <w:rsid w:val="000F3189"/>
    <w:rsid w:val="000F386F"/>
    <w:rsid w:val="000F3D7A"/>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086C"/>
    <w:rsid w:val="00111694"/>
    <w:rsid w:val="00112077"/>
    <w:rsid w:val="00112085"/>
    <w:rsid w:val="001121F5"/>
    <w:rsid w:val="00112CB4"/>
    <w:rsid w:val="00112F7C"/>
    <w:rsid w:val="00113023"/>
    <w:rsid w:val="00113FD5"/>
    <w:rsid w:val="00114168"/>
    <w:rsid w:val="00114B42"/>
    <w:rsid w:val="001151EB"/>
    <w:rsid w:val="00115F35"/>
    <w:rsid w:val="0011649A"/>
    <w:rsid w:val="001167CB"/>
    <w:rsid w:val="001171AC"/>
    <w:rsid w:val="001174F6"/>
    <w:rsid w:val="001209A6"/>
    <w:rsid w:val="00120C95"/>
    <w:rsid w:val="00120F44"/>
    <w:rsid w:val="00122769"/>
    <w:rsid w:val="00123742"/>
    <w:rsid w:val="00123D04"/>
    <w:rsid w:val="00123DA5"/>
    <w:rsid w:val="001242F1"/>
    <w:rsid w:val="00124496"/>
    <w:rsid w:val="0012466F"/>
    <w:rsid w:val="00124AAF"/>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29B3"/>
    <w:rsid w:val="00143121"/>
    <w:rsid w:val="00143E18"/>
    <w:rsid w:val="00144387"/>
    <w:rsid w:val="00144A7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9E1"/>
    <w:rsid w:val="00165B58"/>
    <w:rsid w:val="00166430"/>
    <w:rsid w:val="0016666B"/>
    <w:rsid w:val="001668BC"/>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0C6D"/>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4A"/>
    <w:rsid w:val="001C27D1"/>
    <w:rsid w:val="001C2D6F"/>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1EEA"/>
    <w:rsid w:val="001E298C"/>
    <w:rsid w:val="001E2DDB"/>
    <w:rsid w:val="001E3C37"/>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510"/>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466"/>
    <w:rsid w:val="002166AE"/>
    <w:rsid w:val="00216745"/>
    <w:rsid w:val="00217120"/>
    <w:rsid w:val="002172DD"/>
    <w:rsid w:val="00217529"/>
    <w:rsid w:val="00217F61"/>
    <w:rsid w:val="00220930"/>
    <w:rsid w:val="00220C4B"/>
    <w:rsid w:val="00221A47"/>
    <w:rsid w:val="00222168"/>
    <w:rsid w:val="00222524"/>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B6F"/>
    <w:rsid w:val="00237CA3"/>
    <w:rsid w:val="00237CD0"/>
    <w:rsid w:val="002406B4"/>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F6"/>
    <w:rsid w:val="002545CA"/>
    <w:rsid w:val="002545FD"/>
    <w:rsid w:val="00254AB4"/>
    <w:rsid w:val="00254B2A"/>
    <w:rsid w:val="00255125"/>
    <w:rsid w:val="002551CF"/>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676"/>
    <w:rsid w:val="00261E04"/>
    <w:rsid w:val="0026224F"/>
    <w:rsid w:val="00262BC5"/>
    <w:rsid w:val="002633F6"/>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7143"/>
    <w:rsid w:val="002773C7"/>
    <w:rsid w:val="00277E2F"/>
    <w:rsid w:val="00280E5B"/>
    <w:rsid w:val="0028102F"/>
    <w:rsid w:val="00281454"/>
    <w:rsid w:val="00282769"/>
    <w:rsid w:val="002833DC"/>
    <w:rsid w:val="00283C48"/>
    <w:rsid w:val="00283E06"/>
    <w:rsid w:val="00283E6C"/>
    <w:rsid w:val="00283F75"/>
    <w:rsid w:val="0028476C"/>
    <w:rsid w:val="00284C2E"/>
    <w:rsid w:val="00284DC4"/>
    <w:rsid w:val="00284EE0"/>
    <w:rsid w:val="0028518E"/>
    <w:rsid w:val="002855D6"/>
    <w:rsid w:val="00285791"/>
    <w:rsid w:val="00286225"/>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8C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9A3"/>
    <w:rsid w:val="002C1B3A"/>
    <w:rsid w:val="002C1DFB"/>
    <w:rsid w:val="002C2244"/>
    <w:rsid w:val="002C2541"/>
    <w:rsid w:val="002C2D96"/>
    <w:rsid w:val="002C3C82"/>
    <w:rsid w:val="002C4371"/>
    <w:rsid w:val="002C45C7"/>
    <w:rsid w:val="002C4C73"/>
    <w:rsid w:val="002C5216"/>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65A"/>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6A2A"/>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1373"/>
    <w:rsid w:val="00321590"/>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0FBE"/>
    <w:rsid w:val="00331274"/>
    <w:rsid w:val="00332383"/>
    <w:rsid w:val="0033298B"/>
    <w:rsid w:val="0033375D"/>
    <w:rsid w:val="003340AF"/>
    <w:rsid w:val="00334A02"/>
    <w:rsid w:val="00334A3C"/>
    <w:rsid w:val="00334CAF"/>
    <w:rsid w:val="00334F2A"/>
    <w:rsid w:val="00335B57"/>
    <w:rsid w:val="00336B3C"/>
    <w:rsid w:val="00336CBD"/>
    <w:rsid w:val="00337ABD"/>
    <w:rsid w:val="00337BF7"/>
    <w:rsid w:val="0034334E"/>
    <w:rsid w:val="00343EBC"/>
    <w:rsid w:val="00345A02"/>
    <w:rsid w:val="003462A6"/>
    <w:rsid w:val="0034640E"/>
    <w:rsid w:val="003464A7"/>
    <w:rsid w:val="003467F3"/>
    <w:rsid w:val="0034749E"/>
    <w:rsid w:val="00347A19"/>
    <w:rsid w:val="00347B7D"/>
    <w:rsid w:val="00347C53"/>
    <w:rsid w:val="00347D81"/>
    <w:rsid w:val="003504DB"/>
    <w:rsid w:val="00350B39"/>
    <w:rsid w:val="003510BB"/>
    <w:rsid w:val="00351B6E"/>
    <w:rsid w:val="00352D62"/>
    <w:rsid w:val="003530D4"/>
    <w:rsid w:val="003536AD"/>
    <w:rsid w:val="00353D25"/>
    <w:rsid w:val="003542CE"/>
    <w:rsid w:val="0035438E"/>
    <w:rsid w:val="0035533D"/>
    <w:rsid w:val="00356025"/>
    <w:rsid w:val="0035659D"/>
    <w:rsid w:val="00357A10"/>
    <w:rsid w:val="00357D07"/>
    <w:rsid w:val="00357D26"/>
    <w:rsid w:val="00360A89"/>
    <w:rsid w:val="0036143F"/>
    <w:rsid w:val="00361EAF"/>
    <w:rsid w:val="003625E9"/>
    <w:rsid w:val="00362889"/>
    <w:rsid w:val="00362961"/>
    <w:rsid w:val="00363012"/>
    <w:rsid w:val="00363362"/>
    <w:rsid w:val="00363A45"/>
    <w:rsid w:val="00364E5E"/>
    <w:rsid w:val="0036553B"/>
    <w:rsid w:val="00365F79"/>
    <w:rsid w:val="003665D8"/>
    <w:rsid w:val="0036664E"/>
    <w:rsid w:val="00367067"/>
    <w:rsid w:val="0036742A"/>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648"/>
    <w:rsid w:val="00392C44"/>
    <w:rsid w:val="00392CC0"/>
    <w:rsid w:val="0039358E"/>
    <w:rsid w:val="003939B4"/>
    <w:rsid w:val="00393C87"/>
    <w:rsid w:val="00394D30"/>
    <w:rsid w:val="00395BA5"/>
    <w:rsid w:val="00395CB4"/>
    <w:rsid w:val="00396351"/>
    <w:rsid w:val="00397387"/>
    <w:rsid w:val="0039751B"/>
    <w:rsid w:val="0039796B"/>
    <w:rsid w:val="00397BAF"/>
    <w:rsid w:val="003A006B"/>
    <w:rsid w:val="003A02EB"/>
    <w:rsid w:val="003A239F"/>
    <w:rsid w:val="003A36B7"/>
    <w:rsid w:val="003A3A3F"/>
    <w:rsid w:val="003A3D1B"/>
    <w:rsid w:val="003A3DF2"/>
    <w:rsid w:val="003A4583"/>
    <w:rsid w:val="003A470E"/>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C97"/>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761"/>
    <w:rsid w:val="00431E3F"/>
    <w:rsid w:val="00431E5E"/>
    <w:rsid w:val="004337CB"/>
    <w:rsid w:val="00433EDB"/>
    <w:rsid w:val="00434C0F"/>
    <w:rsid w:val="00434F33"/>
    <w:rsid w:val="0043541D"/>
    <w:rsid w:val="00435FBB"/>
    <w:rsid w:val="0043664C"/>
    <w:rsid w:val="004366E7"/>
    <w:rsid w:val="00436EFD"/>
    <w:rsid w:val="00437A1A"/>
    <w:rsid w:val="00437DE6"/>
    <w:rsid w:val="00440177"/>
    <w:rsid w:val="0044079D"/>
    <w:rsid w:val="00441DFA"/>
    <w:rsid w:val="004428B5"/>
    <w:rsid w:val="00442AF2"/>
    <w:rsid w:val="00443903"/>
    <w:rsid w:val="00443AA8"/>
    <w:rsid w:val="00444D1A"/>
    <w:rsid w:val="00445372"/>
    <w:rsid w:val="004453B7"/>
    <w:rsid w:val="004455F1"/>
    <w:rsid w:val="004455F6"/>
    <w:rsid w:val="004468EB"/>
    <w:rsid w:val="00446A46"/>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13E"/>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1233"/>
    <w:rsid w:val="00472234"/>
    <w:rsid w:val="00472D21"/>
    <w:rsid w:val="00474579"/>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3E58"/>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9A1"/>
    <w:rsid w:val="004A01F7"/>
    <w:rsid w:val="004A04FD"/>
    <w:rsid w:val="004A0635"/>
    <w:rsid w:val="004A11D9"/>
    <w:rsid w:val="004A176D"/>
    <w:rsid w:val="004A1BC7"/>
    <w:rsid w:val="004A2303"/>
    <w:rsid w:val="004A2551"/>
    <w:rsid w:val="004A2E0F"/>
    <w:rsid w:val="004A3366"/>
    <w:rsid w:val="004A35D9"/>
    <w:rsid w:val="004A3EC4"/>
    <w:rsid w:val="004A4077"/>
    <w:rsid w:val="004A48F3"/>
    <w:rsid w:val="004A5074"/>
    <w:rsid w:val="004A5369"/>
    <w:rsid w:val="004A5A2E"/>
    <w:rsid w:val="004A5D5B"/>
    <w:rsid w:val="004A5D7D"/>
    <w:rsid w:val="004A5FF9"/>
    <w:rsid w:val="004A7EFA"/>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531E"/>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600"/>
    <w:rsid w:val="004F688A"/>
    <w:rsid w:val="004F6928"/>
    <w:rsid w:val="004F6D6F"/>
    <w:rsid w:val="004F6D96"/>
    <w:rsid w:val="004F757A"/>
    <w:rsid w:val="004F7B5D"/>
    <w:rsid w:val="004F7F15"/>
    <w:rsid w:val="004F7FD8"/>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5972"/>
    <w:rsid w:val="00506358"/>
    <w:rsid w:val="00506AF4"/>
    <w:rsid w:val="00506E2A"/>
    <w:rsid w:val="00507D53"/>
    <w:rsid w:val="00510397"/>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8DE"/>
    <w:rsid w:val="005259CD"/>
    <w:rsid w:val="00526044"/>
    <w:rsid w:val="00527229"/>
    <w:rsid w:val="005276F5"/>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72F1"/>
    <w:rsid w:val="00550361"/>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67F88"/>
    <w:rsid w:val="00570D06"/>
    <w:rsid w:val="00571673"/>
    <w:rsid w:val="0057228F"/>
    <w:rsid w:val="005725BE"/>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569"/>
    <w:rsid w:val="00596653"/>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0EE"/>
    <w:rsid w:val="005A6AE5"/>
    <w:rsid w:val="005A6D1A"/>
    <w:rsid w:val="005A7068"/>
    <w:rsid w:val="005A7329"/>
    <w:rsid w:val="005A7A30"/>
    <w:rsid w:val="005B00A0"/>
    <w:rsid w:val="005B0307"/>
    <w:rsid w:val="005B03DF"/>
    <w:rsid w:val="005B041B"/>
    <w:rsid w:val="005B0A2B"/>
    <w:rsid w:val="005B1CF9"/>
    <w:rsid w:val="005B25ED"/>
    <w:rsid w:val="005B2808"/>
    <w:rsid w:val="005B29CA"/>
    <w:rsid w:val="005B36C6"/>
    <w:rsid w:val="005B38BA"/>
    <w:rsid w:val="005B39FC"/>
    <w:rsid w:val="005B3C4B"/>
    <w:rsid w:val="005B40DC"/>
    <w:rsid w:val="005B4B00"/>
    <w:rsid w:val="005B4DFF"/>
    <w:rsid w:val="005B5156"/>
    <w:rsid w:val="005B5A84"/>
    <w:rsid w:val="005B69E7"/>
    <w:rsid w:val="005B71EA"/>
    <w:rsid w:val="005B744E"/>
    <w:rsid w:val="005B771B"/>
    <w:rsid w:val="005B7B1D"/>
    <w:rsid w:val="005C07C6"/>
    <w:rsid w:val="005C0F5B"/>
    <w:rsid w:val="005C2298"/>
    <w:rsid w:val="005C26CB"/>
    <w:rsid w:val="005C2D9A"/>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4D9"/>
    <w:rsid w:val="005D379A"/>
    <w:rsid w:val="005D3960"/>
    <w:rsid w:val="005D462E"/>
    <w:rsid w:val="005D4926"/>
    <w:rsid w:val="005D5BB7"/>
    <w:rsid w:val="005D6443"/>
    <w:rsid w:val="005D73D0"/>
    <w:rsid w:val="005D75D9"/>
    <w:rsid w:val="005D7922"/>
    <w:rsid w:val="005D7A85"/>
    <w:rsid w:val="005E051B"/>
    <w:rsid w:val="005E0DB0"/>
    <w:rsid w:val="005E0E67"/>
    <w:rsid w:val="005E1410"/>
    <w:rsid w:val="005E2481"/>
    <w:rsid w:val="005E2E4E"/>
    <w:rsid w:val="005E3005"/>
    <w:rsid w:val="005E329F"/>
    <w:rsid w:val="005E32A5"/>
    <w:rsid w:val="005E3707"/>
    <w:rsid w:val="005E39E4"/>
    <w:rsid w:val="005E4E2B"/>
    <w:rsid w:val="005E4F41"/>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40FA"/>
    <w:rsid w:val="00604782"/>
    <w:rsid w:val="00604B53"/>
    <w:rsid w:val="0060525A"/>
    <w:rsid w:val="0060531B"/>
    <w:rsid w:val="00605BD6"/>
    <w:rsid w:val="00606AED"/>
    <w:rsid w:val="0060743F"/>
    <w:rsid w:val="00607D56"/>
    <w:rsid w:val="00610641"/>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B0A"/>
    <w:rsid w:val="00624C72"/>
    <w:rsid w:val="00625055"/>
    <w:rsid w:val="00625138"/>
    <w:rsid w:val="00625474"/>
    <w:rsid w:val="00625880"/>
    <w:rsid w:val="00625B27"/>
    <w:rsid w:val="00626906"/>
    <w:rsid w:val="00627DDC"/>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B3"/>
    <w:rsid w:val="00646FEE"/>
    <w:rsid w:val="00647252"/>
    <w:rsid w:val="00647483"/>
    <w:rsid w:val="00647F0F"/>
    <w:rsid w:val="0065029D"/>
    <w:rsid w:val="00650702"/>
    <w:rsid w:val="00650B40"/>
    <w:rsid w:val="00650CDF"/>
    <w:rsid w:val="00650D76"/>
    <w:rsid w:val="00651062"/>
    <w:rsid w:val="00651564"/>
    <w:rsid w:val="00651B40"/>
    <w:rsid w:val="00651E45"/>
    <w:rsid w:val="00651FB2"/>
    <w:rsid w:val="00652AC7"/>
    <w:rsid w:val="006542C5"/>
    <w:rsid w:val="00654669"/>
    <w:rsid w:val="006546F0"/>
    <w:rsid w:val="00654895"/>
    <w:rsid w:val="00655358"/>
    <w:rsid w:val="006567DD"/>
    <w:rsid w:val="006573E5"/>
    <w:rsid w:val="00657B91"/>
    <w:rsid w:val="00657CEE"/>
    <w:rsid w:val="00660C7D"/>
    <w:rsid w:val="00660D5C"/>
    <w:rsid w:val="00660FA9"/>
    <w:rsid w:val="00661B1E"/>
    <w:rsid w:val="00661BB4"/>
    <w:rsid w:val="00662D9A"/>
    <w:rsid w:val="0066306F"/>
    <w:rsid w:val="006633AD"/>
    <w:rsid w:val="0066400A"/>
    <w:rsid w:val="00664921"/>
    <w:rsid w:val="00664C7F"/>
    <w:rsid w:val="00665BF4"/>
    <w:rsid w:val="00666194"/>
    <w:rsid w:val="00666376"/>
    <w:rsid w:val="00670146"/>
    <w:rsid w:val="00670CE3"/>
    <w:rsid w:val="00670E5A"/>
    <w:rsid w:val="00670EC7"/>
    <w:rsid w:val="00671218"/>
    <w:rsid w:val="006714E4"/>
    <w:rsid w:val="00671DC6"/>
    <w:rsid w:val="00671E7D"/>
    <w:rsid w:val="00673042"/>
    <w:rsid w:val="00673416"/>
    <w:rsid w:val="00674EF1"/>
    <w:rsid w:val="00675CCF"/>
    <w:rsid w:val="00675D69"/>
    <w:rsid w:val="00675F82"/>
    <w:rsid w:val="006761AB"/>
    <w:rsid w:val="0067689E"/>
    <w:rsid w:val="00676F7E"/>
    <w:rsid w:val="00680088"/>
    <w:rsid w:val="006800AB"/>
    <w:rsid w:val="00680CEC"/>
    <w:rsid w:val="00680E5C"/>
    <w:rsid w:val="00680FBB"/>
    <w:rsid w:val="0068134B"/>
    <w:rsid w:val="00681F09"/>
    <w:rsid w:val="006824BA"/>
    <w:rsid w:val="00682572"/>
    <w:rsid w:val="006827E4"/>
    <w:rsid w:val="00682E67"/>
    <w:rsid w:val="00682EB0"/>
    <w:rsid w:val="006831FA"/>
    <w:rsid w:val="006838D1"/>
    <w:rsid w:val="00685383"/>
    <w:rsid w:val="006854A4"/>
    <w:rsid w:val="006864B0"/>
    <w:rsid w:val="00686509"/>
    <w:rsid w:val="0068682F"/>
    <w:rsid w:val="006876F2"/>
    <w:rsid w:val="00690396"/>
    <w:rsid w:val="006905D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59D"/>
    <w:rsid w:val="006A09FB"/>
    <w:rsid w:val="006A0A4C"/>
    <w:rsid w:val="006A0E09"/>
    <w:rsid w:val="006A1340"/>
    <w:rsid w:val="006A1F9B"/>
    <w:rsid w:val="006A2128"/>
    <w:rsid w:val="006A2185"/>
    <w:rsid w:val="006A291E"/>
    <w:rsid w:val="006A2979"/>
    <w:rsid w:val="006A39F6"/>
    <w:rsid w:val="006A4710"/>
    <w:rsid w:val="006A473F"/>
    <w:rsid w:val="006A48B4"/>
    <w:rsid w:val="006A539F"/>
    <w:rsid w:val="006A58EB"/>
    <w:rsid w:val="006A5B04"/>
    <w:rsid w:val="006A6828"/>
    <w:rsid w:val="006A6877"/>
    <w:rsid w:val="006A707A"/>
    <w:rsid w:val="006B09B0"/>
    <w:rsid w:val="006B2E8D"/>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353B"/>
    <w:rsid w:val="006E3C8E"/>
    <w:rsid w:val="006E4318"/>
    <w:rsid w:val="006E4504"/>
    <w:rsid w:val="006E509D"/>
    <w:rsid w:val="006E52CE"/>
    <w:rsid w:val="006E59F6"/>
    <w:rsid w:val="006E5D25"/>
    <w:rsid w:val="006E6001"/>
    <w:rsid w:val="006E60EF"/>
    <w:rsid w:val="006E6426"/>
    <w:rsid w:val="006E6609"/>
    <w:rsid w:val="006E6916"/>
    <w:rsid w:val="006E6A6C"/>
    <w:rsid w:val="006E730D"/>
    <w:rsid w:val="006F0E5F"/>
    <w:rsid w:val="006F0E88"/>
    <w:rsid w:val="006F1504"/>
    <w:rsid w:val="006F1EA9"/>
    <w:rsid w:val="006F2217"/>
    <w:rsid w:val="006F382C"/>
    <w:rsid w:val="006F4ACA"/>
    <w:rsid w:val="006F4CA6"/>
    <w:rsid w:val="006F5480"/>
    <w:rsid w:val="006F56D4"/>
    <w:rsid w:val="006F585D"/>
    <w:rsid w:val="006F59ED"/>
    <w:rsid w:val="006F5C3F"/>
    <w:rsid w:val="006F7396"/>
    <w:rsid w:val="006F7B1D"/>
    <w:rsid w:val="006F7C26"/>
    <w:rsid w:val="006F7FD4"/>
    <w:rsid w:val="006F7FE8"/>
    <w:rsid w:val="00701412"/>
    <w:rsid w:val="0070154E"/>
    <w:rsid w:val="00701E61"/>
    <w:rsid w:val="00701FB2"/>
    <w:rsid w:val="00702978"/>
    <w:rsid w:val="00704082"/>
    <w:rsid w:val="00704188"/>
    <w:rsid w:val="0070469D"/>
    <w:rsid w:val="007048AF"/>
    <w:rsid w:val="007051C3"/>
    <w:rsid w:val="007059DA"/>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540"/>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6249"/>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ABB"/>
    <w:rsid w:val="007636FD"/>
    <w:rsid w:val="0076378F"/>
    <w:rsid w:val="00763825"/>
    <w:rsid w:val="00764465"/>
    <w:rsid w:val="00764B5F"/>
    <w:rsid w:val="00764E00"/>
    <w:rsid w:val="007655FC"/>
    <w:rsid w:val="007657EB"/>
    <w:rsid w:val="007659C1"/>
    <w:rsid w:val="00766F1A"/>
    <w:rsid w:val="00766F8A"/>
    <w:rsid w:val="00767C2B"/>
    <w:rsid w:val="00770A73"/>
    <w:rsid w:val="00770C10"/>
    <w:rsid w:val="0077162C"/>
    <w:rsid w:val="007717CF"/>
    <w:rsid w:val="00771920"/>
    <w:rsid w:val="007724C0"/>
    <w:rsid w:val="00772531"/>
    <w:rsid w:val="0077284C"/>
    <w:rsid w:val="00774847"/>
    <w:rsid w:val="00775537"/>
    <w:rsid w:val="00776444"/>
    <w:rsid w:val="007770F6"/>
    <w:rsid w:val="00777AB6"/>
    <w:rsid w:val="00777F5C"/>
    <w:rsid w:val="0078079D"/>
    <w:rsid w:val="0078091F"/>
    <w:rsid w:val="00780977"/>
    <w:rsid w:val="00780D35"/>
    <w:rsid w:val="0078103C"/>
    <w:rsid w:val="0078145E"/>
    <w:rsid w:val="007816AA"/>
    <w:rsid w:val="00782319"/>
    <w:rsid w:val="00782C8F"/>
    <w:rsid w:val="007836E6"/>
    <w:rsid w:val="007844EF"/>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A10"/>
    <w:rsid w:val="007A1271"/>
    <w:rsid w:val="007A1826"/>
    <w:rsid w:val="007A27B0"/>
    <w:rsid w:val="007A322B"/>
    <w:rsid w:val="007A3650"/>
    <w:rsid w:val="007A403F"/>
    <w:rsid w:val="007A53AC"/>
    <w:rsid w:val="007A56FE"/>
    <w:rsid w:val="007A63EE"/>
    <w:rsid w:val="007A64A7"/>
    <w:rsid w:val="007B0103"/>
    <w:rsid w:val="007B0511"/>
    <w:rsid w:val="007B0629"/>
    <w:rsid w:val="007B0C32"/>
    <w:rsid w:val="007B1E94"/>
    <w:rsid w:val="007B210B"/>
    <w:rsid w:val="007B2A43"/>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A9C"/>
    <w:rsid w:val="007D3C6D"/>
    <w:rsid w:val="007D3E45"/>
    <w:rsid w:val="007D4C58"/>
    <w:rsid w:val="007D5008"/>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E5780"/>
    <w:rsid w:val="007F13BB"/>
    <w:rsid w:val="007F16E4"/>
    <w:rsid w:val="007F1EBD"/>
    <w:rsid w:val="007F2E1E"/>
    <w:rsid w:val="007F2ED8"/>
    <w:rsid w:val="007F30B3"/>
    <w:rsid w:val="007F35DF"/>
    <w:rsid w:val="007F370C"/>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56D1"/>
    <w:rsid w:val="0080590A"/>
    <w:rsid w:val="0080609A"/>
    <w:rsid w:val="008070E4"/>
    <w:rsid w:val="0080714F"/>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0E"/>
    <w:rsid w:val="0084714F"/>
    <w:rsid w:val="008474C9"/>
    <w:rsid w:val="0085055E"/>
    <w:rsid w:val="00850FD2"/>
    <w:rsid w:val="00851625"/>
    <w:rsid w:val="00851793"/>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57B94"/>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1E2"/>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63B8"/>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9CA"/>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28FB"/>
    <w:rsid w:val="008E2EE3"/>
    <w:rsid w:val="008E306C"/>
    <w:rsid w:val="008E3720"/>
    <w:rsid w:val="008E4099"/>
    <w:rsid w:val="008E465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EF7"/>
    <w:rsid w:val="00970FA0"/>
    <w:rsid w:val="00971006"/>
    <w:rsid w:val="00971595"/>
    <w:rsid w:val="00971906"/>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4D2D"/>
    <w:rsid w:val="009A5D28"/>
    <w:rsid w:val="009A65C4"/>
    <w:rsid w:val="009A6681"/>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A0F"/>
    <w:rsid w:val="009C2CAA"/>
    <w:rsid w:val="009C2FC1"/>
    <w:rsid w:val="009C376E"/>
    <w:rsid w:val="009C3975"/>
    <w:rsid w:val="009C39AB"/>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0DE6"/>
    <w:rsid w:val="00A01638"/>
    <w:rsid w:val="00A0222A"/>
    <w:rsid w:val="00A02BF6"/>
    <w:rsid w:val="00A0357C"/>
    <w:rsid w:val="00A03DE2"/>
    <w:rsid w:val="00A03F69"/>
    <w:rsid w:val="00A05CD2"/>
    <w:rsid w:val="00A05D49"/>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3CF3"/>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9CF"/>
    <w:rsid w:val="00A45F99"/>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B13"/>
    <w:rsid w:val="00A63EF1"/>
    <w:rsid w:val="00A64073"/>
    <w:rsid w:val="00A6523E"/>
    <w:rsid w:val="00A65AF2"/>
    <w:rsid w:val="00A67760"/>
    <w:rsid w:val="00A7153A"/>
    <w:rsid w:val="00A71797"/>
    <w:rsid w:val="00A718C6"/>
    <w:rsid w:val="00A71C62"/>
    <w:rsid w:val="00A7267F"/>
    <w:rsid w:val="00A73AD6"/>
    <w:rsid w:val="00A741D2"/>
    <w:rsid w:val="00A743A3"/>
    <w:rsid w:val="00A75713"/>
    <w:rsid w:val="00A75B54"/>
    <w:rsid w:val="00A75F06"/>
    <w:rsid w:val="00A75F9A"/>
    <w:rsid w:val="00A7691F"/>
    <w:rsid w:val="00A76F88"/>
    <w:rsid w:val="00A77BB3"/>
    <w:rsid w:val="00A77F87"/>
    <w:rsid w:val="00A80221"/>
    <w:rsid w:val="00A8089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D1D"/>
    <w:rsid w:val="00A87EFB"/>
    <w:rsid w:val="00A905D5"/>
    <w:rsid w:val="00A91090"/>
    <w:rsid w:val="00A919E8"/>
    <w:rsid w:val="00A923AD"/>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C5A"/>
    <w:rsid w:val="00AB3D4C"/>
    <w:rsid w:val="00AB4158"/>
    <w:rsid w:val="00AB4409"/>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C14"/>
    <w:rsid w:val="00AF0F6F"/>
    <w:rsid w:val="00AF191B"/>
    <w:rsid w:val="00AF1977"/>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828"/>
    <w:rsid w:val="00B03D59"/>
    <w:rsid w:val="00B03E2D"/>
    <w:rsid w:val="00B050CA"/>
    <w:rsid w:val="00B0553D"/>
    <w:rsid w:val="00B05AE3"/>
    <w:rsid w:val="00B05B88"/>
    <w:rsid w:val="00B05DC7"/>
    <w:rsid w:val="00B065F3"/>
    <w:rsid w:val="00B066BB"/>
    <w:rsid w:val="00B0739C"/>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909"/>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38D"/>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2AD4"/>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A76"/>
    <w:rsid w:val="00B6015C"/>
    <w:rsid w:val="00B60ACD"/>
    <w:rsid w:val="00B61232"/>
    <w:rsid w:val="00B61943"/>
    <w:rsid w:val="00B629C2"/>
    <w:rsid w:val="00B62E74"/>
    <w:rsid w:val="00B6332B"/>
    <w:rsid w:val="00B637BD"/>
    <w:rsid w:val="00B637F4"/>
    <w:rsid w:val="00B647E8"/>
    <w:rsid w:val="00B6484F"/>
    <w:rsid w:val="00B6485E"/>
    <w:rsid w:val="00B648FB"/>
    <w:rsid w:val="00B654F3"/>
    <w:rsid w:val="00B65805"/>
    <w:rsid w:val="00B65A52"/>
    <w:rsid w:val="00B66038"/>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47C2"/>
    <w:rsid w:val="00BE5178"/>
    <w:rsid w:val="00BE5840"/>
    <w:rsid w:val="00BE6302"/>
    <w:rsid w:val="00BE6523"/>
    <w:rsid w:val="00BE68D2"/>
    <w:rsid w:val="00BE7C5B"/>
    <w:rsid w:val="00BE7CD9"/>
    <w:rsid w:val="00BE7DEE"/>
    <w:rsid w:val="00BE7FCD"/>
    <w:rsid w:val="00BF0AC0"/>
    <w:rsid w:val="00BF0B90"/>
    <w:rsid w:val="00BF0FB4"/>
    <w:rsid w:val="00BF145A"/>
    <w:rsid w:val="00BF1591"/>
    <w:rsid w:val="00BF1D1B"/>
    <w:rsid w:val="00BF1E98"/>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195"/>
    <w:rsid w:val="00C1445B"/>
    <w:rsid w:val="00C14657"/>
    <w:rsid w:val="00C14E52"/>
    <w:rsid w:val="00C14E6E"/>
    <w:rsid w:val="00C1578A"/>
    <w:rsid w:val="00C2004E"/>
    <w:rsid w:val="00C200FC"/>
    <w:rsid w:val="00C204CD"/>
    <w:rsid w:val="00C204F6"/>
    <w:rsid w:val="00C20A38"/>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100A"/>
    <w:rsid w:val="00C32500"/>
    <w:rsid w:val="00C32E11"/>
    <w:rsid w:val="00C33FFB"/>
    <w:rsid w:val="00C3413F"/>
    <w:rsid w:val="00C345AC"/>
    <w:rsid w:val="00C34B7F"/>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63A"/>
    <w:rsid w:val="00C45D6B"/>
    <w:rsid w:val="00C45EE7"/>
    <w:rsid w:val="00C46331"/>
    <w:rsid w:val="00C4665D"/>
    <w:rsid w:val="00C46876"/>
    <w:rsid w:val="00C47C10"/>
    <w:rsid w:val="00C504FA"/>
    <w:rsid w:val="00C50974"/>
    <w:rsid w:val="00C50DB0"/>
    <w:rsid w:val="00C5158E"/>
    <w:rsid w:val="00C52535"/>
    <w:rsid w:val="00C52AF6"/>
    <w:rsid w:val="00C52F46"/>
    <w:rsid w:val="00C52FAB"/>
    <w:rsid w:val="00C5316D"/>
    <w:rsid w:val="00C540BA"/>
    <w:rsid w:val="00C542A6"/>
    <w:rsid w:val="00C543EA"/>
    <w:rsid w:val="00C55740"/>
    <w:rsid w:val="00C55816"/>
    <w:rsid w:val="00C561BD"/>
    <w:rsid w:val="00C56A5F"/>
    <w:rsid w:val="00C5765A"/>
    <w:rsid w:val="00C57735"/>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67F"/>
    <w:rsid w:val="00C73948"/>
    <w:rsid w:val="00C75713"/>
    <w:rsid w:val="00C757C4"/>
    <w:rsid w:val="00C75807"/>
    <w:rsid w:val="00C75DC7"/>
    <w:rsid w:val="00C761D8"/>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2E29"/>
    <w:rsid w:val="00C92E67"/>
    <w:rsid w:val="00C93B13"/>
    <w:rsid w:val="00C95829"/>
    <w:rsid w:val="00C95977"/>
    <w:rsid w:val="00C96E2B"/>
    <w:rsid w:val="00C974B6"/>
    <w:rsid w:val="00C97974"/>
    <w:rsid w:val="00CA0182"/>
    <w:rsid w:val="00CA018F"/>
    <w:rsid w:val="00CA0B8B"/>
    <w:rsid w:val="00CA0FA0"/>
    <w:rsid w:val="00CA1682"/>
    <w:rsid w:val="00CA1C0D"/>
    <w:rsid w:val="00CA2FE9"/>
    <w:rsid w:val="00CA3319"/>
    <w:rsid w:val="00CA3BFC"/>
    <w:rsid w:val="00CA4063"/>
    <w:rsid w:val="00CA4ACD"/>
    <w:rsid w:val="00CA6258"/>
    <w:rsid w:val="00CA729E"/>
    <w:rsid w:val="00CA73F8"/>
    <w:rsid w:val="00CA74E1"/>
    <w:rsid w:val="00CA7E01"/>
    <w:rsid w:val="00CB0396"/>
    <w:rsid w:val="00CB03F1"/>
    <w:rsid w:val="00CB05AB"/>
    <w:rsid w:val="00CB0637"/>
    <w:rsid w:val="00CB10A1"/>
    <w:rsid w:val="00CB1F90"/>
    <w:rsid w:val="00CB21DC"/>
    <w:rsid w:val="00CB2F98"/>
    <w:rsid w:val="00CB327D"/>
    <w:rsid w:val="00CB4752"/>
    <w:rsid w:val="00CB5002"/>
    <w:rsid w:val="00CB54C6"/>
    <w:rsid w:val="00CB5551"/>
    <w:rsid w:val="00CB61C9"/>
    <w:rsid w:val="00CB63CB"/>
    <w:rsid w:val="00CB6885"/>
    <w:rsid w:val="00CB72A4"/>
    <w:rsid w:val="00CB7E18"/>
    <w:rsid w:val="00CC00A7"/>
    <w:rsid w:val="00CC00E8"/>
    <w:rsid w:val="00CC012E"/>
    <w:rsid w:val="00CC019A"/>
    <w:rsid w:val="00CC01B1"/>
    <w:rsid w:val="00CC07F4"/>
    <w:rsid w:val="00CC092F"/>
    <w:rsid w:val="00CC0E7E"/>
    <w:rsid w:val="00CC0EAF"/>
    <w:rsid w:val="00CC12D8"/>
    <w:rsid w:val="00CC1FF3"/>
    <w:rsid w:val="00CC20C1"/>
    <w:rsid w:val="00CC26CF"/>
    <w:rsid w:val="00CC2BEA"/>
    <w:rsid w:val="00CC34A2"/>
    <w:rsid w:val="00CC3B24"/>
    <w:rsid w:val="00CC47CE"/>
    <w:rsid w:val="00CC5323"/>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1882"/>
    <w:rsid w:val="00CF279B"/>
    <w:rsid w:val="00CF2B2F"/>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4DC4"/>
    <w:rsid w:val="00D252CA"/>
    <w:rsid w:val="00D25773"/>
    <w:rsid w:val="00D257FF"/>
    <w:rsid w:val="00D259CD"/>
    <w:rsid w:val="00D264ED"/>
    <w:rsid w:val="00D2681B"/>
    <w:rsid w:val="00D26D29"/>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BC1"/>
    <w:rsid w:val="00D37EEA"/>
    <w:rsid w:val="00D41C09"/>
    <w:rsid w:val="00D422D0"/>
    <w:rsid w:val="00D424E6"/>
    <w:rsid w:val="00D426D7"/>
    <w:rsid w:val="00D42B68"/>
    <w:rsid w:val="00D435B3"/>
    <w:rsid w:val="00D44595"/>
    <w:rsid w:val="00D44AA8"/>
    <w:rsid w:val="00D453B0"/>
    <w:rsid w:val="00D46C8F"/>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DC2"/>
    <w:rsid w:val="00D6767B"/>
    <w:rsid w:val="00D6780A"/>
    <w:rsid w:val="00D67BBD"/>
    <w:rsid w:val="00D70FDA"/>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588"/>
    <w:rsid w:val="00D94822"/>
    <w:rsid w:val="00D950BC"/>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0C4"/>
    <w:rsid w:val="00DB01BA"/>
    <w:rsid w:val="00DB0EA9"/>
    <w:rsid w:val="00DB0FE5"/>
    <w:rsid w:val="00DB1F30"/>
    <w:rsid w:val="00DB26E5"/>
    <w:rsid w:val="00DB27D5"/>
    <w:rsid w:val="00DB344D"/>
    <w:rsid w:val="00DB38F4"/>
    <w:rsid w:val="00DB3ADC"/>
    <w:rsid w:val="00DB45A4"/>
    <w:rsid w:val="00DB4B8F"/>
    <w:rsid w:val="00DB4E2D"/>
    <w:rsid w:val="00DB4FB6"/>
    <w:rsid w:val="00DB5757"/>
    <w:rsid w:val="00DB5A63"/>
    <w:rsid w:val="00DB5AD4"/>
    <w:rsid w:val="00DB5E41"/>
    <w:rsid w:val="00DB5FF6"/>
    <w:rsid w:val="00DB6B1D"/>
    <w:rsid w:val="00DB74D6"/>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3AB"/>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FFF"/>
    <w:rsid w:val="00DE5F29"/>
    <w:rsid w:val="00DE629F"/>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6530"/>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94B"/>
    <w:rsid w:val="00E049D4"/>
    <w:rsid w:val="00E04BF8"/>
    <w:rsid w:val="00E051A3"/>
    <w:rsid w:val="00E07338"/>
    <w:rsid w:val="00E07BAA"/>
    <w:rsid w:val="00E108B5"/>
    <w:rsid w:val="00E10B3F"/>
    <w:rsid w:val="00E113C4"/>
    <w:rsid w:val="00E12081"/>
    <w:rsid w:val="00E126BB"/>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7E6"/>
    <w:rsid w:val="00E22A79"/>
    <w:rsid w:val="00E22C3E"/>
    <w:rsid w:val="00E22EC5"/>
    <w:rsid w:val="00E2399D"/>
    <w:rsid w:val="00E252C8"/>
    <w:rsid w:val="00E25F97"/>
    <w:rsid w:val="00E26D38"/>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AA0"/>
    <w:rsid w:val="00EA7FF3"/>
    <w:rsid w:val="00EB0D86"/>
    <w:rsid w:val="00EB0FEC"/>
    <w:rsid w:val="00EB1BB4"/>
    <w:rsid w:val="00EB2856"/>
    <w:rsid w:val="00EB2987"/>
    <w:rsid w:val="00EB2B16"/>
    <w:rsid w:val="00EB2F43"/>
    <w:rsid w:val="00EB36BD"/>
    <w:rsid w:val="00EB3BDB"/>
    <w:rsid w:val="00EB4280"/>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1AD"/>
    <w:rsid w:val="00ED021C"/>
    <w:rsid w:val="00ED0268"/>
    <w:rsid w:val="00ED057C"/>
    <w:rsid w:val="00ED0A11"/>
    <w:rsid w:val="00ED0AAC"/>
    <w:rsid w:val="00ED27AF"/>
    <w:rsid w:val="00ED27C3"/>
    <w:rsid w:val="00ED2A1A"/>
    <w:rsid w:val="00ED3577"/>
    <w:rsid w:val="00ED3EB5"/>
    <w:rsid w:val="00ED4579"/>
    <w:rsid w:val="00ED4D9C"/>
    <w:rsid w:val="00ED5547"/>
    <w:rsid w:val="00ED6525"/>
    <w:rsid w:val="00ED673A"/>
    <w:rsid w:val="00ED6CCE"/>
    <w:rsid w:val="00ED6F45"/>
    <w:rsid w:val="00ED7212"/>
    <w:rsid w:val="00ED7C0F"/>
    <w:rsid w:val="00ED7F13"/>
    <w:rsid w:val="00EE0CA6"/>
    <w:rsid w:val="00EE14D8"/>
    <w:rsid w:val="00EE19FF"/>
    <w:rsid w:val="00EE2C1F"/>
    <w:rsid w:val="00EE2E0F"/>
    <w:rsid w:val="00EE3B3A"/>
    <w:rsid w:val="00EE3C62"/>
    <w:rsid w:val="00EE41FE"/>
    <w:rsid w:val="00EE455B"/>
    <w:rsid w:val="00EE58B8"/>
    <w:rsid w:val="00EE5F55"/>
    <w:rsid w:val="00EE60B0"/>
    <w:rsid w:val="00EE6B7E"/>
    <w:rsid w:val="00EE6FFE"/>
    <w:rsid w:val="00EE7C1C"/>
    <w:rsid w:val="00EF08C5"/>
    <w:rsid w:val="00EF0AB3"/>
    <w:rsid w:val="00EF0BC4"/>
    <w:rsid w:val="00EF0C40"/>
    <w:rsid w:val="00EF0DEC"/>
    <w:rsid w:val="00EF12B4"/>
    <w:rsid w:val="00EF155D"/>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415"/>
    <w:rsid w:val="00F03638"/>
    <w:rsid w:val="00F03BCA"/>
    <w:rsid w:val="00F04E91"/>
    <w:rsid w:val="00F054CB"/>
    <w:rsid w:val="00F056CD"/>
    <w:rsid w:val="00F059B4"/>
    <w:rsid w:val="00F0641C"/>
    <w:rsid w:val="00F07064"/>
    <w:rsid w:val="00F07326"/>
    <w:rsid w:val="00F07D09"/>
    <w:rsid w:val="00F07D5B"/>
    <w:rsid w:val="00F07EFE"/>
    <w:rsid w:val="00F1050B"/>
    <w:rsid w:val="00F118A0"/>
    <w:rsid w:val="00F11926"/>
    <w:rsid w:val="00F11F55"/>
    <w:rsid w:val="00F12F85"/>
    <w:rsid w:val="00F12FCC"/>
    <w:rsid w:val="00F1327E"/>
    <w:rsid w:val="00F13624"/>
    <w:rsid w:val="00F14350"/>
    <w:rsid w:val="00F147B2"/>
    <w:rsid w:val="00F14944"/>
    <w:rsid w:val="00F14AA0"/>
    <w:rsid w:val="00F15120"/>
    <w:rsid w:val="00F16542"/>
    <w:rsid w:val="00F17760"/>
    <w:rsid w:val="00F17B5E"/>
    <w:rsid w:val="00F17BC9"/>
    <w:rsid w:val="00F20232"/>
    <w:rsid w:val="00F2109F"/>
    <w:rsid w:val="00F21101"/>
    <w:rsid w:val="00F21A58"/>
    <w:rsid w:val="00F21C0D"/>
    <w:rsid w:val="00F21D30"/>
    <w:rsid w:val="00F21E10"/>
    <w:rsid w:val="00F245B6"/>
    <w:rsid w:val="00F25F43"/>
    <w:rsid w:val="00F26092"/>
    <w:rsid w:val="00F30D29"/>
    <w:rsid w:val="00F313B1"/>
    <w:rsid w:val="00F31B02"/>
    <w:rsid w:val="00F32757"/>
    <w:rsid w:val="00F33271"/>
    <w:rsid w:val="00F33FB4"/>
    <w:rsid w:val="00F34212"/>
    <w:rsid w:val="00F346BC"/>
    <w:rsid w:val="00F3493A"/>
    <w:rsid w:val="00F350D3"/>
    <w:rsid w:val="00F35F04"/>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11E"/>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9AA"/>
    <w:rsid w:val="00F92F33"/>
    <w:rsid w:val="00F935BA"/>
    <w:rsid w:val="00F937AA"/>
    <w:rsid w:val="00F93C04"/>
    <w:rsid w:val="00F93FF6"/>
    <w:rsid w:val="00F94929"/>
    <w:rsid w:val="00F94B5E"/>
    <w:rsid w:val="00F95909"/>
    <w:rsid w:val="00F959FB"/>
    <w:rsid w:val="00F96250"/>
    <w:rsid w:val="00F96A01"/>
    <w:rsid w:val="00F96B80"/>
    <w:rsid w:val="00F979FD"/>
    <w:rsid w:val="00FA17DF"/>
    <w:rsid w:val="00FA1DA9"/>
    <w:rsid w:val="00FA1E49"/>
    <w:rsid w:val="00FA24AD"/>
    <w:rsid w:val="00FA292F"/>
    <w:rsid w:val="00FA3045"/>
    <w:rsid w:val="00FA3D18"/>
    <w:rsid w:val="00FA48D4"/>
    <w:rsid w:val="00FA5554"/>
    <w:rsid w:val="00FA5998"/>
    <w:rsid w:val="00FA60A0"/>
    <w:rsid w:val="00FA6273"/>
    <w:rsid w:val="00FA65A5"/>
    <w:rsid w:val="00FA7E6A"/>
    <w:rsid w:val="00FB049C"/>
    <w:rsid w:val="00FB162A"/>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6FF777F-79D6-244F-B527-C28B62BDF7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19</Pages>
  <Words>38979</Words>
  <Characters>233880</Characters>
  <Application>Microsoft Office Word</Application>
  <DocSecurity>0</DocSecurity>
  <Lines>3543</Lines>
  <Paragraphs>1021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182</cp:revision>
  <cp:lastPrinted>2019-05-07T16:27:00Z</cp:lastPrinted>
  <dcterms:created xsi:type="dcterms:W3CDTF">2019-05-08T23:30:00Z</dcterms:created>
  <dcterms:modified xsi:type="dcterms:W3CDTF">2019-05-09T13:50:00Z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