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34AB7"/>
          <w:sz w:val="16"/>
          <w:szCs w:val="16"/>
        </w:rPr>
        <w:t xml:space="preserve">PRAXIS POINT IRCONNECT</w:t>
      </w:r>
    </w:p>
    <w:p>
      <w:pPr>
        <w:spacing w:after="80"/>
      </w:pPr>
      <w:r>
        <w:rPr>
          <w:b/>
          <w:bCs/>
          <w:sz w:val="32"/>
          <w:szCs w:val="32"/>
        </w:rPr>
        <w:t xml:space="preserve">Client onboarding checklist</w:t>
      </w:r>
    </w:p>
    <w:p>
      <w:pPr>
        <w:spacing w:after="220"/>
      </w:pPr>
      <w:r>
        <w:rPr>
          <w:i/>
          <w:iCs/>
          <w:color w:val="5F5E5A"/>
          <w:sz w:val="18"/>
          <w:szCs w:val="18"/>
        </w:rPr>
        <w:t xml:space="preserve">What we need from your team before go-live — please complete with your IR, legal, and finance leads.</w:t>
      </w:r>
    </w:p>
    <w:p>
      <w:pPr>
        <w:pBdr>
          <w:bottom w:val="single" w:color="D3D1C7" w:sz="4" w:space="3"/>
        </w:pBdr>
        <w:spacing w:after="130"/>
      </w:pPr>
    </w:p>
    <w:p>
      <w:pPr>
        <w:pStyle w:val="Heading1"/>
      </w:pPr>
      <w:r>
        <w:t xml:space="preserve">1. Corporate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700"/>
        <w:gridCol w:w="1800"/>
      </w:tblGrid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 we need from you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typically has it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Fiscal year end date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CFO / Controller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Standard earnings call date/time and pre- vs. post-market timing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IR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Quiet period length before/after earnings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General Counsel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Annual shareholder meeting date or typical window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Corporate Secretary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</w:tbl>
    <w:p>
      <w:pPr>
        <w:pStyle w:val="Heading1"/>
      </w:pPr>
      <w:r>
        <w:t xml:space="preserve">2. Service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700"/>
        <w:gridCol w:w="1800"/>
      </w:tblGrid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 we need from you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typically has it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Transfer agent of record (name and contact)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Corporate Secretary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Outside securities counsel contact for script/disclosure review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General Counsel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Proxy solicitor, if different from transfer agent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Corporate Secretary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</w:tbl>
    <w:p>
      <w:pPr>
        <w:pStyle w:val="Heading1"/>
      </w:pPr>
      <w:r>
        <w:t xml:space="preserve">3. Sell-side &amp; peer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700"/>
        <w:gridCol w:w="1800"/>
      </w:tblGrid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 we need from you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typically has it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Current analyst roster (name, firm, email, coverage status)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IR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Peer/comp group — defined by your team and sell-side coverage, not assigned by us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IR + sell-side analysts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</w:tbl>
    <w:p>
      <w:pPr>
        <w:pStyle w:val="Heading1"/>
      </w:pPr>
      <w:r>
        <w:t xml:space="preserve">4. Shareholder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700"/>
        <w:gridCol w:w="1800"/>
      </w:tblGrid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 we need from you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typically has it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Most recent 13F/13G/13D snapshot (or confirmation none exist)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IR / Legal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Has a NOBO list ever been requested? If so, when and from whom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Corporate Secretary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</w:tbl>
    <w:p>
      <w:pPr>
        <w:pStyle w:val="Heading1"/>
      </w:pPr>
      <w:r>
        <w:t xml:space="preserve">5. Access &amp; internal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700"/>
        <w:gridCol w:w="1800"/>
      </w:tblGrid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 we need from you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typically has it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Named IR owner for the shared mailbox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Head of IR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CEO/CFO calendar access for scheduling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Executive assistants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Email/calendar platform in use (Gmail, Outlook, etc.)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IT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Who should have access to shareholder data, outbound email, and script approval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Head of IR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</w:tbl>
    <w:p>
      <w:pPr>
        <w:pStyle w:val="Heading1"/>
      </w:pPr>
      <w:r>
        <w:t xml:space="preserve">6. Source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700"/>
        <w:gridCol w:w="1800"/>
      </w:tblGrid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 we need from you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typically has it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Internal guidance model / actual results file format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Typical lag from quarter-end to final results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  <w:tr>
        <w:tc>
          <w:tcPr>
            <w:tcW w:type="dxa" w:w="48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Prior earnings call scripts, as many quarters as available</w:t>
            </w:r>
          </w:p>
        </w:tc>
        <w:tc>
          <w:tcPr>
            <w:tcW w:type="dxa" w:w="27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IR</w:t>
            </w:r>
          </w:p>
        </w:tc>
        <w:tc>
          <w:tcPr>
            <w:tcW w:type="dxa" w:w="18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33806"/>
                <w:sz w:val="18"/>
                <w:szCs w:val="18"/>
              </w:rPr>
              <w:t xml:space="preserve">□ Pending</w:t>
            </w:r>
          </w:p>
        </w:tc>
      </w:tr>
    </w:tbl>
    <w:p>
      <w:pPr>
        <w:spacing w:before="260"/>
      </w:pPr>
    </w:p>
    <w:p>
      <w:pPr>
        <w:pBdr>
          <w:bottom w:val="single" w:color="D3D1C7" w:sz="4" w:space="3"/>
        </w:pBdr>
        <w:spacing w:after="130"/>
      </w:pPr>
    </w:p>
    <w:p>
      <w:r>
        <w:rPr>
          <w:i/>
          <w:iCs/>
          <w:color w:val="5F5E5A"/>
          <w:sz w:val="16"/>
          <w:szCs w:val="16"/>
        </w:rPr>
        <w:t xml:space="preserve">Once returned, Praxis Point will confirm timeline to first live quarterly cycle.</w:t>
      </w:r>
    </w:p>
    <w:sectPr>
      <w:headerReference w:type="default" r:id="rId7"/>
      <w:footerReference w:type="default" r:id="rId8"/>
      <w:pgSz w:w="12240" w:h="15840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5E5A"/>
        <w:sz w:val="15"/>
        <w:szCs w:val="15"/>
      </w:rPr>
      <w:t xml:space="preserve">IRConnect Onboarding</w:t>
    </w:r>
    <w:r>
      <w:rPr>
        <w:color w:val="5F5E5A"/>
        <w:sz w:val="15"/>
        <w:szCs w:val="15"/>
      </w:rPr>
      <w:t xml:space="preserve">Page </w:t>
    </w:r>
    <w:r>
      <w:rPr>
        <w:color w:val="5F5E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026"/>
      </w:tabs>
    </w:pPr>
    <w:r>
      <w:rPr>
        <w:color w:val="5F5E5A"/>
        <w:sz w:val="15"/>
        <w:szCs w:val="15"/>
      </w:rPr>
      <w:t xml:space="preserve">Praxis Point — IRConnect</w:t>
    </w:r>
    <w:r>
      <w:rPr>
        <w:color w:val="5F5E5A"/>
        <w:sz w:val="15"/>
        <w:szCs w:val="15"/>
      </w:rPr>
      <w:t xml:space="preserve">	Client Onboarding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2026-06-20T00:58:34.728Z</dcterms:created>
  <dcterms:modified xsi:type="dcterms:W3CDTF">2026-06-20T00:58:34.728Z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